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BA0076" w14:textId="3AAAAB65" w:rsidR="00A768BC" w:rsidRDefault="00021E28">
      <w:r>
        <w:t>Academic Assignments – DHEP Cohort 01.23.   Ryan Leeke 2236120</w:t>
      </w:r>
    </w:p>
    <w:p w14:paraId="41CD7840" w14:textId="77777777" w:rsidR="00021E28" w:rsidRDefault="00021E28"/>
    <w:p w14:paraId="29E5D4AB" w14:textId="5E3FD6DA" w:rsidR="00021E28" w:rsidRPr="00F225EA" w:rsidRDefault="00021E28" w:rsidP="00021E28">
      <w:pPr>
        <w:pStyle w:val="ListParagraph"/>
        <w:numPr>
          <w:ilvl w:val="0"/>
          <w:numId w:val="1"/>
        </w:numPr>
        <w:rPr>
          <w:b/>
          <w:bCs/>
          <w:u w:val="single"/>
        </w:rPr>
      </w:pPr>
      <w:r w:rsidRPr="00F225EA">
        <w:rPr>
          <w:b/>
          <w:bCs/>
          <w:u w:val="single"/>
        </w:rPr>
        <w:t>How effectively has the police service adapted to accommodate diversity within the UK? Consider the police force itself and/or the way police engage with diverse communities?</w:t>
      </w:r>
    </w:p>
    <w:p w14:paraId="0932EDC5" w14:textId="77777777" w:rsidR="00021E28" w:rsidRDefault="00021E28" w:rsidP="00021E28">
      <w:pPr>
        <w:pStyle w:val="ListParagraph"/>
      </w:pPr>
    </w:p>
    <w:p w14:paraId="197A907F" w14:textId="4B0FA439" w:rsidR="00712962" w:rsidRDefault="00535CB7" w:rsidP="00535CB7">
      <w:r>
        <w:t>Modern policing has been criticised for failing to adapt to an increasingly diverse population</w:t>
      </w:r>
      <w:r w:rsidR="002F42F1">
        <w:t xml:space="preserve">, both in terms of the diversity (or lack thereof) of serving officers, and in terms of how it responds to and deals with incidents involving members of minority groups. To assess how effectively the police service has adapted to these challenges it is important to look at both the internal and external aspects and how things have changed. </w:t>
      </w:r>
      <w:r w:rsidR="00BC615A">
        <w:t xml:space="preserve">Internally, Police forces across the UK have looked at diversifying their workforce by trying to attract people from many diverse backgrounds in terms of race, religion, gender and sexuality. </w:t>
      </w:r>
      <w:r w:rsidR="00712962">
        <w:t>This short essay looks at how they have attempted this, and what impact it has had, if any</w:t>
      </w:r>
      <w:r w:rsidR="000447CB">
        <w:t>, utilising ethnicity statistics to</w:t>
      </w:r>
      <w:r w:rsidR="00304EE3">
        <w:t xml:space="preserve"> assess this</w:t>
      </w:r>
      <w:r w:rsidR="00712962">
        <w:t xml:space="preserve">. </w:t>
      </w:r>
    </w:p>
    <w:p w14:paraId="1CC9ABBD" w14:textId="03A94A20" w:rsidR="00712962" w:rsidRDefault="006946D2" w:rsidP="00535CB7">
      <w:r>
        <w:t>The primary mechanism by which police forces in the UK have looked at accommodating increasing diversity in the UK is through the use of Positive action schemes to promote and encourage those from backgrounds which might otherwise be considered at a disadvantage when applying. This practice was defined and legalised (and defined as separate from the illegal practice of positive discrimination)</w:t>
      </w:r>
      <w:r w:rsidR="001E547D">
        <w:t xml:space="preserve"> in the Equality Act 2010, which included allowances for positive action schemes where “</w:t>
      </w:r>
      <w:r w:rsidR="001E547D" w:rsidRPr="001E547D">
        <w:t>participation in an activity by persons who share a protected characteristic is disproportionately low</w:t>
      </w:r>
      <w:r w:rsidR="001E547D">
        <w:t>” (The Equality Act 2010).</w:t>
      </w:r>
      <w:r w:rsidR="000447CB">
        <w:t xml:space="preserve"> They do this by </w:t>
      </w:r>
      <w:r w:rsidR="00495FA5">
        <w:t xml:space="preserve">offering </w:t>
      </w:r>
      <w:r w:rsidR="00495FA5" w:rsidRPr="00495FA5">
        <w:t xml:space="preserve">‘targeted community recruitment events’ to promote </w:t>
      </w:r>
      <w:r w:rsidR="00495FA5">
        <w:t xml:space="preserve">vacancies, and by providing </w:t>
      </w:r>
      <w:r w:rsidR="00495FA5" w:rsidRPr="00495FA5">
        <w:t xml:space="preserve">advocacy and support to candidates, </w:t>
      </w:r>
      <w:r w:rsidR="00495FA5">
        <w:t>with the aim of</w:t>
      </w:r>
      <w:r w:rsidR="00495FA5" w:rsidRPr="00495FA5">
        <w:t xml:space="preserve"> building confidence and practical skills</w:t>
      </w:r>
      <w:r w:rsidR="00495FA5">
        <w:t xml:space="preserve"> (</w:t>
      </w:r>
      <w:proofErr w:type="spellStart"/>
      <w:r w:rsidR="00495FA5">
        <w:t>Alogba</w:t>
      </w:r>
      <w:proofErr w:type="spellEnd"/>
      <w:r w:rsidR="00495FA5">
        <w:t xml:space="preserve"> 2020)</w:t>
      </w:r>
    </w:p>
    <w:p w14:paraId="3FF7A4D8" w14:textId="77777777" w:rsidR="000447CB" w:rsidRDefault="000447CB" w:rsidP="00535CB7"/>
    <w:p w14:paraId="25A020ED" w14:textId="37C548A4" w:rsidR="00304EE3" w:rsidRDefault="004E0B79" w:rsidP="00535CB7">
      <w:r>
        <w:t xml:space="preserve">According to the office of national statistics, the percentage of people in the UK whose self-defined ethnicity was white changed from 91.3% in 2001, to 86.0% in 2011, and to 81.7% in 2021. (GOV.UK, 2022). </w:t>
      </w:r>
      <w:r w:rsidR="00007CE0">
        <w:t>It would seem logical to assume that a representative workforce would have a similar makeup in terms of the ethnicity of its employees. In 20</w:t>
      </w:r>
      <w:r w:rsidR="00A81D1A">
        <w:t>1</w:t>
      </w:r>
      <w:r w:rsidR="00007CE0">
        <w:t xml:space="preserve">1 however, </w:t>
      </w:r>
      <w:r w:rsidR="00A81D1A" w:rsidRPr="00A81D1A">
        <w:t>95.2</w:t>
      </w:r>
      <w:r w:rsidR="00A81D1A">
        <w:t xml:space="preserve">% of police officers in the UK were white, changing to </w:t>
      </w:r>
      <w:r w:rsidR="00A81D1A" w:rsidRPr="00A81D1A">
        <w:t>92.</w:t>
      </w:r>
      <w:r w:rsidR="00A81D1A">
        <w:t xml:space="preserve">4% of officers in 2021. </w:t>
      </w:r>
      <w:r w:rsidR="00A81D1A" w:rsidRPr="00A81D1A">
        <w:t>(</w:t>
      </w:r>
      <w:r w:rsidR="002D275A">
        <w:t xml:space="preserve">GOV.UK </w:t>
      </w:r>
      <w:r w:rsidR="00A81D1A" w:rsidRPr="00A81D1A">
        <w:t>2023</w:t>
      </w:r>
      <w:r w:rsidR="00A81D1A">
        <w:t>)</w:t>
      </w:r>
      <w:r w:rsidR="00F57DF3">
        <w:t xml:space="preserve">. The author was unable to find figures for 2001, however figures for 2007 showed that 96.1% of officers were white in that year. </w:t>
      </w:r>
      <w:r w:rsidR="00BD05C8">
        <w:t>Using this figures it is possible to calculate that the percentage of people in the UK population who were white has decreased an average of 0.48% year on year, whilst the percentage of police officers who were white has decreased an average of 0.26% year on year (between 2007 and 2011).  By these</w:t>
      </w:r>
      <w:r w:rsidR="000447CB">
        <w:t xml:space="preserve"> (admittedly flawed)</w:t>
      </w:r>
      <w:r w:rsidR="00BD05C8">
        <w:t xml:space="preserve"> figures it </w:t>
      </w:r>
      <w:r w:rsidR="000447CB">
        <w:t>appears that the rate at which the percentage of white people in the general population v the police force are not changing at similar rates, suggesting that attempts to keep up with increasing diversity (at least in terms of ethnicity) are failing. That being said, the rate of change of percentage of officers who were white between 2007 and 2011 was on average 0.225% per year. Between 20</w:t>
      </w:r>
      <w:r w:rsidR="00495FA5">
        <w:t>11</w:t>
      </w:r>
      <w:r w:rsidR="000447CB">
        <w:t xml:space="preserve"> and 2021 </w:t>
      </w:r>
      <w:r w:rsidR="00495FA5">
        <w:t xml:space="preserve">(Post Section 158) </w:t>
      </w:r>
      <w:r w:rsidR="000447CB">
        <w:t>this change accelerated to an average of 0.28% per year</w:t>
      </w:r>
      <w:r w:rsidR="00495FA5">
        <w:t>. Considering this the data</w:t>
      </w:r>
      <w:r w:rsidR="000447CB">
        <w:t xml:space="preserve"> suggest</w:t>
      </w:r>
      <w:r w:rsidR="00495FA5">
        <w:t>s</w:t>
      </w:r>
      <w:r w:rsidR="000447CB">
        <w:t xml:space="preserve"> that it’s possible that positive action attempts by police have been somewhat successful</w:t>
      </w:r>
      <w:r w:rsidR="00304EE3">
        <w:t xml:space="preserve">. </w:t>
      </w:r>
    </w:p>
    <w:p w14:paraId="46E80547" w14:textId="204C874E" w:rsidR="00304EE3" w:rsidRDefault="009335EF" w:rsidP="00535CB7">
      <w:r>
        <w:t xml:space="preserve">Furthering </w:t>
      </w:r>
      <w:r w:rsidR="00304EE3">
        <w:t>the author’s previous suggestion that positive action attempts have been somewhat successful</w:t>
      </w:r>
      <w:r>
        <w:t>.</w:t>
      </w:r>
      <w:r w:rsidR="00B170CD">
        <w:t xml:space="preserve">  Stubbs and Tong </w:t>
      </w:r>
      <w:r>
        <w:t>examined the variables affecting candidates experiences when joining the job using positive action support, and those who do not. The</w:t>
      </w:r>
      <w:r w:rsidR="005A7DE5">
        <w:t>y</w:t>
      </w:r>
      <w:r>
        <w:t xml:space="preserve"> showed a link between </w:t>
      </w:r>
      <w:r>
        <w:lastRenderedPageBreak/>
        <w:t>those who are successful in joining the police and those who have strong social ties to existing police officers</w:t>
      </w:r>
      <w:r w:rsidR="005A7DE5">
        <w:t>, noting that “</w:t>
      </w:r>
      <w:r w:rsidR="005A7DE5" w:rsidRPr="005A7DE5">
        <w:t>every successful candidate levered social support to navigate the police recruitment process in some way</w:t>
      </w:r>
      <w:r w:rsidR="005A7DE5">
        <w:t xml:space="preserve">”. (Stubbs and Tong, 2024). This furthers the argument that positive action works, as those who engage in those opportunities also have access to ties to the police that they may otherwise not have had access to as a direct result of their background, social class or ethnicity etc. </w:t>
      </w:r>
    </w:p>
    <w:p w14:paraId="5D398094" w14:textId="0206A1AF" w:rsidR="006E48A0" w:rsidRDefault="00D7058E" w:rsidP="00535CB7">
      <w:r>
        <w:t>Despite this</w:t>
      </w:r>
      <w:r w:rsidR="006E48A0">
        <w:t xml:space="preserve"> evidence</w:t>
      </w:r>
      <w:r>
        <w:t xml:space="preserve"> suggesting that the police are making some headway in terms of diversifying their workforce, attitudes towards the police are becoming increasingly polarised.</w:t>
      </w:r>
      <w:r w:rsidR="002D275A">
        <w:t xml:space="preserve"> Where in 2013/14 approximately 75% of people had confidence in their local police, that decreased by 2% to 74% by 2019/20, the opinions of Black people in the UK fell from 70% to 64% across the same time period. (GOV.UK, 2021)</w:t>
      </w:r>
      <w:r w:rsidR="00A54277">
        <w:t xml:space="preserve"> </w:t>
      </w:r>
      <w:r w:rsidR="007E533C">
        <w:t xml:space="preserve">But why is this? </w:t>
      </w:r>
      <w:r w:rsidR="006E48A0">
        <w:t xml:space="preserve"> </w:t>
      </w:r>
    </w:p>
    <w:p w14:paraId="7A9A90B6" w14:textId="71AF9A6F" w:rsidR="006E48A0" w:rsidRDefault="001D3072" w:rsidP="003B3F2F">
      <w:r>
        <w:t xml:space="preserve">High profile cases such as </w:t>
      </w:r>
      <w:r w:rsidR="002C0166">
        <w:t>the murder of Stephen Lawrence in 1993</w:t>
      </w:r>
      <w:r w:rsidR="00712962">
        <w:t xml:space="preserve"> have</w:t>
      </w:r>
      <w:r w:rsidR="002C0166">
        <w:t xml:space="preserve"> highlighted the impact of racism and xenophobia within policing and sown further distrust amongst black and minority ethnic communities within London and the UK</w:t>
      </w:r>
      <w:r w:rsidR="003B3F2F">
        <w:t xml:space="preserve">. Richard Stone wrote that the impact of this and the continued disparity between numbers of white people versus </w:t>
      </w:r>
      <w:r w:rsidR="00142557">
        <w:t>the number of black people stopped had a</w:t>
      </w:r>
      <w:r w:rsidR="003B3F2F">
        <w:t xml:space="preserve"> “corrosive effect on the community, ultimately making policing more difficult.”</w:t>
      </w:r>
      <w:r w:rsidR="006E48A0">
        <w:t xml:space="preserve"> </w:t>
      </w:r>
      <w:r w:rsidR="00142557">
        <w:t>(Stone, 2013)</w:t>
      </w:r>
      <w:r w:rsidR="0075000F">
        <w:t>.</w:t>
      </w:r>
      <w:r w:rsidR="006E48A0">
        <w:t xml:space="preserve"> Sadly it is not only the case of Stephen Lawrence where police have let down members of marginalised communities. The high profile killing of Chris Kaba, and George Floyd in the United States, among others, have left people questioning the legitimacy of police. As a result, people appear to be losing faith in the police</w:t>
      </w:r>
      <w:r w:rsidR="006C0921">
        <w:t xml:space="preserve">, resulting in increasing calls from pressure groups to defund the police. </w:t>
      </w:r>
    </w:p>
    <w:p w14:paraId="5E36F190" w14:textId="17629C85" w:rsidR="005C5E56" w:rsidRDefault="0075000F" w:rsidP="003B3F2F">
      <w:r>
        <w:t xml:space="preserve"> </w:t>
      </w:r>
      <w:r w:rsidR="009748B6">
        <w:t>Race is not the on</w:t>
      </w:r>
      <w:r w:rsidR="007A6DCD">
        <w:t xml:space="preserve">ly characteristic which has historically been at odds with policing. The LGBTQ+ community has also faced </w:t>
      </w:r>
      <w:r w:rsidR="00BA50F4">
        <w:t>discrimination</w:t>
      </w:r>
      <w:r w:rsidR="007A6DCD">
        <w:t xml:space="preserve"> at the hands of the law, and by extension, Policing. </w:t>
      </w:r>
      <w:r w:rsidR="006C7A36">
        <w:t xml:space="preserve"> From the decriminalisation of homosexuality in 1967, to the </w:t>
      </w:r>
      <w:r w:rsidR="00BA50F4">
        <w:t>eventual equalisation of the age of consent for gay and bisexual men in 2001, LGBTQ+ people have also been targeted by police as a result of a failure to adapt and accommodate diversity</w:t>
      </w:r>
      <w:r w:rsidR="00BC615A">
        <w:t>.</w:t>
      </w:r>
      <w:r w:rsidR="00712962">
        <w:t xml:space="preserve"> </w:t>
      </w:r>
      <w:r w:rsidR="00BA50F4">
        <w:t xml:space="preserve">The result of this is that despite positive changes, a disjuncture still exists as a result of </w:t>
      </w:r>
      <w:r w:rsidR="00BA50F4" w:rsidRPr="00BA50F4">
        <w:t>historical legacy left from previous forces that engaged in prejudicial policing</w:t>
      </w:r>
      <w:r w:rsidR="008F4CB8">
        <w:t xml:space="preserve"> (Pickles</w:t>
      </w:r>
      <w:r w:rsidR="004C0E84">
        <w:t xml:space="preserve">, </w:t>
      </w:r>
      <w:r w:rsidR="008F4CB8">
        <w:t>2019)</w:t>
      </w:r>
      <w:r w:rsidR="006C0921">
        <w:t xml:space="preserve">. That being said, there </w:t>
      </w:r>
      <w:r w:rsidR="00411A65">
        <w:t>are positive changes happening. “</w:t>
      </w:r>
      <w:r w:rsidR="00411A65" w:rsidRPr="00411A65">
        <w:t>If a case reported to the police comes to the CPS for prosecution, the conviction rate for homophobic crime is 89.2% and for transphobic crime is 79.7%.</w:t>
      </w:r>
      <w:r w:rsidR="00411A65">
        <w:t>” (Long, 2021), but how many cases don’t get passed to the CPS out of those that are reported? And what impact does that have on perceptions of this marginalised group?</w:t>
      </w:r>
      <w:r w:rsidR="005C5E56">
        <w:t xml:space="preserve"> </w:t>
      </w:r>
    </w:p>
    <w:p w14:paraId="5EAEE618" w14:textId="2DE967A1" w:rsidR="00354BDA" w:rsidRDefault="005C5E56" w:rsidP="00E6075E">
      <w:r>
        <w:t xml:space="preserve">The author can only conclude that although positive steps are being made, there is more work to be done. Shankly and Williams’s work suggests </w:t>
      </w:r>
      <w:r w:rsidR="00E6075E">
        <w:t>there remains a disproportionate wielding of  power by police forces in Britain (Shankly and Williams, 2020). As long as this remains the case, then the police cannot be said to be</w:t>
      </w:r>
      <w:r w:rsidR="007B74A8">
        <w:t xml:space="preserve"> fully</w:t>
      </w:r>
      <w:r w:rsidR="00E6075E">
        <w:t xml:space="preserve"> adapting to accommodate increasing diversity in the UK. </w:t>
      </w:r>
    </w:p>
    <w:p w14:paraId="72410FCB" w14:textId="0BBC6D4D" w:rsidR="00411A65" w:rsidRDefault="00E6075E" w:rsidP="003B3F2F">
      <w:r>
        <w:t>Word count : 107</w:t>
      </w:r>
      <w:r w:rsidR="007B74A8">
        <w:t>5</w:t>
      </w:r>
    </w:p>
    <w:p w14:paraId="3668625F" w14:textId="77777777" w:rsidR="001A02C0" w:rsidRDefault="001A02C0" w:rsidP="00535CB7"/>
    <w:p w14:paraId="60955214" w14:textId="77777777" w:rsidR="001A02C0" w:rsidRDefault="001A02C0" w:rsidP="00535CB7"/>
    <w:p w14:paraId="722B2C7A" w14:textId="77777777" w:rsidR="001A02C0" w:rsidRDefault="001A02C0" w:rsidP="00535CB7"/>
    <w:p w14:paraId="4FFED89E" w14:textId="77777777" w:rsidR="00E6075E" w:rsidRDefault="00E6075E" w:rsidP="00535CB7"/>
    <w:p w14:paraId="3232E06B" w14:textId="77777777" w:rsidR="00E6075E" w:rsidRDefault="00E6075E" w:rsidP="00535CB7"/>
    <w:p w14:paraId="57C34EF1" w14:textId="0F58F1B2" w:rsidR="00E6075E" w:rsidRPr="00F225EA" w:rsidRDefault="00CB444B" w:rsidP="00CB444B">
      <w:pPr>
        <w:pStyle w:val="ListParagraph"/>
        <w:numPr>
          <w:ilvl w:val="0"/>
          <w:numId w:val="1"/>
        </w:numPr>
        <w:rPr>
          <w:b/>
          <w:bCs/>
          <w:u w:val="single"/>
        </w:rPr>
      </w:pPr>
      <w:r w:rsidRPr="00F225EA">
        <w:rPr>
          <w:b/>
          <w:bCs/>
          <w:u w:val="single"/>
        </w:rPr>
        <w:t>Why is it important to manage mental wellbeing in policing? What can be the consequences if mental wellbeing is not managed appropriately?</w:t>
      </w:r>
    </w:p>
    <w:p w14:paraId="16AFCDC2" w14:textId="77777777" w:rsidR="004C229F" w:rsidRDefault="004C229F" w:rsidP="004C229F"/>
    <w:p w14:paraId="3B18A216" w14:textId="4E8928D9" w:rsidR="00EF7C0C" w:rsidRDefault="00956251" w:rsidP="004C229F">
      <w:r>
        <w:t xml:space="preserve">This short essay looks at the importance of managing mental wellbeing firstly by looking at a working definition of wellbeing, and then looking at what constitutes poor mental wellbeing, before moving on to look at what impacts this can have both generally and then specifically in a policing context. </w:t>
      </w:r>
    </w:p>
    <w:p w14:paraId="3807BEA3" w14:textId="109023FB" w:rsidR="00F7613C" w:rsidRDefault="00EF7C0C" w:rsidP="004C229F">
      <w:r>
        <w:t>According to the new-economics foundation</w:t>
      </w:r>
      <w:r w:rsidR="00BE1706">
        <w:t xml:space="preserve"> </w:t>
      </w:r>
      <w:r>
        <w:t>“</w:t>
      </w:r>
      <w:r w:rsidRPr="00EF7C0C">
        <w:t>Well-being can be understood as how people feel and how they function, both on a personal and a social level, and how they evaluate their lives as a whole.</w:t>
      </w:r>
      <w:r>
        <w:t>” (</w:t>
      </w:r>
      <w:r w:rsidRPr="00EF7C0C">
        <w:t xml:space="preserve">Michaelson, J., Mahony, S. and </w:t>
      </w:r>
      <w:proofErr w:type="spellStart"/>
      <w:r w:rsidRPr="00EF7C0C">
        <w:t>Schifferes</w:t>
      </w:r>
      <w:proofErr w:type="spellEnd"/>
      <w:r w:rsidRPr="00EF7C0C">
        <w:t xml:space="preserve">, J. </w:t>
      </w:r>
      <w:r>
        <w:t>2012)</w:t>
      </w:r>
      <w:r w:rsidR="00BE1706">
        <w:t xml:space="preserve">,  and although this definition provides a solid starting point for us, Jarden and Roache argue that a number of </w:t>
      </w:r>
      <w:r w:rsidR="00BE1706" w:rsidRPr="00BE1706">
        <w:t xml:space="preserve">differences </w:t>
      </w:r>
      <w:r w:rsidR="00BE1706">
        <w:t xml:space="preserve"> exist </w:t>
      </w:r>
      <w:r w:rsidR="00BE1706" w:rsidRPr="00BE1706">
        <w:t>in conceptualisations of wellbeing across different cultures, ages, and population groups</w:t>
      </w:r>
      <w:r w:rsidR="00BE1706">
        <w:t xml:space="preserve"> suggesting that the concept of manging wellbeing </w:t>
      </w:r>
      <w:r w:rsidR="00F7613C">
        <w:t>in relation</w:t>
      </w:r>
      <w:r w:rsidR="00BE1706">
        <w:t xml:space="preserve"> to policing</w:t>
      </w:r>
      <w:r w:rsidR="00F7613C">
        <w:t xml:space="preserve"> will be specific</w:t>
      </w:r>
      <w:r w:rsidR="00654C77">
        <w:t xml:space="preserve">. Poor well-being, can therefore be looked at in terms of poor functioning, not only on a personal and social level, but also in terms of performance at work. </w:t>
      </w:r>
    </w:p>
    <w:p w14:paraId="3C8B9B35" w14:textId="1C8CDCF3" w:rsidR="0037646B" w:rsidRDefault="005A03EE" w:rsidP="004C229F">
      <w:r>
        <w:t>UK based charity Mind suggest managing or reducing stress and improving sleep patterns as methods of improving mental wellbeing (MIND, 2019), two things which are particularly challenging as emergency response officers working</w:t>
      </w:r>
      <w:r w:rsidR="00060167">
        <w:t xml:space="preserve"> highly stressful jobs on</w:t>
      </w:r>
      <w:r>
        <w:t xml:space="preserve"> rotating shift patterns</w:t>
      </w:r>
      <w:r w:rsidR="00060167">
        <w:t>, not only that but student officers are required to manage academic studies in their limited down time</w:t>
      </w:r>
      <w:r>
        <w:t xml:space="preserve">. </w:t>
      </w:r>
      <w:r w:rsidR="00060167">
        <w:t>But why does MIND suggest these two options?</w:t>
      </w:r>
    </w:p>
    <w:p w14:paraId="1DCA8670" w14:textId="3F392216" w:rsidR="00654C77" w:rsidRDefault="00654C77" w:rsidP="004C229F">
      <w:r>
        <w:t>To begin with, f</w:t>
      </w:r>
      <w:r w:rsidR="007F5314">
        <w:t xml:space="preserve">ailure to achieve healthy sleep can have a </w:t>
      </w:r>
      <w:r w:rsidR="007F5314" w:rsidRPr="007F5314">
        <w:t>negative effect on people’s mood, energy, concentration, personal relationships, ability to stay awake during the day, and ability to carry out daily tasks</w:t>
      </w:r>
      <w:r w:rsidR="007F5314">
        <w:t xml:space="preserve"> </w:t>
      </w:r>
      <w:r w:rsidR="007F5314" w:rsidRPr="007F5314">
        <w:t xml:space="preserve">(Robotham, </w:t>
      </w:r>
      <w:proofErr w:type="spellStart"/>
      <w:r w:rsidR="007F5314" w:rsidRPr="007F5314">
        <w:t>Chakkalackal</w:t>
      </w:r>
      <w:proofErr w:type="spellEnd"/>
      <w:r w:rsidR="007F5314" w:rsidRPr="007F5314">
        <w:t xml:space="preserve"> and </w:t>
      </w:r>
      <w:proofErr w:type="spellStart"/>
      <w:r w:rsidR="007F5314" w:rsidRPr="007F5314">
        <w:t>Cyhlraova</w:t>
      </w:r>
      <w:proofErr w:type="spellEnd"/>
      <w:r w:rsidR="007F5314" w:rsidRPr="007F5314">
        <w:t>, n.d.</w:t>
      </w:r>
      <w:r w:rsidR="007F5314">
        <w:t>)</w:t>
      </w:r>
      <w:r w:rsidR="00711889">
        <w:t xml:space="preserve">. Although not strictly related to policing, a study on stress in paramedic (a similar field dealing with similar shifts and similar critical incidents) also found that respondents noted shift work as a primary source of vulnerability. It stated that through disruption of daily routines, sleep patterns and overall wellbeing, there could be a negative impact on </w:t>
      </w:r>
      <w:r w:rsidR="00DA6F3A">
        <w:t>respondent’s</w:t>
      </w:r>
      <w:r w:rsidR="00711889">
        <w:t xml:space="preserve"> self-care, mental health, and social life (Alzahrani et al 2023)</w:t>
      </w:r>
      <w:r w:rsidR="00DA6F3A">
        <w:t>. Further to this, Scott et al carried out a meta-analysis of a number of randomised controlled trials and concluded that sleep appears to be causally linked to mental health (and this well-being)</w:t>
      </w:r>
      <w:r w:rsidR="00A43CA9">
        <w:t>. (Scott et al, 2021)</w:t>
      </w:r>
      <w:r w:rsidR="003A4087">
        <w:t>. Considering this, it appears that people engaged in shift work such as police emergency response officers could be at a higher risk of poor mental health and well-being as a direct result of being shift workers.</w:t>
      </w:r>
      <w:r w:rsidR="00977FFD">
        <w:t xml:space="preserve"> </w:t>
      </w:r>
      <w:proofErr w:type="spellStart"/>
      <w:r w:rsidR="00977FFD" w:rsidRPr="00977FFD">
        <w:t>Åkerstedt</w:t>
      </w:r>
      <w:proofErr w:type="spellEnd"/>
      <w:r w:rsidR="00977FFD">
        <w:t xml:space="preserve"> </w:t>
      </w:r>
      <w:r w:rsidR="00977FFD" w:rsidRPr="00977FFD">
        <w:t>and Wright</w:t>
      </w:r>
      <w:r w:rsidR="00977FFD">
        <w:t xml:space="preserve"> seem to support this, stating that shift work that includes night shift (such as that of a police officer) will have “</w:t>
      </w:r>
      <w:r w:rsidR="00977FFD" w:rsidRPr="00977FFD">
        <w:t>pronounced negative effects on sleep, sleepiness, performance and accident risk</w:t>
      </w:r>
      <w:r w:rsidR="00977FFD">
        <w:t>”, and also stating that there are currently no effective treatments available to counteract all of the negative impact it has on human physiology and behaviour (</w:t>
      </w:r>
      <w:proofErr w:type="spellStart"/>
      <w:r w:rsidR="00977FFD" w:rsidRPr="00977FFD">
        <w:t>Åkerstedt</w:t>
      </w:r>
      <w:proofErr w:type="spellEnd"/>
      <w:r w:rsidR="00977FFD" w:rsidRPr="00977FFD">
        <w:t>, T. and Wright, K.</w:t>
      </w:r>
      <w:r w:rsidR="00977FFD">
        <w:t xml:space="preserve">P, </w:t>
      </w:r>
      <w:r w:rsidR="00977FFD" w:rsidRPr="00977FFD">
        <w:t>2009</w:t>
      </w:r>
      <w:r w:rsidR="00977FFD">
        <w:t>).</w:t>
      </w:r>
      <w:r>
        <w:t xml:space="preserve"> All of these can impact negatively on a police officer’s ability to perform their role correctly and safely.</w:t>
      </w:r>
    </w:p>
    <w:p w14:paraId="5BAA394F" w14:textId="598270B1" w:rsidR="00EE443F" w:rsidRDefault="00426442" w:rsidP="00E6075E">
      <w:r>
        <w:t xml:space="preserve">Gershon wrote about Police Work Stress, and, referencing Tang and Hammontree (Tang and Hammontree, 1992), stated that police stress can “seriously undermine the effectiveness of law enforcement agencies”, citing high turnover, absenteeism, compensation costs and poor productivity as well as more role specific issues as hyper-aggression and violence (Gershon et al 2008).  </w:t>
      </w:r>
      <w:r w:rsidR="00B368E0">
        <w:t xml:space="preserve">Gershon’s study assessed a number of American police officers and looked at </w:t>
      </w:r>
      <w:r w:rsidR="00B368E0">
        <w:lastRenderedPageBreak/>
        <w:t xml:space="preserve">common symptoms experienced by officers who faced a high level of perceived work-related stress. The study noted a number of concerning behavioural symptoms and stated that 15% of respondents admitted to smashing things, and 7% admitted to pushing, grabbing or hitting pets, and 7% each to fellow officers, partners, or children. The study also found that </w:t>
      </w:r>
      <w:r w:rsidR="008037AA">
        <w:t xml:space="preserve">of </w:t>
      </w:r>
      <w:r w:rsidR="00B368E0">
        <w:t xml:space="preserve">all five categories </w:t>
      </w:r>
      <w:r w:rsidR="00605D9B">
        <w:t>of the assessed</w:t>
      </w:r>
      <w:r w:rsidR="00B368E0">
        <w:t xml:space="preserve"> negative behaviours</w:t>
      </w:r>
      <w:r w:rsidR="00605D9B">
        <w:t>,</w:t>
      </w:r>
      <w:r w:rsidR="008037AA">
        <w:t xml:space="preserve"> the strongest associations with high stress were for aggression and interpersonal conflict. </w:t>
      </w:r>
      <w:r w:rsidR="00B368E0">
        <w:t xml:space="preserve"> (Gershon et al, 2008).</w:t>
      </w:r>
      <w:r w:rsidR="003D5A02">
        <w:t xml:space="preserve"> </w:t>
      </w:r>
      <w:r w:rsidR="00E17C7A">
        <w:t>One study of an elite unit of Brazilian police officers who had been specially selected, and highly trained still showed higher than normal prevalence of PTSD, experiencing symptoms which are associated with evidences of impaired psychosocial functioning (Maia et al., 2007).</w:t>
      </w:r>
    </w:p>
    <w:p w14:paraId="6E1C324D" w14:textId="667AAFE6" w:rsidR="003E6356" w:rsidRDefault="00D14557" w:rsidP="00E6075E">
      <w:r>
        <w:t>Even</w:t>
      </w:r>
      <w:r w:rsidR="00E17C7A">
        <w:t xml:space="preserve"> </w:t>
      </w:r>
      <w:r>
        <w:t>looking at two just two aspects of poor well-being linked to policing paints a picture of a job that can have a detrimental impact on those in the role. The previous paragraphs have also given some examples of what those impacts might be; be it poor sleep or stress leading to such consequences as absenteeism, poor performance, sleepiness, anxiety and other mental health and physiological conditions, or more concerning issues such as increased behavioural aggression and instances of interpersonal conflict</w:t>
      </w:r>
      <w:r w:rsidR="00E17C7A">
        <w:t>, and general impaired psychosocial functioning</w:t>
      </w:r>
      <w:r>
        <w:t>.</w:t>
      </w:r>
      <w:r w:rsidR="00681B7E">
        <w:t xml:space="preserve"> These thus have further consequences for both the individual officer, </w:t>
      </w:r>
      <w:r w:rsidR="001B5200">
        <w:t>policing, and</w:t>
      </w:r>
      <w:r w:rsidR="00E17C7A">
        <w:t>, at times, to the public whom the police are sworn to serve</w:t>
      </w:r>
      <w:r w:rsidR="003E6356">
        <w:t xml:space="preserve">, evidenced by a study in Frontiers of society which stated that unaddressed stress can “contribute to </w:t>
      </w:r>
      <w:r w:rsidR="001B5200">
        <w:t>e</w:t>
      </w:r>
      <w:r w:rsidR="001B5200" w:rsidRPr="001B5200">
        <w:t xml:space="preserve">levated rates of mental illness and suicide in policing, and to violent and aggressive </w:t>
      </w:r>
      <w:proofErr w:type="spellStart"/>
      <w:r w:rsidR="001B5200" w:rsidRPr="001B5200">
        <w:t>behavio</w:t>
      </w:r>
      <w:r w:rsidR="001B5200">
        <w:t>r</w:t>
      </w:r>
      <w:proofErr w:type="spellEnd"/>
      <w:r w:rsidR="001B5200" w:rsidRPr="001B5200">
        <w:t xml:space="preserve"> </w:t>
      </w:r>
      <w:r w:rsidR="001B5200">
        <w:t>[</w:t>
      </w:r>
      <w:r w:rsidR="001B5200" w:rsidRPr="001B5200">
        <w:rPr>
          <w:i/>
          <w:iCs/>
        </w:rPr>
        <w:t>sic</w:t>
      </w:r>
      <w:r w:rsidR="001B5200">
        <w:t xml:space="preserve">] </w:t>
      </w:r>
      <w:r w:rsidR="001B5200" w:rsidRPr="001B5200">
        <w:t xml:space="preserve">that disproportionately impacts communities of </w:t>
      </w:r>
      <w:proofErr w:type="spellStart"/>
      <w:r w:rsidR="001B5200" w:rsidRPr="001B5200">
        <w:t>color</w:t>
      </w:r>
      <w:proofErr w:type="spellEnd"/>
      <w:r w:rsidR="001B5200">
        <w:t xml:space="preserve"> [</w:t>
      </w:r>
      <w:r w:rsidR="001B5200" w:rsidRPr="001B5200">
        <w:rPr>
          <w:i/>
          <w:iCs/>
        </w:rPr>
        <w:t>sic</w:t>
      </w:r>
      <w:r w:rsidR="001B5200">
        <w:t>]</w:t>
      </w:r>
      <w:r w:rsidR="001B5200" w:rsidRPr="001B5200">
        <w:t>.</w:t>
      </w:r>
      <w:r w:rsidR="001B5200">
        <w:t>” (Grupe et al., 2021).</w:t>
      </w:r>
      <w:r w:rsidR="00BD5754">
        <w:t xml:space="preserve"> The same study however found that an 8 week ‘mindfulness intervention’ led to a self-improved improvement in distress, mental health and sleep. </w:t>
      </w:r>
    </w:p>
    <w:p w14:paraId="1DA1D3CE" w14:textId="3909BDEC" w:rsidR="00606422" w:rsidRDefault="00763AA1" w:rsidP="00E6075E">
      <w:r>
        <w:t xml:space="preserve">Police officers </w:t>
      </w:r>
      <w:r w:rsidR="00E22665">
        <w:t>encounter</w:t>
      </w:r>
      <w:r>
        <w:t xml:space="preserve"> traumatic incidents regularly and as a matter of course, and, as part of those incidents, will often interact with those suffering from the negative effects of poor wellbeing particularly those suffering from poor mental health and those who are in crisis. Officers are expected to deal with these people with professionalism, care and compassion, but also with the authority of the law. Where often the behaviour of people with poor mental health is excused, that does not appear to be the case for police officers, where “</w:t>
      </w:r>
      <w:r w:rsidRPr="00763AA1">
        <w:t>Genuine political and public understanding of trauma exposure on the front line has a lot to be desired</w:t>
      </w:r>
      <w:r>
        <w:t>”. (</w:t>
      </w:r>
      <w:r w:rsidRPr="00763AA1">
        <w:t>Miller</w:t>
      </w:r>
      <w:r>
        <w:t xml:space="preserve"> </w:t>
      </w:r>
      <w:r w:rsidRPr="00763AA1">
        <w:t>2022)</w:t>
      </w:r>
      <w:r>
        <w:t xml:space="preserve">. </w:t>
      </w:r>
      <w:r w:rsidR="00E22665">
        <w:t>That is not to say that excessive use of force, crimes carried out by officers, or decisions based in discriminatory biases should be excused, rather, that an increased focus on officer wellbeing through mindfulness may result in fewer absen</w:t>
      </w:r>
      <w:r w:rsidR="00AD78E0">
        <w:t>teeism</w:t>
      </w:r>
      <w:r w:rsidR="00E22665">
        <w:t xml:space="preserve">, better decision making, </w:t>
      </w:r>
      <w:r w:rsidR="00AD78E0">
        <w:t xml:space="preserve">increased </w:t>
      </w:r>
      <w:r w:rsidR="00C15EA6">
        <w:t xml:space="preserve">productivity, </w:t>
      </w:r>
      <w:r w:rsidR="00AD78E0">
        <w:t xml:space="preserve">and even </w:t>
      </w:r>
      <w:r w:rsidR="00C15EA6">
        <w:t xml:space="preserve">fewer instances of excessive force </w:t>
      </w:r>
      <w:r w:rsidR="00AD78E0">
        <w:t>that may have been a result of aggression caused by stress and poor mental health. This suggests that happier, healthier officers in turn could help reduce the number of critical, high-profile incidents which negatively affect public perception of the police.</w:t>
      </w:r>
    </w:p>
    <w:p w14:paraId="2A927394" w14:textId="6C4EEA1D" w:rsidR="003E6356" w:rsidRDefault="00AD78E0" w:rsidP="00E6075E">
      <w:r>
        <w:t>Word count : 1051</w:t>
      </w:r>
    </w:p>
    <w:p w14:paraId="53FFECB0" w14:textId="77777777" w:rsidR="00681B7E" w:rsidRDefault="00681B7E" w:rsidP="00E6075E"/>
    <w:p w14:paraId="46F80357" w14:textId="77777777" w:rsidR="00681B7E" w:rsidRDefault="00681B7E" w:rsidP="00E6075E"/>
    <w:p w14:paraId="496E2B88" w14:textId="77777777" w:rsidR="00D32ADF" w:rsidRDefault="00D32ADF" w:rsidP="00E6075E"/>
    <w:p w14:paraId="79EC94BE" w14:textId="77777777" w:rsidR="00D32ADF" w:rsidRDefault="00D32ADF" w:rsidP="00E6075E"/>
    <w:p w14:paraId="6E9CC8C9" w14:textId="77777777" w:rsidR="00D32ADF" w:rsidRDefault="00D32ADF" w:rsidP="00E6075E"/>
    <w:p w14:paraId="2CB0FA5B" w14:textId="77777777" w:rsidR="00D32ADF" w:rsidRDefault="00D32ADF" w:rsidP="00E6075E"/>
    <w:p w14:paraId="61083947" w14:textId="5C489BE4" w:rsidR="00D32ADF" w:rsidRPr="00F225EA" w:rsidRDefault="00D32ADF" w:rsidP="00D32ADF">
      <w:pPr>
        <w:pStyle w:val="ListParagraph"/>
        <w:numPr>
          <w:ilvl w:val="0"/>
          <w:numId w:val="1"/>
        </w:numPr>
        <w:rPr>
          <w:b/>
          <w:bCs/>
          <w:u w:val="single"/>
        </w:rPr>
      </w:pPr>
      <w:r w:rsidRPr="00F225EA">
        <w:rPr>
          <w:b/>
          <w:bCs/>
          <w:u w:val="single"/>
        </w:rPr>
        <w:lastRenderedPageBreak/>
        <w:t>How might personal attitudes, values and bias impact upon the effective investigation of volume crime?</w:t>
      </w:r>
    </w:p>
    <w:p w14:paraId="67D05841" w14:textId="77777777" w:rsidR="009803F2" w:rsidRDefault="009803F2" w:rsidP="009803F2"/>
    <w:p w14:paraId="4C6ED717" w14:textId="40AA8552" w:rsidR="009803F2" w:rsidRDefault="00DE1DC8" w:rsidP="009803F2">
      <w:r>
        <w:t>In order to address the question, it is important to first define and understand, what is volume crime?</w:t>
      </w:r>
    </w:p>
    <w:p w14:paraId="74E2D98E" w14:textId="1DD91632" w:rsidR="004B3E35" w:rsidRDefault="004B3E35" w:rsidP="009803F2">
      <w:r>
        <w:t>The NPIA defines it as:</w:t>
      </w:r>
    </w:p>
    <w:p w14:paraId="162FF7DE" w14:textId="40C61CCF" w:rsidR="00C24B77" w:rsidRDefault="00DE1DC8" w:rsidP="009803F2">
      <w:r>
        <w:t>“</w:t>
      </w:r>
      <w:r w:rsidR="00C24B77">
        <w:t xml:space="preserve">any crime which, through its sheer volume, has a significant impact on the community and the ability of the local police to tackle it.” </w:t>
      </w:r>
      <w:r w:rsidR="004B3E35">
        <w:t>(NPIA, 2009).</w:t>
      </w:r>
    </w:p>
    <w:p w14:paraId="138096AE" w14:textId="51262E2C" w:rsidR="00DE1DC8" w:rsidRDefault="004B3E35" w:rsidP="009803F2">
      <w:r>
        <w:t>It often</w:t>
      </w:r>
      <w:r w:rsidR="00C24B77">
        <w:t xml:space="preserve"> includes priority crimes such as street robbery, burglary and vehicle related criminality, but can also apply to criminal damage or assaults.</w:t>
      </w:r>
      <w:r>
        <w:t xml:space="preserve"> (NPIA, 2009).</w:t>
      </w:r>
    </w:p>
    <w:p w14:paraId="7FCECA9C" w14:textId="7773990D" w:rsidR="004B3E35" w:rsidRPr="004F20E6" w:rsidRDefault="004F20E6" w:rsidP="009803F2">
      <w:r>
        <w:t xml:space="preserve">Research into effective crime investigation was looked at in </w:t>
      </w:r>
      <w:r>
        <w:rPr>
          <w:i/>
          <w:iCs/>
        </w:rPr>
        <w:t>Volume crime investigations: a review of the research and literature</w:t>
      </w:r>
      <w:r>
        <w:t>. I</w:t>
      </w:r>
      <w:r w:rsidR="00A73DBB">
        <w:t>n it, Jansson</w:t>
      </w:r>
      <w:r>
        <w:t xml:space="preserve"> reviewed </w:t>
      </w:r>
      <w:r w:rsidR="00A73DBB">
        <w:t xml:space="preserve">relevant </w:t>
      </w:r>
      <w:r>
        <w:t>academic research and attempted to identify effective approaches to the investigation of volume crime</w:t>
      </w:r>
      <w:r w:rsidR="00A73DBB">
        <w:t xml:space="preserve">, detailing links between the investigative process and detection. She noted several factors which contributed to detection and outcome of volume crime, including but not limited </w:t>
      </w:r>
      <w:r w:rsidR="00CE4F42">
        <w:t>to</w:t>
      </w:r>
      <w:r w:rsidR="00A73DBB">
        <w:t xml:space="preserve"> the actions at the scene, further investigations, and Proactive investigations and management</w:t>
      </w:r>
      <w:r w:rsidR="00CE4F42">
        <w:t xml:space="preserve">. She also noted that the public had a key role in the detecting and solving of crimes. </w:t>
      </w:r>
      <w:r w:rsidR="00A73DBB">
        <w:t>(Jansson, 2005).</w:t>
      </w:r>
      <w:r w:rsidR="00CE4F42">
        <w:t xml:space="preserve"> </w:t>
      </w:r>
      <w:r w:rsidR="00D110C3">
        <w:t xml:space="preserve"> In this essay Jansson’s review will be used to form a framework from which we can show how personal attitudes values and bias might impact on the effective investigation of volume crime.</w:t>
      </w:r>
    </w:p>
    <w:p w14:paraId="69B18E79" w14:textId="07E14E0B" w:rsidR="005E0DF5" w:rsidRDefault="00CC1C4F" w:rsidP="005E0DF5">
      <w:proofErr w:type="spellStart"/>
      <w:r>
        <w:t>Jannson’s</w:t>
      </w:r>
      <w:proofErr w:type="spellEnd"/>
      <w:r>
        <w:t xml:space="preserve"> work referenc</w:t>
      </w:r>
      <w:r w:rsidR="00271369">
        <w:t>ed</w:t>
      </w:r>
      <w:r>
        <w:t xml:space="preserve"> several dated studies including the RAND study on criminal investigations in the US (which was highly critical of the impact of detective effort</w:t>
      </w:r>
      <w:r w:rsidR="00225770">
        <w:t xml:space="preserve"> instead noting external factors outside of officer’s control</w:t>
      </w:r>
      <w:r w:rsidR="00271369">
        <w:t xml:space="preserve"> as the most important factor on successful outcomes</w:t>
      </w:r>
      <w:r>
        <w:t xml:space="preserve">) </w:t>
      </w:r>
      <w:r w:rsidR="00D834AC" w:rsidRPr="00D834AC">
        <w:t xml:space="preserve">(Greenwood and </w:t>
      </w:r>
      <w:proofErr w:type="spellStart"/>
      <w:r w:rsidR="00D834AC" w:rsidRPr="00D834AC">
        <w:t>Petersiua</w:t>
      </w:r>
      <w:proofErr w:type="spellEnd"/>
      <w:r w:rsidR="00D834AC" w:rsidRPr="00D834AC">
        <w:t xml:space="preserve">, </w:t>
      </w:r>
      <w:r w:rsidR="00D834AC">
        <w:t>1975</w:t>
      </w:r>
      <w:r w:rsidR="00D834AC" w:rsidRPr="00D834AC">
        <w:t>)</w:t>
      </w:r>
      <w:r w:rsidR="00D834AC">
        <w:t xml:space="preserve"> </w:t>
      </w:r>
      <w:r>
        <w:t xml:space="preserve">and </w:t>
      </w:r>
      <w:r w:rsidR="00225770">
        <w:t>Eck</w:t>
      </w:r>
      <w:r>
        <w:t>’s</w:t>
      </w:r>
      <w:r w:rsidR="00225770">
        <w:t xml:space="preserve"> analysis (which concluded that both preliminary and secondary investigations by officers were crucial in solving crime.)</w:t>
      </w:r>
      <w:r w:rsidR="00D834AC">
        <w:t xml:space="preserve">(Eck, 1983).  </w:t>
      </w:r>
      <w:r w:rsidR="00E759BC">
        <w:t>Despite changes in policing, society and the nature of crime since the aforementioned studies, her findings appear balanced and provide us with a platform to analyse the impact of personal attitudes, values and bias upon the effective investigation of volume crime</w:t>
      </w:r>
      <w:r w:rsidR="00424016">
        <w:t xml:space="preserve">. If the most important factors involved in effective investigation are as she lists, then we have three officer related factors and one public related factor, all of which will be impacted by personal attitudes and bias. </w:t>
      </w:r>
      <w:r w:rsidR="00752750">
        <w:t xml:space="preserve"> </w:t>
      </w:r>
    </w:p>
    <w:p w14:paraId="4AA853E0" w14:textId="786E993D" w:rsidR="00836A23" w:rsidRDefault="00836A23" w:rsidP="005E0DF5">
      <w:r>
        <w:t>Next</w:t>
      </w:r>
      <w:r>
        <w:t>,</w:t>
      </w:r>
      <w:r>
        <w:t xml:space="preserve"> we will look at three of the four factors listed by Jansson, that is actions at the scene, further investigations, and proactive investigations and management</w:t>
      </w:r>
      <w:r>
        <w:t xml:space="preserve">. </w:t>
      </w:r>
      <w:r w:rsidR="00FA0C56">
        <w:t>In order to better illustrate the impact of bias on effective investigation of volume crime, we will take a</w:t>
      </w:r>
      <w:r w:rsidR="0089008D">
        <w:t>n imagined scenario and use it to show where Jansson’s listed factors are most obvious</w:t>
      </w:r>
      <w:r>
        <w:t>ly impactive</w:t>
      </w:r>
      <w:r w:rsidR="0089008D">
        <w:t>.</w:t>
      </w:r>
      <w:r w:rsidR="00FA0C56">
        <w:t xml:space="preserve"> </w:t>
      </w:r>
    </w:p>
    <w:p w14:paraId="27074C90" w14:textId="4F841906" w:rsidR="0089008D" w:rsidRDefault="00690EB0" w:rsidP="005E0DF5">
      <w:r>
        <w:t>In a hypothetical scenario where a victim of crime presents in a way which the attending officer has a bias against a specific</w:t>
      </w:r>
      <w:r>
        <w:t xml:space="preserve"> characteristic</w:t>
      </w:r>
      <w:r>
        <w:t xml:space="preserve"> </w:t>
      </w:r>
      <w:r w:rsidR="0089008D">
        <w:t>(for example – a person of a different race / sexuality/ class)</w:t>
      </w:r>
      <w:r>
        <w:t>, they may from an opinion about that person’s reliability as a witness and whether or not they are telling the truth. That in turn could impact on how much effort that officer puts into that</w:t>
      </w:r>
      <w:r w:rsidR="0089008D">
        <w:t xml:space="preserve"> initial</w:t>
      </w:r>
      <w:r>
        <w:t xml:space="preserve"> investigation</w:t>
      </w:r>
      <w:r w:rsidR="0089008D">
        <w:t xml:space="preserve"> failing to carry out appropriate golden hour investigative actions (Actions at the scene). </w:t>
      </w:r>
    </w:p>
    <w:p w14:paraId="1351AC42" w14:textId="61F09D77" w:rsidR="005E0DF5" w:rsidRDefault="0089008D" w:rsidP="005E0DF5">
      <w:r>
        <w:t>The officer might decide that there is less value in investigating that specific crime,</w:t>
      </w:r>
      <w:r w:rsidR="00690EB0">
        <w:t xml:space="preserve"> prioritising other work over it</w:t>
      </w:r>
      <w:r>
        <w:t xml:space="preserve"> (for example </w:t>
      </w:r>
      <w:r w:rsidR="00836A23">
        <w:t xml:space="preserve">a white officer choosing to prioritise an investigation where the </w:t>
      </w:r>
      <w:r w:rsidR="00836A23">
        <w:lastRenderedPageBreak/>
        <w:t>victim is also white over another where the victim is not</w:t>
      </w:r>
      <w:r>
        <w:t>)</w:t>
      </w:r>
      <w:r w:rsidR="00690EB0">
        <w:t xml:space="preserve">. As a result of deprioritising that investigation they may miss potentially vital evidence </w:t>
      </w:r>
      <w:r w:rsidR="00127E2A">
        <w:t xml:space="preserve">(such as CCTV </w:t>
      </w:r>
      <w:r w:rsidR="005D1FD3">
        <w:t>self-deleting</w:t>
      </w:r>
      <w:r w:rsidR="00127E2A">
        <w:t xml:space="preserve"> after 30 days) </w:t>
      </w:r>
      <w:r w:rsidR="00690EB0">
        <w:t xml:space="preserve">which could then result in the investigation being </w:t>
      </w:r>
      <w:r>
        <w:t>unsuccessful (Proactive investigations and management).</w:t>
      </w:r>
      <w:r w:rsidR="00690EB0">
        <w:t xml:space="preserve"> Alternatively, an officer might</w:t>
      </w:r>
      <w:r w:rsidR="00127E2A">
        <w:t xml:space="preserve"> </w:t>
      </w:r>
      <w:r w:rsidR="00690EB0">
        <w:t xml:space="preserve">be led in one direction towards a particular suspect based on those biases rather than </w:t>
      </w:r>
      <w:r w:rsidR="00127E2A">
        <w:t>fully exploring all investigative avenues essentially wasting investigational resource on a ‘red herring’ as a result of their own biases</w:t>
      </w:r>
      <w:r>
        <w:t xml:space="preserve"> (Further investigations)</w:t>
      </w:r>
      <w:r w:rsidR="00127E2A">
        <w:t xml:space="preserve">. Despite these being hypothetical scenarios, </w:t>
      </w:r>
      <w:r w:rsidR="00836A23">
        <w:t>research evidencing</w:t>
      </w:r>
      <w:r w:rsidR="00C42650">
        <w:t xml:space="preserve"> this </w:t>
      </w:r>
      <w:r w:rsidR="00836A23">
        <w:t>as</w:t>
      </w:r>
      <w:r w:rsidR="00C42650">
        <w:t xml:space="preserve"> an issue in policing can be found in </w:t>
      </w:r>
      <w:r w:rsidR="00127E2A">
        <w:t>a study on confirmation bias and other systemic causes of wrongful convictions</w:t>
      </w:r>
      <w:r w:rsidR="00C42650">
        <w:t xml:space="preserve"> which</w:t>
      </w:r>
      <w:r w:rsidR="00127E2A">
        <w:t xml:space="preserve"> found that</w:t>
      </w:r>
      <w:r w:rsidR="00CE4E7E">
        <w:t xml:space="preserve"> c</w:t>
      </w:r>
      <w:r w:rsidR="00CE4E7E" w:rsidRPr="00CE4E7E">
        <w:t>ognitive biase</w:t>
      </w:r>
      <w:r w:rsidR="00CE4E7E">
        <w:t xml:space="preserve">s </w:t>
      </w:r>
      <w:r w:rsidR="005D1FD3">
        <w:t xml:space="preserve">(including confirmation bias) </w:t>
      </w:r>
      <w:r w:rsidR="00CE4E7E">
        <w:t>were t</w:t>
      </w:r>
      <w:r w:rsidR="00CE4E7E" w:rsidRPr="00CE4E7E">
        <w:t>he most frequent cause of failure</w:t>
      </w:r>
      <w:r w:rsidR="00C42650">
        <w:t xml:space="preserve"> in criminal investigations which resulted in wrongful conviction</w:t>
      </w:r>
      <w:r w:rsidR="00DA655C">
        <w:t xml:space="preserve"> (</w:t>
      </w:r>
      <w:proofErr w:type="spellStart"/>
      <w:r w:rsidR="00DA655C">
        <w:t>Rossomo</w:t>
      </w:r>
      <w:proofErr w:type="spellEnd"/>
      <w:r w:rsidR="00DA655C">
        <w:t xml:space="preserve"> and Pollock</w:t>
      </w:r>
      <w:r w:rsidR="007A49F9">
        <w:t>,</w:t>
      </w:r>
      <w:r w:rsidR="00DA655C">
        <w:t xml:space="preserve"> 2019)</w:t>
      </w:r>
      <w:r w:rsidR="007A49F9">
        <w:t xml:space="preserve">. </w:t>
      </w:r>
    </w:p>
    <w:p w14:paraId="0114A98F" w14:textId="415DEF78" w:rsidR="007A49F9" w:rsidRDefault="007A49F9" w:rsidP="005E0DF5">
      <w:r>
        <w:t xml:space="preserve">Repeated failings by police to deal with victims of crime appropriately has resulted in the creation of the Victim’s code of practice which sets out statutory guidance as to the rights and entitlements of victims of crime (Ministry of Justice, 2005). Where these guidelines are not met, victims are let down, causing a negative association to be formed in respect to police. </w:t>
      </w:r>
      <w:r w:rsidR="00425C1C">
        <w:br/>
      </w:r>
      <w:r>
        <w:t>People who have a negative impression of the police are in turn less likely to provide supportive victim/witness statements to police, statements which could be vital to the investigation</w:t>
      </w:r>
      <w:r w:rsidR="00425C1C">
        <w:t>. Given that these failings are more likely to happen to those who</w:t>
      </w:r>
      <w:r w:rsidR="00483AEE">
        <w:t xml:space="preserve"> </w:t>
      </w:r>
      <w:r w:rsidR="00425C1C">
        <w:t>are viewed in a biased manner by police officers (such as those of minority ethnicities, sexualities / gender nonconformity etc)</w:t>
      </w:r>
      <w:r w:rsidR="00483AEE">
        <w:t>, people who belong to those minority groups should therefore be less likely to have their reported crimes investigated / solved s</w:t>
      </w:r>
      <w:r w:rsidR="00A51832">
        <w:t>uccessfully</w:t>
      </w:r>
      <w:r w:rsidR="00483AEE">
        <w:t>.  Logically</w:t>
      </w:r>
      <w:r w:rsidR="00A51832">
        <w:t>,</w:t>
      </w:r>
      <w:r w:rsidR="00483AEE">
        <w:t xml:space="preserve"> this in turn</w:t>
      </w:r>
      <w:r w:rsidR="00A51832">
        <w:t xml:space="preserve"> is likely to further erode their trust in</w:t>
      </w:r>
      <w:r w:rsidR="00FA0C56">
        <w:t xml:space="preserve"> the</w:t>
      </w:r>
      <w:r w:rsidR="00A51832">
        <w:t xml:space="preserve"> police</w:t>
      </w:r>
      <w:r w:rsidR="00FA0C56">
        <w:t xml:space="preserve"> thereby impacting on future investigations into volume crime. </w:t>
      </w:r>
    </w:p>
    <w:p w14:paraId="67E1FB7C" w14:textId="37E5502F" w:rsidR="004B3E35" w:rsidRDefault="00A14102" w:rsidP="009803F2">
      <w:r>
        <w:t>The most notable</w:t>
      </w:r>
      <w:r w:rsidR="002D6EC7">
        <w:t xml:space="preserve"> investigative</w:t>
      </w:r>
      <w:r>
        <w:t xml:space="preserve"> failure</w:t>
      </w:r>
      <w:r w:rsidR="002D6EC7">
        <w:t xml:space="preserve"> by police</w:t>
      </w:r>
      <w:r>
        <w:t xml:space="preserve"> in recent times is arguably the investigation into the murder of Stephen Lawrence</w:t>
      </w:r>
      <w:r w:rsidR="002D6EC7">
        <w:t xml:space="preserve">, </w:t>
      </w:r>
      <w:r>
        <w:t xml:space="preserve">an 18-year-old man who was killed in a racist attack in 1993. The investigation stands out as one of the defining failures of police investigations in the UK, failures which (as was later reported in the Macpherson report) came about as a direct result of racial biases, and </w:t>
      </w:r>
      <w:r w:rsidR="002D6EC7">
        <w:t>whilst</w:t>
      </w:r>
      <w:r>
        <w:t xml:space="preserve"> murder is not a considered volume crime it gives us some insight into </w:t>
      </w:r>
      <w:r w:rsidR="002D6EC7">
        <w:t>the potential issues that can arise</w:t>
      </w:r>
      <w:r>
        <w:t xml:space="preserve"> in an investigation where negative biases are present; that is a failure to properly investigate promptly and effectively and potentially a failure to achieve justice for the victims of crime</w:t>
      </w:r>
      <w:r w:rsidR="004E6F70">
        <w:t>.</w:t>
      </w:r>
    </w:p>
    <w:p w14:paraId="54AC6436" w14:textId="69123921" w:rsidR="004E6F70" w:rsidRDefault="004E6F70" w:rsidP="009803F2">
      <w:r>
        <w:t>Overall, personal attitudes, values and bias can have a dramatic impact on the investigation of not only volume crime</w:t>
      </w:r>
      <w:r w:rsidR="00C560BB">
        <w:t xml:space="preserve"> (and</w:t>
      </w:r>
      <w:r>
        <w:t xml:space="preserve"> more serious offences</w:t>
      </w:r>
      <w:r w:rsidR="00C560BB">
        <w:t>)</w:t>
      </w:r>
      <w:r w:rsidR="002D6EC7">
        <w:t>.</w:t>
      </w:r>
      <w:r>
        <w:t xml:space="preserve"> </w:t>
      </w:r>
      <w:r w:rsidR="002D6EC7">
        <w:t>F</w:t>
      </w:r>
      <w:r w:rsidR="00C560BB">
        <w:t>rom the first point of attendance officer attitude can impact the quality of evidence gathered which in turn impacts on the further investigations available (missed evidence means missed opportunities and lines of enquiry),  to the management of investigations (communication between police and victims /witnesses) which can affect the buy in and support of victims and witnesses which in turn has a knock on effect on the evidence they are able or willing to provide. The impact of negative bias can even go so far as to negatively impact on police relations with certain communities</w:t>
      </w:r>
      <w:r w:rsidR="002D6EC7">
        <w:t xml:space="preserve"> such as how the</w:t>
      </w:r>
      <w:r w:rsidR="00C560BB">
        <w:t xml:space="preserve"> Stephen Lawrence investigation </w:t>
      </w:r>
      <w:r w:rsidR="002D6EC7">
        <w:t>negatively affected the trust the</w:t>
      </w:r>
      <w:r w:rsidR="00C560BB">
        <w:t xml:space="preserve"> black community has in police</w:t>
      </w:r>
      <w:r w:rsidR="002D6EC7">
        <w:t>. and as such the potential harm that negative bias/personal views can have goes beyond the immediate concern of successful investigations.</w:t>
      </w:r>
    </w:p>
    <w:p w14:paraId="68983825" w14:textId="1BF100AC" w:rsidR="009803F2" w:rsidRDefault="002D6EC7" w:rsidP="009803F2">
      <w:r>
        <w:t>Word count 1098</w:t>
      </w:r>
    </w:p>
    <w:p w14:paraId="76F629ED" w14:textId="77777777" w:rsidR="009803F2" w:rsidRDefault="009803F2" w:rsidP="009803F2"/>
    <w:p w14:paraId="10635974" w14:textId="610036E0" w:rsidR="00D32ADF" w:rsidRDefault="00F225EA" w:rsidP="00F225EA">
      <w:pPr>
        <w:pStyle w:val="ListParagraph"/>
        <w:numPr>
          <w:ilvl w:val="0"/>
          <w:numId w:val="1"/>
        </w:numPr>
        <w:rPr>
          <w:b/>
          <w:bCs/>
          <w:u w:val="single"/>
        </w:rPr>
      </w:pPr>
      <w:r w:rsidRPr="00F225EA">
        <w:rPr>
          <w:b/>
          <w:bCs/>
          <w:u w:val="single"/>
        </w:rPr>
        <w:lastRenderedPageBreak/>
        <w:t>Outline potential links between serious and organised crime and public protection issues. What characteristics make some people more vulnerable to exploitation by serious and organised crime gangs?</w:t>
      </w:r>
    </w:p>
    <w:p w14:paraId="1F3ECD27" w14:textId="77777777" w:rsidR="004443F7" w:rsidRDefault="004443F7" w:rsidP="004443F7">
      <w:pPr>
        <w:rPr>
          <w:b/>
          <w:bCs/>
          <w:u w:val="single"/>
        </w:rPr>
      </w:pPr>
    </w:p>
    <w:p w14:paraId="21505B40" w14:textId="11DED130" w:rsidR="004443F7" w:rsidRDefault="008527B1" w:rsidP="004443F7">
      <w:pPr>
        <w:rPr>
          <w:b/>
          <w:bCs/>
          <w:u w:val="single"/>
        </w:rPr>
      </w:pPr>
      <w:r>
        <w:t>Serious and Organised crime can be defined as “I</w:t>
      </w:r>
      <w:r>
        <w:t xml:space="preserve">ndividuals planning, coordinating and committing serious offences, whether individually, in groups and/or as part of transnational networks. The main categories of serious offences covered by the term are: child sexual exploitation and abuse; illegal drugs; illegal firearms; fraud; money laundering and other economic crime; bribery and corruption; organised immigration crime; modern slavery and human trafficking; and </w:t>
      </w:r>
      <w:proofErr w:type="spellStart"/>
      <w:r>
        <w:t>cyber crime</w:t>
      </w:r>
      <w:proofErr w:type="spellEnd"/>
      <w:r>
        <w:t>” (Home Office, 2018)</w:t>
      </w:r>
    </w:p>
    <w:p w14:paraId="24C8809C" w14:textId="3A7BA72D" w:rsidR="004443F7" w:rsidRDefault="00F644C3" w:rsidP="004443F7">
      <w:r>
        <w:t xml:space="preserve">This essay aims to outline the potential links between serious and organised crime and public protection issues </w:t>
      </w:r>
      <w:r w:rsidR="00E164D4">
        <w:t>by</w:t>
      </w:r>
      <w:r>
        <w:t xml:space="preserve"> examining what makes some people more vulnerable to exploitation by these gangs. </w:t>
      </w:r>
    </w:p>
    <w:p w14:paraId="1958E7C8" w14:textId="5A7F01DF" w:rsidR="002C4EA5" w:rsidRDefault="00E164D4" w:rsidP="004443F7">
      <w:r>
        <w:t xml:space="preserve">What makes some people more vulnerable to exploitation than others? </w:t>
      </w:r>
      <w:r w:rsidR="00C74BB0">
        <w:t xml:space="preserve">Thompson’s article in </w:t>
      </w:r>
      <w:r w:rsidR="00C74BB0">
        <w:rPr>
          <w:i/>
          <w:iCs/>
        </w:rPr>
        <w:t xml:space="preserve">Youth Justice </w:t>
      </w:r>
      <w:r w:rsidR="00C74BB0">
        <w:t xml:space="preserve">(Thompson, 2019) assessed literature on gangs and discovered that reasons for people’s involvement in organised crime were </w:t>
      </w:r>
      <w:r w:rsidR="002C4EA5">
        <w:t>‘</w:t>
      </w:r>
      <w:r w:rsidR="00C74BB0">
        <w:t>complex and contested</w:t>
      </w:r>
      <w:r w:rsidR="002C4EA5">
        <w:t>’</w:t>
      </w:r>
      <w:r w:rsidR="00C74BB0">
        <w:t xml:space="preserve">, citing a study which emphasised the role of </w:t>
      </w:r>
      <w:r w:rsidR="00776DBE">
        <w:t>social proximity and exposure through close friendships as a key factor in their involvement</w:t>
      </w:r>
      <w:r w:rsidR="00E52F50">
        <w:t>. Joseph’s work also noted that when studying problem behaviour in a school setting “</w:t>
      </w:r>
      <w:r w:rsidR="00E52F50" w:rsidRPr="00E52F50">
        <w:t>Most of the problem behaviour studied was rather a series of overlapping episodes, most pronounced during periods of personal crisis</w:t>
      </w:r>
      <w:r w:rsidR="00E52F50">
        <w:t>”</w:t>
      </w:r>
      <w:r w:rsidR="009F1789">
        <w:t xml:space="preserve"> and at times leveraged intentionally in order to gain ‘social capital’</w:t>
      </w:r>
      <w:r w:rsidR="00052C06">
        <w:t>.</w:t>
      </w:r>
      <w:r w:rsidR="00E52F50">
        <w:t xml:space="preserve"> (Joseph</w:t>
      </w:r>
      <w:r w:rsidR="00052C06">
        <w:t>,</w:t>
      </w:r>
      <w:r w:rsidR="00E52F50">
        <w:t xml:space="preserve"> 2017)</w:t>
      </w:r>
      <w:r w:rsidR="0097564C">
        <w:t xml:space="preserve">. </w:t>
      </w:r>
      <w:r w:rsidR="00052C06">
        <w:t xml:space="preserve"> From this we can understand that there are risks associated with exposure to criminal / gang activity, and also links between “problem behaviour” and personal crisis (which could be linked to a number of factors stemming from vulnerabilities caused by deprivation, home life concerns among others.</w:t>
      </w:r>
    </w:p>
    <w:p w14:paraId="27FB1BEC" w14:textId="073BE02F" w:rsidR="00E164D4" w:rsidRDefault="00E634DB" w:rsidP="004443F7">
      <w:r>
        <w:t>A</w:t>
      </w:r>
      <w:r w:rsidR="00776DBE">
        <w:t>nother</w:t>
      </w:r>
      <w:r w:rsidR="002C4EA5">
        <w:t xml:space="preserve"> study</w:t>
      </w:r>
      <w:r w:rsidR="00776DBE">
        <w:t xml:space="preserve"> </w:t>
      </w:r>
      <w:r w:rsidR="00052C06">
        <w:t>referenced by Thomson stated</w:t>
      </w:r>
      <w:r w:rsidR="00776DBE">
        <w:t xml:space="preserve"> that involvement in gangs may be a result of young people seeking a sense of identity and belonging, suggesting that institutional exclusion could be a factor</w:t>
      </w:r>
      <w:r w:rsidR="00052C06">
        <w:t xml:space="preserve"> (linking in with Joseph. 2017)</w:t>
      </w:r>
      <w:r w:rsidR="002C4EA5">
        <w:t xml:space="preserve">. They noted that repressive law enforcement practices </w:t>
      </w:r>
      <w:r w:rsidR="00BE3394">
        <w:t xml:space="preserve">directed at vulnerable sections of the community served to further entrench the “unemployability, alienation and social outsider status of members of such </w:t>
      </w:r>
      <w:r>
        <w:t>communities” with young poor being more likely to be subject to “declining quality in their health, educational and welfare services” (</w:t>
      </w:r>
      <w:r w:rsidR="00776DBE">
        <w:t>White and Cunneen</w:t>
      </w:r>
      <w:r w:rsidR="00052C06">
        <w:t>,</w:t>
      </w:r>
      <w:r w:rsidR="00776DBE">
        <w:t xml:space="preserve"> 2015).</w:t>
      </w:r>
      <w:r w:rsidR="000639AB">
        <w:br/>
        <w:t xml:space="preserve">   </w:t>
      </w:r>
      <w:r>
        <w:t xml:space="preserve"> </w:t>
      </w:r>
      <w:r w:rsidR="00423F6C">
        <w:t xml:space="preserve">Essentially, young poor people </w:t>
      </w:r>
      <w:r w:rsidR="00F17562">
        <w:t xml:space="preserve">grow up in neighbourhoods with </w:t>
      </w:r>
      <w:r w:rsidR="000639AB">
        <w:t>high concentrations of other</w:t>
      </w:r>
      <w:r w:rsidR="00F17562">
        <w:t xml:space="preserve"> poor, vulnerable individuals. Deprivation leads to deprivation</w:t>
      </w:r>
      <w:r w:rsidR="000639AB">
        <w:t>;</w:t>
      </w:r>
      <w:r w:rsidR="00F17562">
        <w:t xml:space="preserve"> those with the least in society are funnelled into areas where there is little educational or employment opportunity</w:t>
      </w:r>
      <w:r w:rsidR="000639AB">
        <w:t xml:space="preserve"> </w:t>
      </w:r>
      <w:r w:rsidR="004A4BD7">
        <w:t xml:space="preserve">which often also carry higher levels of crime. </w:t>
      </w:r>
      <w:r w:rsidR="000639AB">
        <w:t xml:space="preserve">Young people who are particularly at risk as a result of personal crises (such as turbulent home life, particularly high levels of poverty, those suffering abuse) are likely to act out at school and be excluded for their behaviour, then, as a result of this social exclusion, seek social capital elsewhere. This might come in the form of </w:t>
      </w:r>
      <w:r w:rsidR="005819B5">
        <w:t xml:space="preserve">seeking out a sense of belonging </w:t>
      </w:r>
      <w:r w:rsidR="0089539A">
        <w:t>elsewhere or</w:t>
      </w:r>
      <w:r w:rsidR="005819B5">
        <w:t xml:space="preserve"> continuing to leverage increasingly extreme behaviour as an attempt to gain further social capital via this escalation. </w:t>
      </w:r>
      <w:r w:rsidR="0089539A">
        <w:t xml:space="preserve"> These motivations can exist</w:t>
      </w:r>
      <w:r w:rsidR="00F806A2">
        <w:t xml:space="preserve"> separately or indeed overlap with other motivations such as that noted by young people questioned about their involvement in criminal activity who stated that “</w:t>
      </w:r>
      <w:r w:rsidR="00F806A2" w:rsidRPr="00F806A2">
        <w:t>easy money was attractive – especially in a context where the possibility of employment feels elusive</w:t>
      </w:r>
      <w:r w:rsidR="00F806A2">
        <w:t>”, with others noting a desire</w:t>
      </w:r>
      <w:r w:rsidR="004772C5">
        <w:t xml:space="preserve"> to provide for their families. These were listed as part of four main themes which also included Grooming/exploitation and opportunity vs austerity (Thompson, 2019)</w:t>
      </w:r>
    </w:p>
    <w:p w14:paraId="42DCAD6F" w14:textId="77777777" w:rsidR="006C059F" w:rsidRDefault="00CD0740" w:rsidP="004443F7">
      <w:r>
        <w:lastRenderedPageBreak/>
        <w:t>County lines (an activity which involves the moving of illegal drugs from imported locations / central cities into other rural areas) often involves the exploitation of children or vulnerable adults to move and store drugs and money, with gangs using “coercion, intimidation, violence (including sexual violence) and weapons. (HM Government, 2018)</w:t>
      </w:r>
      <w:r w:rsidR="00316623">
        <w:t>. Studies show that people are often trapped</w:t>
      </w:r>
      <w:r w:rsidR="00843E74">
        <w:t xml:space="preserve"> into exploitative ‘relationships’ where an imbalance of power between a drug dealer and a ‘runner’. One in particular, based in Merseyside noted that of all the participants in the study, every one of them participated in “</w:t>
      </w:r>
      <w:r w:rsidR="00843E74" w:rsidRPr="00843E74">
        <w:t>normalised cannabis consumption. It soon became apparent that, among other things, this was the hook used by criminal gangs to entice young people into selling drugs on their behalf</w:t>
      </w:r>
      <w:r w:rsidR="00843E74">
        <w:t>.” (Robinson, McLean and Densley, 2018). This form of entrapment allows gangs to exploit people of a number of different demographics by providing people with access to free drugs on the proviso that they pay for them later, essentially drawing people into debt they must then ‘repay’ by carrying out tasks on behalf of the dealers. Often these</w:t>
      </w:r>
      <w:r w:rsidR="006C059F">
        <w:t xml:space="preserve"> victims of exploitation</w:t>
      </w:r>
      <w:r w:rsidR="00843E74">
        <w:t xml:space="preserve"> will be people already classed as vulnerable (people with addiction issues</w:t>
      </w:r>
      <w:r w:rsidR="006C059F">
        <w:t xml:space="preserve"> or drug dependencies</w:t>
      </w:r>
      <w:r w:rsidR="00843E74">
        <w:t xml:space="preserve">, members of the homeless community, sex workers </w:t>
      </w:r>
      <w:r w:rsidR="006C059F">
        <w:t xml:space="preserve">, children, or adults with learning difficulties </w:t>
      </w:r>
      <w:r w:rsidR="00843E74">
        <w:t xml:space="preserve">etc). </w:t>
      </w:r>
      <w:r w:rsidR="006C059F">
        <w:t xml:space="preserve"> People with learning difficulties are particularly at risk if they are unable to differentiate between being befriended and being used. </w:t>
      </w:r>
    </w:p>
    <w:p w14:paraId="63E622C1" w14:textId="3FAFD885" w:rsidR="0089539A" w:rsidRDefault="006C059F" w:rsidP="004443F7">
      <w:r>
        <w:t xml:space="preserve">The consistent theme in each of these factors is one of vulnerability. </w:t>
      </w:r>
      <w:r w:rsidR="009B0000">
        <w:t>A person may be regarded as vulnerable if  ‘</w:t>
      </w:r>
      <w:r w:rsidR="009B0000" w:rsidRPr="009B0000">
        <w:t>as a result of their situation or circumstances, they are unable to take care of or protect themselves or others from harm or exploitation.</w:t>
      </w:r>
      <w:r w:rsidR="009B0000">
        <w:t xml:space="preserve">’ (College of Policing, 2021).  As discussed previously, these vulnerabilities can come from </w:t>
      </w:r>
      <w:r w:rsidR="003D46AA">
        <w:t>several</w:t>
      </w:r>
      <w:r w:rsidR="009B0000">
        <w:t xml:space="preserve"> different sources. Children and young teenagers for example (particularly those from deprived backgrounds in areas of high levels of criminal involvement) are especially vulnerable as they are unable to provide for themselves through normal channels such as employment. This may lead them (especially those who feel the need to provide for their families) to see</w:t>
      </w:r>
      <w:r w:rsidR="003D46AA">
        <w:t>k financial opportunities and end up trapped by exploitative criminals seeking to use them for their own means. The solution to this is therefore through public protection. Providing appropriate support and safeguarding can reduce the impact of factors linked to increased risk in exploitation by SOC gangs. This support will need to be individually tailored to the individuals’ needs and will usually differ from person to person, but successfully providing that support will mitigate some of the risk that that person will face (For example: addiction support for those with addiction issues will mean they are less likely to make use of ‘buy now pay later’ schemes devised by dealers to entrap people in drug debt will be a preventative factor for that person, but a youth scheme aimed at increasing young people’s job prospects and confidence through support and education will be more relevant to young people in deprived areas.). It then becomes imperative for front facing public servants such as the police and social workers to be aware of these risks and put the appropriate safeguarding in place if they are to try and prevent people from becoming exploited by SOC gangs.</w:t>
      </w:r>
    </w:p>
    <w:p w14:paraId="6CF0A707" w14:textId="77777777" w:rsidR="006C059F" w:rsidRDefault="006C059F" w:rsidP="004443F7"/>
    <w:p w14:paraId="4EDDAB7A" w14:textId="19BF642C" w:rsidR="00F644C3" w:rsidRPr="008527B1" w:rsidRDefault="003D46AA" w:rsidP="004443F7">
      <w:r>
        <w:t>Wor</w:t>
      </w:r>
      <w:r w:rsidR="001F19EA">
        <w:t>d count:</w:t>
      </w:r>
      <w:r>
        <w:t xml:space="preserve"> 1076</w:t>
      </w:r>
    </w:p>
    <w:p w14:paraId="3E42773D" w14:textId="77777777" w:rsidR="004443F7" w:rsidRDefault="004443F7" w:rsidP="004443F7">
      <w:pPr>
        <w:rPr>
          <w:b/>
          <w:bCs/>
          <w:u w:val="single"/>
        </w:rPr>
      </w:pPr>
    </w:p>
    <w:p w14:paraId="7252ABF9" w14:textId="77777777" w:rsidR="004443F7" w:rsidRDefault="004443F7" w:rsidP="004443F7">
      <w:pPr>
        <w:rPr>
          <w:b/>
          <w:bCs/>
          <w:u w:val="single"/>
        </w:rPr>
      </w:pPr>
    </w:p>
    <w:p w14:paraId="2137F736" w14:textId="77777777" w:rsidR="001F19EA" w:rsidRPr="004443F7" w:rsidRDefault="001F19EA" w:rsidP="004443F7">
      <w:pPr>
        <w:rPr>
          <w:b/>
          <w:bCs/>
          <w:u w:val="single"/>
        </w:rPr>
      </w:pPr>
    </w:p>
    <w:p w14:paraId="68480D6A" w14:textId="77777777" w:rsidR="00E6075E" w:rsidRDefault="00E6075E" w:rsidP="00E6075E"/>
    <w:p w14:paraId="6943E755" w14:textId="77777777" w:rsidR="004E0B79" w:rsidRDefault="00142557" w:rsidP="00535CB7">
      <w:pPr>
        <w:rPr>
          <w:b/>
          <w:bCs/>
          <w:u w:val="single"/>
        </w:rPr>
      </w:pPr>
      <w:r w:rsidRPr="00142557">
        <w:rPr>
          <w:b/>
          <w:bCs/>
          <w:u w:val="single"/>
        </w:rPr>
        <w:lastRenderedPageBreak/>
        <w:t>References</w:t>
      </w:r>
    </w:p>
    <w:p w14:paraId="50C46E5F" w14:textId="77777777" w:rsidR="00711889" w:rsidRPr="00711889" w:rsidRDefault="00711889" w:rsidP="00711889">
      <w:r w:rsidRPr="00711889">
        <w:t>Alzahrani, A., Keyworth, C., Wilson, C. and Johnson, J. (2023). Causes of stress and poor wellbeing among paramedic students in Saudi Arabia and the United Kingdom: a cross-cultural qualitative study. </w:t>
      </w:r>
      <w:r w:rsidRPr="00711889">
        <w:rPr>
          <w:i/>
          <w:iCs/>
        </w:rPr>
        <w:t>BMC Health Services Research</w:t>
      </w:r>
      <w:r w:rsidRPr="00711889">
        <w:t xml:space="preserve">, [online] 23(444). </w:t>
      </w:r>
      <w:proofErr w:type="spellStart"/>
      <w:r w:rsidRPr="00711889">
        <w:t>doi:https</w:t>
      </w:r>
      <w:proofErr w:type="spellEnd"/>
      <w:r w:rsidRPr="00711889">
        <w:t>://doi.org/10.1186/s12913-023-09374-y.</w:t>
      </w:r>
    </w:p>
    <w:p w14:paraId="22D7F019" w14:textId="19B1541F" w:rsidR="00495FA5" w:rsidRDefault="00A81D1A" w:rsidP="00A81D1A">
      <w:r w:rsidRPr="001E547D">
        <w:t>‌</w:t>
      </w:r>
      <w:proofErr w:type="spellStart"/>
      <w:r w:rsidR="00495FA5" w:rsidRPr="00495FA5">
        <w:t>Alogba</w:t>
      </w:r>
      <w:proofErr w:type="spellEnd"/>
      <w:r w:rsidR="00495FA5" w:rsidRPr="00495FA5">
        <w:t>, T. (2020). </w:t>
      </w:r>
      <w:r w:rsidR="00495FA5" w:rsidRPr="00495FA5">
        <w:rPr>
          <w:i/>
          <w:iCs/>
        </w:rPr>
        <w:t>Recruiting for diversity</w:t>
      </w:r>
      <w:r w:rsidR="00495FA5" w:rsidRPr="00495FA5">
        <w:t xml:space="preserve">. [online] College of Policing. Available at: </w:t>
      </w:r>
      <w:hyperlink r:id="rId5" w:history="1">
        <w:r w:rsidR="00426442" w:rsidRPr="007875F9">
          <w:rPr>
            <w:rStyle w:val="Hyperlink"/>
          </w:rPr>
          <w:t>https://www.college.police.uk/article/recruiting-diversity</w:t>
        </w:r>
      </w:hyperlink>
      <w:r w:rsidR="00495FA5" w:rsidRPr="00495FA5">
        <w:t>.</w:t>
      </w:r>
    </w:p>
    <w:p w14:paraId="1F775B9E" w14:textId="674BF048" w:rsidR="00977FFD" w:rsidRDefault="00977FFD" w:rsidP="00A81D1A">
      <w:proofErr w:type="spellStart"/>
      <w:r w:rsidRPr="00977FFD">
        <w:t>Åkerstedt</w:t>
      </w:r>
      <w:proofErr w:type="spellEnd"/>
      <w:r w:rsidRPr="00977FFD">
        <w:t>, T. and Wright, K.P. (2009). Sleep Loss and Fatigue in Shift Work and Shift Work Disorder. </w:t>
      </w:r>
      <w:r w:rsidRPr="00977FFD">
        <w:rPr>
          <w:i/>
          <w:iCs/>
        </w:rPr>
        <w:t>Sleep Medicine Clinics</w:t>
      </w:r>
      <w:r w:rsidRPr="00977FFD">
        <w:t xml:space="preserve">, [online] 4(2), pp.257–271. </w:t>
      </w:r>
      <w:proofErr w:type="spellStart"/>
      <w:r w:rsidRPr="00977FFD">
        <w:t>doi:https</w:t>
      </w:r>
      <w:proofErr w:type="spellEnd"/>
      <w:r w:rsidRPr="00977FFD">
        <w:t>://doi.org/10.1016/j.jsmc.2009.03.001.</w:t>
      </w:r>
    </w:p>
    <w:p w14:paraId="539A0D07" w14:textId="77777777" w:rsidR="009B0000" w:rsidRPr="009B0000" w:rsidRDefault="009B0000" w:rsidP="009B0000">
      <w:r w:rsidRPr="009B0000">
        <w:t>College of Policing (2021). </w:t>
      </w:r>
      <w:r w:rsidRPr="009B0000">
        <w:rPr>
          <w:i/>
          <w:iCs/>
        </w:rPr>
        <w:t>Introduction to Vulnerability-Related Risk</w:t>
      </w:r>
      <w:r w:rsidRPr="009B0000">
        <w:t>. [online] College of Policing. Available at: https://www.college.police.uk/guidance/vulnerability-related-risks/introduction-vulnerability-related-risk.</w:t>
      </w:r>
    </w:p>
    <w:p w14:paraId="011E8EDF" w14:textId="77777777" w:rsidR="00763443" w:rsidRPr="00763443" w:rsidRDefault="00763443" w:rsidP="00763443">
      <w:r w:rsidRPr="00763443">
        <w:t>Eck, J. (1983) </w:t>
      </w:r>
      <w:r w:rsidRPr="00763443">
        <w:rPr>
          <w:i/>
          <w:iCs/>
        </w:rPr>
        <w:t>Solving Crimes: The investigation of Burglary and Robbery</w:t>
      </w:r>
      <w:r w:rsidRPr="00763443">
        <w:t>. US: National Institute of Justice. Available at: https://www.ojp.gov/pdffiles1/Digitization/90569NCJRS.pdf (Accessed: 7 September 2024).</w:t>
      </w:r>
    </w:p>
    <w:p w14:paraId="7DCBB709" w14:textId="2A435563" w:rsidR="00426442" w:rsidRDefault="00763443" w:rsidP="00426442">
      <w:r w:rsidRPr="00763443">
        <w:t>‌</w:t>
      </w:r>
      <w:r w:rsidR="00426442" w:rsidRPr="00426442">
        <w:t xml:space="preserve">Gershon, R.R.M., Barocas, B., Canton, A.N., Li, X. and </w:t>
      </w:r>
      <w:proofErr w:type="spellStart"/>
      <w:r w:rsidR="00426442" w:rsidRPr="00426442">
        <w:t>Vlahov</w:t>
      </w:r>
      <w:proofErr w:type="spellEnd"/>
      <w:r w:rsidR="00426442" w:rsidRPr="00426442">
        <w:t xml:space="preserve">, D. (2008). Mental, Physical, and </w:t>
      </w:r>
      <w:proofErr w:type="spellStart"/>
      <w:r w:rsidR="00426442" w:rsidRPr="00426442">
        <w:t>Behavioral</w:t>
      </w:r>
      <w:proofErr w:type="spellEnd"/>
      <w:r w:rsidR="00426442" w:rsidRPr="00426442">
        <w:t xml:space="preserve"> Outcomes Associated With Perceived Work Stress in Police Officers. </w:t>
      </w:r>
      <w:r w:rsidR="00426442" w:rsidRPr="00426442">
        <w:rPr>
          <w:i/>
          <w:iCs/>
        </w:rPr>
        <w:t xml:space="preserve">Criminal Justice and </w:t>
      </w:r>
      <w:proofErr w:type="spellStart"/>
      <w:r w:rsidR="00426442" w:rsidRPr="00426442">
        <w:rPr>
          <w:i/>
          <w:iCs/>
        </w:rPr>
        <w:t>Behavior</w:t>
      </w:r>
      <w:proofErr w:type="spellEnd"/>
      <w:r w:rsidR="00426442" w:rsidRPr="00426442">
        <w:t xml:space="preserve">, 36(3), pp.275–289. </w:t>
      </w:r>
      <w:proofErr w:type="spellStart"/>
      <w:r w:rsidR="00426442" w:rsidRPr="00426442">
        <w:t>doi:https</w:t>
      </w:r>
      <w:proofErr w:type="spellEnd"/>
      <w:r w:rsidR="00426442" w:rsidRPr="00426442">
        <w:t>://doi.org/10.1177/0093854808330015.</w:t>
      </w:r>
    </w:p>
    <w:p w14:paraId="56F51AF4" w14:textId="2FF4D707" w:rsidR="00D834AC" w:rsidRPr="00D834AC" w:rsidRDefault="00D834AC" w:rsidP="00D834AC">
      <w:r w:rsidRPr="00D834AC">
        <w:t xml:space="preserve">Greenwood, P. and </w:t>
      </w:r>
      <w:proofErr w:type="spellStart"/>
      <w:r w:rsidRPr="00D834AC">
        <w:t>Petersiua</w:t>
      </w:r>
      <w:proofErr w:type="spellEnd"/>
      <w:r w:rsidRPr="00D834AC">
        <w:t>, J. (</w:t>
      </w:r>
      <w:r>
        <w:t>1975</w:t>
      </w:r>
      <w:r w:rsidRPr="00D834AC">
        <w:t>). </w:t>
      </w:r>
      <w:r w:rsidR="00271369" w:rsidRPr="00D834AC">
        <w:rPr>
          <w:i/>
          <w:iCs/>
        </w:rPr>
        <w:t xml:space="preserve">The criminal investigation process volume i: summary and policy </w:t>
      </w:r>
      <w:proofErr w:type="spellStart"/>
      <w:r w:rsidR="00271369" w:rsidRPr="00D834AC">
        <w:rPr>
          <w:i/>
          <w:iCs/>
        </w:rPr>
        <w:t>impucations</w:t>
      </w:r>
      <w:proofErr w:type="spellEnd"/>
      <w:r w:rsidR="00271369" w:rsidRPr="00D834AC">
        <w:rPr>
          <w:i/>
          <w:iCs/>
        </w:rPr>
        <w:t xml:space="preserve"> prepared under a grant from the national institute of law en</w:t>
      </w:r>
      <w:r w:rsidR="00271369">
        <w:rPr>
          <w:i/>
          <w:iCs/>
        </w:rPr>
        <w:t>f</w:t>
      </w:r>
      <w:r w:rsidR="00271369" w:rsidRPr="00D834AC">
        <w:rPr>
          <w:i/>
          <w:iCs/>
        </w:rPr>
        <w:t xml:space="preserve">orcement and criminal justice, </w:t>
      </w:r>
      <w:proofErr w:type="spellStart"/>
      <w:r w:rsidR="00271369" w:rsidRPr="00D834AC">
        <w:rPr>
          <w:i/>
          <w:iCs/>
        </w:rPr>
        <w:t>leaa</w:t>
      </w:r>
      <w:proofErr w:type="spellEnd"/>
      <w:r w:rsidR="00271369" w:rsidRPr="00D834AC">
        <w:rPr>
          <w:i/>
          <w:iCs/>
        </w:rPr>
        <w:t xml:space="preserve">., department of justice </w:t>
      </w:r>
      <w:r w:rsidRPr="00D834AC">
        <w:rPr>
          <w:i/>
          <w:iCs/>
        </w:rPr>
        <w:t>.. . ’1.0’</w:t>
      </w:r>
      <w:r w:rsidRPr="00D834AC">
        <w:t>. [online] Available at: https://www.ojp.gov/pdffiles1/Digitization/148116NCJRS.pdf.</w:t>
      </w:r>
    </w:p>
    <w:p w14:paraId="02A69F03" w14:textId="77777777" w:rsidR="001B5200" w:rsidRPr="001B5200" w:rsidRDefault="001B5200" w:rsidP="001B5200">
      <w:r w:rsidRPr="001B5200">
        <w:t>Grupe, D.W., Stoller, J.L., Alonso, C., McGehee, C., Smith, C., Mumford, J.A., Rosenkranz, M.A. and Davidson, R.J. (2021). The Impact of Mindfulness Training on Police Officer Stress, Mental Health, and Salivary Cortisol Levels. </w:t>
      </w:r>
      <w:r w:rsidRPr="001B5200">
        <w:rPr>
          <w:i/>
          <w:iCs/>
        </w:rPr>
        <w:t>Frontiers in Psychology</w:t>
      </w:r>
      <w:r w:rsidRPr="001B5200">
        <w:t xml:space="preserve">, 12. </w:t>
      </w:r>
      <w:proofErr w:type="spellStart"/>
      <w:r w:rsidRPr="001B5200">
        <w:t>doi:https</w:t>
      </w:r>
      <w:proofErr w:type="spellEnd"/>
      <w:r w:rsidRPr="001B5200">
        <w:t>://doi.org/10.3389/fpsyg.2021.720753.</w:t>
      </w:r>
    </w:p>
    <w:p w14:paraId="63D9FEF4" w14:textId="45534E60" w:rsidR="002D275A" w:rsidRPr="002D275A" w:rsidRDefault="00426442" w:rsidP="002D275A">
      <w:r w:rsidRPr="00426442">
        <w:t>‌</w:t>
      </w:r>
      <w:r w:rsidR="002D275A" w:rsidRPr="002D275A">
        <w:t>GOV.UK (2021). </w:t>
      </w:r>
      <w:r w:rsidR="002D275A" w:rsidRPr="002D275A">
        <w:rPr>
          <w:i/>
          <w:iCs/>
        </w:rPr>
        <w:t>Confidence in the local police</w:t>
      </w:r>
      <w:r w:rsidR="002D275A" w:rsidRPr="002D275A">
        <w:t>. [online] www.ethnicity-facts-figures.service.gov.uk. Available at: https://www.ethnicity-facts-figures.service.gov.uk/crime-justice-and-the-law/policing/confidence-in-the-local-police/latest/.</w:t>
      </w:r>
    </w:p>
    <w:p w14:paraId="65F9E34F" w14:textId="6C34671F" w:rsidR="004E0B79" w:rsidRDefault="004E0B79" w:rsidP="00535CB7">
      <w:r w:rsidRPr="004E0B79">
        <w:t>GOV.UK (2022). </w:t>
      </w:r>
      <w:r w:rsidRPr="004E0B79">
        <w:rPr>
          <w:i/>
          <w:iCs/>
        </w:rPr>
        <w:t>Population of England and Wales</w:t>
      </w:r>
      <w:r w:rsidRPr="004E0B79">
        <w:t xml:space="preserve">. [online] GOV.UK. Available at: </w:t>
      </w:r>
      <w:hyperlink r:id="rId6" w:history="1">
        <w:r w:rsidR="002D275A" w:rsidRPr="007875F9">
          <w:rPr>
            <w:rStyle w:val="Hyperlink"/>
          </w:rPr>
          <w:t>https://www.ethnicity-facts-figures.service.gov.uk/uk-population-by-ethnicity/national-and-regional-populations/population-of-england-and-wales/latest/</w:t>
        </w:r>
      </w:hyperlink>
      <w:r w:rsidRPr="004E0B79">
        <w:t>.</w:t>
      </w:r>
    </w:p>
    <w:p w14:paraId="3CC1554B" w14:textId="62FF4124" w:rsidR="002D275A" w:rsidRDefault="002D275A" w:rsidP="002D275A">
      <w:r w:rsidRPr="002D275A">
        <w:t>‌</w:t>
      </w:r>
      <w:r>
        <w:t xml:space="preserve">GOV.UK </w:t>
      </w:r>
      <w:r w:rsidRPr="00A81D1A">
        <w:t xml:space="preserve"> (2023). </w:t>
      </w:r>
      <w:r w:rsidRPr="00A81D1A">
        <w:rPr>
          <w:i/>
          <w:iCs/>
        </w:rPr>
        <w:t>Police workforce</w:t>
      </w:r>
      <w:r w:rsidRPr="00A81D1A">
        <w:t xml:space="preserve">. [online] Available at: </w:t>
      </w:r>
      <w:hyperlink r:id="rId7" w:anchor="by-ethnicity-over-time-2021-to-2022-police-officers" w:history="1">
        <w:r w:rsidR="004F20E6" w:rsidRPr="00D2730C">
          <w:rPr>
            <w:rStyle w:val="Hyperlink"/>
          </w:rPr>
          <w:t>https://www.ethnicity-facts-figures.service.gov.uk/workforce-and-business/workforce-diversity/police-workforce/latest/#by-ethnicity-over-time-2021-to-2022-police-officers</w:t>
        </w:r>
      </w:hyperlink>
      <w:r w:rsidRPr="00A81D1A">
        <w:t>.</w:t>
      </w:r>
    </w:p>
    <w:p w14:paraId="7C3BCC6C" w14:textId="77777777" w:rsidR="00CD0740" w:rsidRPr="00CD0740" w:rsidRDefault="00CD0740" w:rsidP="00CD0740">
      <w:r w:rsidRPr="00CD0740">
        <w:t>HM Government (2018). </w:t>
      </w:r>
      <w:r w:rsidRPr="00CD0740">
        <w:rPr>
          <w:i/>
          <w:iCs/>
        </w:rPr>
        <w:t>Serious Violence Strategy</w:t>
      </w:r>
      <w:r w:rsidRPr="00CD0740">
        <w:t>. [online] Available at: https://assets.publishing.service.gov.uk/media/5acb21d140f0b64fed0afd55/serious-violence-strategy.pdf.</w:t>
      </w:r>
    </w:p>
    <w:p w14:paraId="06D4B472" w14:textId="4D3D36D5" w:rsidR="008527B1" w:rsidRPr="008527B1" w:rsidRDefault="00CD0740" w:rsidP="008527B1">
      <w:r w:rsidRPr="00CD0740">
        <w:lastRenderedPageBreak/>
        <w:t>‌</w:t>
      </w:r>
      <w:r w:rsidR="008527B1" w:rsidRPr="008527B1">
        <w:t>Home Office (2018). </w:t>
      </w:r>
      <w:r w:rsidR="008527B1" w:rsidRPr="008527B1">
        <w:rPr>
          <w:i/>
          <w:iCs/>
        </w:rPr>
        <w:t>Serious and Organised Crime Strategy Cm 9718</w:t>
      </w:r>
      <w:r w:rsidR="008527B1" w:rsidRPr="008527B1">
        <w:t>. [online] Available at: https://assets.publishing.service.gov.uk/media/5bd99ee8e5274a6e39bf2c2e/SOC-2018-web.pdf.</w:t>
      </w:r>
    </w:p>
    <w:p w14:paraId="3DD480CC" w14:textId="52BBF89B" w:rsidR="004F20E6" w:rsidRDefault="008527B1" w:rsidP="004F20E6">
      <w:r w:rsidRPr="008527B1">
        <w:t>‌</w:t>
      </w:r>
      <w:r w:rsidR="004F20E6" w:rsidRPr="004F20E6">
        <w:t>Jansson, K. (2005). </w:t>
      </w:r>
      <w:r w:rsidR="004F20E6" w:rsidRPr="004F20E6">
        <w:rPr>
          <w:i/>
          <w:iCs/>
        </w:rPr>
        <w:t>Volume crime investigations: a review of the research literature</w:t>
      </w:r>
      <w:r w:rsidR="004F20E6" w:rsidRPr="004F20E6">
        <w:t xml:space="preserve">. [online] Available at: </w:t>
      </w:r>
      <w:hyperlink r:id="rId8" w:history="1">
        <w:r w:rsidR="00084E52" w:rsidRPr="009C7809">
          <w:rPr>
            <w:rStyle w:val="Hyperlink"/>
          </w:rPr>
          <w:t>https://library.college.police.uk/docs/hordsolr/rdsolr4405.pdf</w:t>
        </w:r>
      </w:hyperlink>
      <w:r w:rsidR="004F20E6" w:rsidRPr="004F20E6">
        <w:t>.</w:t>
      </w:r>
    </w:p>
    <w:p w14:paraId="63B7647A" w14:textId="77777777" w:rsidR="00084E52" w:rsidRPr="00084E52" w:rsidRDefault="00084E52" w:rsidP="00084E52">
      <w:r w:rsidRPr="00084E52">
        <w:t>Joseph, I. (2017). Effective gang policy and practice: how research with ‘Black male youth’ problematizes the official definition of the UK gang. </w:t>
      </w:r>
      <w:r w:rsidRPr="00084E52">
        <w:rPr>
          <w:i/>
          <w:iCs/>
        </w:rPr>
        <w:t>Youth and Policy</w:t>
      </w:r>
      <w:r w:rsidRPr="00084E52">
        <w:t>, [online] 116, pp.110–128. Available at: https://www.youthandpolicy.org/wp-content/uploads/2017/06/yandp116.pdf [Accessed 8 Sep. 2024].</w:t>
      </w:r>
    </w:p>
    <w:p w14:paraId="6ADA29F9" w14:textId="2C706A5C" w:rsidR="00BE1706" w:rsidRDefault="004F20E6" w:rsidP="00BE1706">
      <w:r w:rsidRPr="004F20E6">
        <w:t>‌</w:t>
      </w:r>
      <w:r w:rsidR="00411A65" w:rsidRPr="00411A65">
        <w:t>Long, C. (2021). </w:t>
      </w:r>
      <w:r w:rsidR="00411A65" w:rsidRPr="00411A65">
        <w:rPr>
          <w:i/>
          <w:iCs/>
        </w:rPr>
        <w:t>Tackling hate crime against the LGBT+ community | The Crown Prosecution Service</w:t>
      </w:r>
      <w:r w:rsidR="00411A65" w:rsidRPr="00411A65">
        <w:t>. [online] www.cps.gov.uk. Available at: https://www.cps.gov.uk/publication/tackling-hate-crime-against-lgbt-community.</w:t>
      </w:r>
      <w:r w:rsidR="00BE1706" w:rsidRPr="00BE1706">
        <w:t xml:space="preserve"> </w:t>
      </w:r>
    </w:p>
    <w:p w14:paraId="45EDDCE5" w14:textId="4B70CAD1" w:rsidR="00E17C7A" w:rsidRDefault="00E17C7A" w:rsidP="00BE1706">
      <w:r w:rsidRPr="00E17C7A">
        <w:t xml:space="preserve">Maia, D.B., Marmar, C.R., Metzler, T., Nóbrega, A., Berger, W., </w:t>
      </w:r>
      <w:proofErr w:type="spellStart"/>
      <w:r w:rsidRPr="00E17C7A">
        <w:t>Mendlowicz</w:t>
      </w:r>
      <w:proofErr w:type="spellEnd"/>
      <w:r w:rsidRPr="00E17C7A">
        <w:t>, M.V., Coutinho, E.S.F. and Figueira, I. (2007). Post-traumatic stress symptoms in an elite unit of Brazilian police officers: Prevalence and impact on psychosocial functioning and on physical and mental health. </w:t>
      </w:r>
      <w:r w:rsidRPr="00E17C7A">
        <w:rPr>
          <w:i/>
          <w:iCs/>
        </w:rPr>
        <w:t>Journal of Affective Disorders</w:t>
      </w:r>
      <w:r w:rsidRPr="00E17C7A">
        <w:t xml:space="preserve">, 97(1-3), pp.241–245. </w:t>
      </w:r>
      <w:proofErr w:type="spellStart"/>
      <w:r w:rsidRPr="00E17C7A">
        <w:t>doi:https</w:t>
      </w:r>
      <w:proofErr w:type="spellEnd"/>
      <w:r w:rsidRPr="00E17C7A">
        <w:t>://doi.org/10.1016/j.jad.2006.06.004.</w:t>
      </w:r>
    </w:p>
    <w:p w14:paraId="4826E041" w14:textId="7706C549" w:rsidR="007F5314" w:rsidRDefault="00BE1706" w:rsidP="00BE1706">
      <w:r w:rsidRPr="00EF7C0C">
        <w:t xml:space="preserve">Michaelson, J., Mahony, S. and </w:t>
      </w:r>
      <w:proofErr w:type="spellStart"/>
      <w:r w:rsidRPr="00EF7C0C">
        <w:t>Schifferes</w:t>
      </w:r>
      <w:proofErr w:type="spellEnd"/>
      <w:r w:rsidRPr="00EF7C0C">
        <w:t>, J. (</w:t>
      </w:r>
      <w:r>
        <w:t>2012</w:t>
      </w:r>
      <w:r w:rsidRPr="00EF7C0C">
        <w:t>). </w:t>
      </w:r>
      <w:r w:rsidRPr="00EF7C0C">
        <w:rPr>
          <w:i/>
          <w:iCs/>
        </w:rPr>
        <w:t>Measuring Wellbeing A guide for practitioners</w:t>
      </w:r>
      <w:r w:rsidRPr="00EF7C0C">
        <w:t>. [online] New Economics Foundation. Available at: https://neweconomics.org/uploads/files/measuring-wellbeing.pdf [Accessed 27 Aug. 2024].</w:t>
      </w:r>
    </w:p>
    <w:p w14:paraId="7FE27A83" w14:textId="18BACA7E" w:rsidR="00763AA1" w:rsidRPr="00EF7C0C" w:rsidRDefault="00763AA1" w:rsidP="00BE1706">
      <w:r w:rsidRPr="00763AA1">
        <w:t>Miller, J.K. (2022) </w:t>
      </w:r>
      <w:r w:rsidRPr="00763AA1">
        <w:rPr>
          <w:i/>
          <w:iCs/>
        </w:rPr>
        <w:t>The policing mind</w:t>
      </w:r>
      <w:r w:rsidRPr="00763AA1">
        <w:rPr>
          <w:rFonts w:ascii="Arial" w:hAnsi="Arial" w:cs="Arial"/>
          <w:i/>
          <w:iCs/>
        </w:rPr>
        <w:t> </w:t>
      </w:r>
      <w:r w:rsidRPr="00763AA1">
        <w:rPr>
          <w:i/>
          <w:iCs/>
        </w:rPr>
        <w:t>: developing trauma resilience for a new era</w:t>
      </w:r>
      <w:r w:rsidRPr="00763AA1">
        <w:t>. 1st ed. Bristol: Policy Press. Available at: https://doi.org/10.56687/9781447361923.</w:t>
      </w:r>
    </w:p>
    <w:p w14:paraId="5E486361" w14:textId="3332102F" w:rsidR="005A03EE" w:rsidRDefault="005A03EE" w:rsidP="005A03EE">
      <w:r w:rsidRPr="005A03EE">
        <w:t>MIND (2019). </w:t>
      </w:r>
      <w:r w:rsidRPr="005A03EE">
        <w:rPr>
          <w:i/>
          <w:iCs/>
        </w:rPr>
        <w:t>Wellbeing | Mind, the mental health charity - help for mental health problems</w:t>
      </w:r>
      <w:r w:rsidRPr="005A03EE">
        <w:t xml:space="preserve">. [online] Mind.org.uk. Available at: </w:t>
      </w:r>
      <w:hyperlink r:id="rId9" w:history="1">
        <w:r w:rsidR="004B3E35" w:rsidRPr="00D2730C">
          <w:rPr>
            <w:rStyle w:val="Hyperlink"/>
          </w:rPr>
          <w:t>https://www.mind.org.uk/information-support/tips-for-everyday-living/wellbeing/</w:t>
        </w:r>
      </w:hyperlink>
      <w:r w:rsidRPr="005A03EE">
        <w:t>.</w:t>
      </w:r>
    </w:p>
    <w:p w14:paraId="306406A8" w14:textId="77777777" w:rsidR="007A49F9" w:rsidRPr="007A49F9" w:rsidRDefault="007A49F9" w:rsidP="007A49F9">
      <w:r w:rsidRPr="007A49F9">
        <w:t>Ministry of Justice (2005) </w:t>
      </w:r>
      <w:r w:rsidRPr="007A49F9">
        <w:rPr>
          <w:i/>
          <w:iCs/>
        </w:rPr>
        <w:t>The code of practice for victims of crime and supporting public information materials</w:t>
      </w:r>
      <w:r w:rsidRPr="007A49F9">
        <w:t>, </w:t>
      </w:r>
      <w:r w:rsidRPr="007A49F9">
        <w:rPr>
          <w:i/>
          <w:iCs/>
        </w:rPr>
        <w:t>GOV.UK</w:t>
      </w:r>
      <w:r w:rsidRPr="007A49F9">
        <w:t>. Available at: https://www.gov.uk/government/publications/the-code-of-practice-for-victims-of-crime.</w:t>
      </w:r>
    </w:p>
    <w:p w14:paraId="0E0CC6FE" w14:textId="668F2A53" w:rsidR="004B3E35" w:rsidRPr="005A03EE" w:rsidRDefault="007A49F9" w:rsidP="005A03EE">
      <w:r w:rsidRPr="007A49F9">
        <w:t>‌</w:t>
      </w:r>
      <w:r w:rsidR="004B3E35" w:rsidRPr="004B3E35">
        <w:t>NPIA (2009). </w:t>
      </w:r>
      <w:r w:rsidR="004B3E35" w:rsidRPr="004B3E35">
        <w:rPr>
          <w:i/>
          <w:iCs/>
        </w:rPr>
        <w:t>Practice Advice on the Management of Priority and Volume Crime</w:t>
      </w:r>
      <w:r w:rsidR="004B3E35" w:rsidRPr="004B3E35">
        <w:t>. [online] </w:t>
      </w:r>
      <w:r w:rsidR="004B3E35" w:rsidRPr="004B3E35">
        <w:rPr>
          <w:i/>
          <w:iCs/>
        </w:rPr>
        <w:t>College of Policing</w:t>
      </w:r>
      <w:r w:rsidR="004B3E35" w:rsidRPr="004B3E35">
        <w:t>. National Policing Improvement Agency. Available at: https://library.college.police.uk/docs/acpo/VCMM-191109.pdf [Accessed 29 Aug. 2024].</w:t>
      </w:r>
    </w:p>
    <w:p w14:paraId="33B1BB13" w14:textId="6DBB3948" w:rsidR="005C5E56" w:rsidRDefault="005A03EE" w:rsidP="005C5E56">
      <w:r w:rsidRPr="005A03EE">
        <w:t>‌</w:t>
      </w:r>
      <w:r w:rsidR="00BA50F4" w:rsidRPr="00BA50F4">
        <w:t>P</w:t>
      </w:r>
      <w:r w:rsidR="004E0B79">
        <w:t>i</w:t>
      </w:r>
      <w:r w:rsidR="00BA50F4" w:rsidRPr="00BA50F4">
        <w:t>ckles (2019) ‘Policing hate and bridging communities: a qualitative evaluation of relations between LGBT+ people and the police within the North East of England’, </w:t>
      </w:r>
      <w:r w:rsidR="00BA50F4" w:rsidRPr="00BA50F4">
        <w:rPr>
          <w:i/>
          <w:iCs/>
        </w:rPr>
        <w:t>Policing and Society</w:t>
      </w:r>
      <w:r w:rsidR="00BA50F4" w:rsidRPr="00BA50F4">
        <w:t xml:space="preserve">, 30(7), pp. 741–759. </w:t>
      </w:r>
      <w:proofErr w:type="spellStart"/>
      <w:r w:rsidR="00BA50F4" w:rsidRPr="00BA50F4">
        <w:t>doi</w:t>
      </w:r>
      <w:proofErr w:type="spellEnd"/>
      <w:r w:rsidR="00BA50F4" w:rsidRPr="00BA50F4">
        <w:t>: 10.1080/10439463.2019.1588269.</w:t>
      </w:r>
    </w:p>
    <w:p w14:paraId="604EBAEF" w14:textId="6305BE91" w:rsidR="007F5314" w:rsidRDefault="007F5314" w:rsidP="005C5E56">
      <w:r w:rsidRPr="007F5314">
        <w:t xml:space="preserve">Robotham, D., </w:t>
      </w:r>
      <w:proofErr w:type="spellStart"/>
      <w:r w:rsidRPr="007F5314">
        <w:t>Chakkalackal</w:t>
      </w:r>
      <w:proofErr w:type="spellEnd"/>
      <w:r w:rsidRPr="007F5314">
        <w:t xml:space="preserve">, L. and </w:t>
      </w:r>
      <w:proofErr w:type="spellStart"/>
      <w:r w:rsidRPr="007F5314">
        <w:t>Cyhlraova</w:t>
      </w:r>
      <w:proofErr w:type="spellEnd"/>
      <w:r w:rsidRPr="007F5314">
        <w:t>, E. (n.d.). </w:t>
      </w:r>
      <w:r w:rsidRPr="007F5314">
        <w:rPr>
          <w:i/>
          <w:iCs/>
        </w:rPr>
        <w:t>Sleep Matters Report</w:t>
      </w:r>
      <w:r w:rsidRPr="007F5314">
        <w:t>. [online] </w:t>
      </w:r>
      <w:r w:rsidRPr="007F5314">
        <w:rPr>
          <w:i/>
          <w:iCs/>
        </w:rPr>
        <w:t>Mental Health Foundation</w:t>
      </w:r>
      <w:r w:rsidRPr="007F5314">
        <w:t>. Mental Health Foundation. Available at: https://www.mentalhealth.org.uk/sites/default/files/2022-06/MHF-Sleep-Matters-Report-MHAW-2011.pdf [Accessed 27 Aug. 2024].</w:t>
      </w:r>
    </w:p>
    <w:p w14:paraId="24B32AB9" w14:textId="77777777" w:rsidR="00843E74" w:rsidRPr="00843E74" w:rsidRDefault="00843E74" w:rsidP="00843E74">
      <w:r w:rsidRPr="00843E74">
        <w:t>Robinson, G., McLean, R. and Densley, J. (2018). Working County Lines: Child Criminal Exploitation and Illicit Drug Dealing in Glasgow and Merseyside. </w:t>
      </w:r>
      <w:r w:rsidRPr="00843E74">
        <w:rPr>
          <w:i/>
          <w:iCs/>
        </w:rPr>
        <w:t xml:space="preserve">International Journal of </w:t>
      </w:r>
      <w:r w:rsidRPr="00843E74">
        <w:rPr>
          <w:i/>
          <w:iCs/>
        </w:rPr>
        <w:lastRenderedPageBreak/>
        <w:t>Offender Therapy and Comparative Criminology</w:t>
      </w:r>
      <w:r w:rsidRPr="00843E74">
        <w:t>, [online] 63(5). Available at: https://journals.sagepub.com/doi/full/10.1177/0306624X18806742.</w:t>
      </w:r>
    </w:p>
    <w:p w14:paraId="348D68F1" w14:textId="33196F70" w:rsidR="00752750" w:rsidRDefault="00843E74" w:rsidP="005C5E56">
      <w:r w:rsidRPr="00843E74">
        <w:t>‌</w:t>
      </w:r>
      <w:proofErr w:type="spellStart"/>
      <w:r w:rsidR="00752750" w:rsidRPr="00752750">
        <w:t>Rossmo</w:t>
      </w:r>
      <w:proofErr w:type="spellEnd"/>
      <w:r w:rsidR="00752750" w:rsidRPr="00752750">
        <w:t>, D.K. (2021). Dissecting a Criminal Investigation. </w:t>
      </w:r>
      <w:r w:rsidR="00752750" w:rsidRPr="00752750">
        <w:rPr>
          <w:i/>
          <w:iCs/>
        </w:rPr>
        <w:t>Journal of Police and Criminal Psychology</w:t>
      </w:r>
      <w:r w:rsidR="00752750" w:rsidRPr="00752750">
        <w:t xml:space="preserve">, 36. </w:t>
      </w:r>
      <w:proofErr w:type="spellStart"/>
      <w:r w:rsidR="00752750" w:rsidRPr="00752750">
        <w:t>doi:https</w:t>
      </w:r>
      <w:proofErr w:type="spellEnd"/>
      <w:r w:rsidR="00752750" w:rsidRPr="00752750">
        <w:t>://doi.org/10.1007/s11896-021-09434-1.</w:t>
      </w:r>
    </w:p>
    <w:p w14:paraId="184CB495" w14:textId="77777777" w:rsidR="00DA655C" w:rsidRPr="00DA655C" w:rsidRDefault="00DA655C" w:rsidP="00DA655C">
      <w:proofErr w:type="spellStart"/>
      <w:r w:rsidRPr="00DA655C">
        <w:t>Rossmo</w:t>
      </w:r>
      <w:proofErr w:type="spellEnd"/>
      <w:r w:rsidRPr="00DA655C">
        <w:t>, K. and Pollock, J. (2019). </w:t>
      </w:r>
      <w:r w:rsidRPr="00DA655C">
        <w:rPr>
          <w:i/>
          <w:iCs/>
        </w:rPr>
        <w:t>Confirmation Bias and Other Systemic Causes of Wrongful Convictions: A Sentinel Events Perspective</w:t>
      </w:r>
      <w:r w:rsidRPr="00DA655C">
        <w:t>. [online] papers.ssrn.com. Available at: https://papers.ssrn.com/sol3/papers.cfm?abstract_id=3413922.</w:t>
      </w:r>
    </w:p>
    <w:p w14:paraId="413161A7" w14:textId="5D3C1574" w:rsidR="00A43CA9" w:rsidRPr="00A43CA9" w:rsidRDefault="00DA655C" w:rsidP="00A43CA9">
      <w:r w:rsidRPr="00DA655C">
        <w:t>‌</w:t>
      </w:r>
      <w:r w:rsidR="00A43CA9" w:rsidRPr="00A43CA9">
        <w:t>Scott, A.J., Webb, T.L., Martyn-St James, M., Rowse, G. and Weich, S. (2021). Improving Sleep Quality Leads to Better Mental health: a meta-analysis of Randomised Controlled Trials. </w:t>
      </w:r>
      <w:r w:rsidR="00A43CA9" w:rsidRPr="00A43CA9">
        <w:rPr>
          <w:i/>
          <w:iCs/>
        </w:rPr>
        <w:t>Sleep Medicine Reviews</w:t>
      </w:r>
      <w:r w:rsidR="00A43CA9" w:rsidRPr="00A43CA9">
        <w:t xml:space="preserve">, [online] 60(60), p.101556. </w:t>
      </w:r>
      <w:proofErr w:type="spellStart"/>
      <w:r w:rsidR="00A43CA9" w:rsidRPr="00A43CA9">
        <w:t>doi:https</w:t>
      </w:r>
      <w:proofErr w:type="spellEnd"/>
      <w:r w:rsidR="00A43CA9" w:rsidRPr="00A43CA9">
        <w:t>://doi.org/10.1016/j.smrv.2021.101556.</w:t>
      </w:r>
    </w:p>
    <w:p w14:paraId="2B085617" w14:textId="6115852D" w:rsidR="005C5E56" w:rsidRPr="005C5E56" w:rsidRDefault="005C5E56" w:rsidP="005C5E56">
      <w:proofErr w:type="spellStart"/>
      <w:r w:rsidRPr="005C5E56">
        <w:t>Shankley</w:t>
      </w:r>
      <w:proofErr w:type="spellEnd"/>
      <w:r w:rsidRPr="005C5E56">
        <w:t>, W. and Williams, P. (2020). Minority ethnic groups, policing and the criminal justice system in Britain. </w:t>
      </w:r>
      <w:r w:rsidRPr="005C5E56">
        <w:rPr>
          <w:i/>
          <w:iCs/>
        </w:rPr>
        <w:t>Ethnicity and Race in the UK</w:t>
      </w:r>
      <w:r w:rsidRPr="005C5E56">
        <w:t xml:space="preserve">, pp.51–72. </w:t>
      </w:r>
      <w:proofErr w:type="spellStart"/>
      <w:r w:rsidRPr="005C5E56">
        <w:t>doi:https</w:t>
      </w:r>
      <w:proofErr w:type="spellEnd"/>
      <w:r w:rsidRPr="005C5E56">
        <w:t>://doi.org/10.2307/j.ctv14t47tm.9.</w:t>
      </w:r>
    </w:p>
    <w:p w14:paraId="23BE5BAB" w14:textId="0775E9ED" w:rsidR="00142557" w:rsidRDefault="00142557" w:rsidP="00535CB7">
      <w:r w:rsidRPr="00142557">
        <w:t>Stone (2013). </w:t>
      </w:r>
      <w:r w:rsidRPr="00142557">
        <w:rPr>
          <w:i/>
          <w:iCs/>
        </w:rPr>
        <w:t>Hidden Stories of the Stephen Lawrence Enquiry : Personal reflections</w:t>
      </w:r>
      <w:r w:rsidRPr="00142557">
        <w:t>. Bristol: Bristol University Press. pp.133-142.</w:t>
      </w:r>
    </w:p>
    <w:p w14:paraId="3DFFE828" w14:textId="0AC9F651" w:rsidR="00B170CD" w:rsidRDefault="00B170CD" w:rsidP="00535CB7">
      <w:r w:rsidRPr="00B170CD">
        <w:t>Stubbs, G. and Tong, S. (2024). The ‘haves and have-nots’ of social support during police recruitment: why the playing field is anything but level. </w:t>
      </w:r>
      <w:r w:rsidRPr="00B170CD">
        <w:rPr>
          <w:i/>
          <w:iCs/>
        </w:rPr>
        <w:t>Policing &amp; society</w:t>
      </w:r>
      <w:r w:rsidRPr="00B170CD">
        <w:t xml:space="preserve">, pp.1–17. </w:t>
      </w:r>
      <w:proofErr w:type="spellStart"/>
      <w:r w:rsidRPr="00B170CD">
        <w:t>doi:https</w:t>
      </w:r>
      <w:proofErr w:type="spellEnd"/>
      <w:r w:rsidRPr="00B170CD">
        <w:t>://doi.org/10.1080/10439463.2024.2317313.</w:t>
      </w:r>
    </w:p>
    <w:p w14:paraId="36786061" w14:textId="77777777" w:rsidR="001E547D" w:rsidRPr="001E547D" w:rsidRDefault="001E547D" w:rsidP="001E547D">
      <w:r w:rsidRPr="001E547D">
        <w:rPr>
          <w:i/>
          <w:iCs/>
        </w:rPr>
        <w:t>The Equality Act 2010</w:t>
      </w:r>
      <w:r w:rsidRPr="001E547D">
        <w:t>.158(C) [online] Available at: https://www.legislation.gov.uk/ukpga/2010/15/section/158 [Accessed 26 Aug. 2024].</w:t>
      </w:r>
    </w:p>
    <w:p w14:paraId="72A3A2AB" w14:textId="3EE1AEDA" w:rsidR="00426442" w:rsidRPr="00426442" w:rsidRDefault="005C5E56" w:rsidP="00426442">
      <w:r w:rsidRPr="005C5E56">
        <w:t>‌</w:t>
      </w:r>
      <w:r w:rsidR="00426442" w:rsidRPr="00426442">
        <w:t>Tang, T.L.-P. and Hammontree, M.L. (1992). The Effects of Hardiness, Police Stress, and Life Stress on Police Officers’ Illness and Absenteeism. </w:t>
      </w:r>
      <w:r w:rsidR="00426442" w:rsidRPr="00426442">
        <w:rPr>
          <w:i/>
          <w:iCs/>
        </w:rPr>
        <w:t>Public Personnel Management</w:t>
      </w:r>
      <w:r w:rsidR="00426442" w:rsidRPr="00426442">
        <w:t xml:space="preserve">, 21(4), pp.493–510. </w:t>
      </w:r>
      <w:proofErr w:type="spellStart"/>
      <w:r w:rsidR="00426442" w:rsidRPr="00426442">
        <w:t>doi:https</w:t>
      </w:r>
      <w:proofErr w:type="spellEnd"/>
      <w:r w:rsidR="00426442" w:rsidRPr="00426442">
        <w:t>://doi.org/10.1177/009102609202100406.</w:t>
      </w:r>
    </w:p>
    <w:p w14:paraId="130F5950" w14:textId="77777777" w:rsidR="00C74BB0" w:rsidRPr="00C74BB0" w:rsidRDefault="00426442" w:rsidP="00C74BB0">
      <w:r w:rsidRPr="00426442">
        <w:t>‌</w:t>
      </w:r>
      <w:r w:rsidR="00C74BB0" w:rsidRPr="00C74BB0">
        <w:t>Thompson, N. (2019). ‘It’s a No-Win Scenario, either the Police or the Gang Will Get You’: Young People and Organised Crime – Vulnerable or Criminal?. </w:t>
      </w:r>
      <w:r w:rsidR="00C74BB0" w:rsidRPr="00C74BB0">
        <w:rPr>
          <w:i/>
          <w:iCs/>
        </w:rPr>
        <w:t>Youth Justice</w:t>
      </w:r>
      <w:r w:rsidR="00C74BB0" w:rsidRPr="00C74BB0">
        <w:t xml:space="preserve">, 19(2), pp.102–119. </w:t>
      </w:r>
      <w:proofErr w:type="spellStart"/>
      <w:r w:rsidR="00C74BB0" w:rsidRPr="00C74BB0">
        <w:t>doi:https</w:t>
      </w:r>
      <w:proofErr w:type="spellEnd"/>
      <w:r w:rsidR="00C74BB0" w:rsidRPr="00C74BB0">
        <w:t>://doi.org/10.1177/1473225419843353.</w:t>
      </w:r>
    </w:p>
    <w:p w14:paraId="6515F300" w14:textId="77777777" w:rsidR="00776DBE" w:rsidRPr="00776DBE" w:rsidRDefault="00C74BB0" w:rsidP="00776DBE">
      <w:r w:rsidRPr="00C74BB0">
        <w:t>‌</w:t>
      </w:r>
      <w:r w:rsidR="00776DBE" w:rsidRPr="00776DBE">
        <w:t>White, R. and Cunneen, C. (2015). </w:t>
      </w:r>
      <w:r w:rsidR="00776DBE" w:rsidRPr="00776DBE">
        <w:rPr>
          <w:i/>
          <w:iCs/>
        </w:rPr>
        <w:t>Social Class, Youth Crime and Youth Justice</w:t>
      </w:r>
      <w:r w:rsidR="00776DBE" w:rsidRPr="00776DBE">
        <w:t>. [online] Ssrn.com. Available at: https://papers.ssrn.com/sol3/papers.cfm?abstract_id=2657312.</w:t>
      </w:r>
    </w:p>
    <w:p w14:paraId="16182AA8" w14:textId="77777777" w:rsidR="00776DBE" w:rsidRPr="00776DBE" w:rsidRDefault="00776DBE" w:rsidP="00776DBE">
      <w:r w:rsidRPr="00776DBE">
        <w:t>‌</w:t>
      </w:r>
    </w:p>
    <w:p w14:paraId="0AA45DDB" w14:textId="382938D6" w:rsidR="00426442" w:rsidRPr="00776DBE" w:rsidRDefault="00426442" w:rsidP="00426442"/>
    <w:p w14:paraId="64708BC4" w14:textId="5EB1450B" w:rsidR="005C5E56" w:rsidRPr="005C5E56" w:rsidRDefault="005C5E56" w:rsidP="005C5E56"/>
    <w:p w14:paraId="49F4DDD5" w14:textId="77777777" w:rsidR="00EF7C0C" w:rsidRPr="00EF7C0C" w:rsidRDefault="00EF7C0C" w:rsidP="00EF7C0C">
      <w:r w:rsidRPr="00EF7C0C">
        <w:t>‌</w:t>
      </w:r>
    </w:p>
    <w:p w14:paraId="5300A703" w14:textId="77777777" w:rsidR="00A81D1A" w:rsidRDefault="00A81D1A"/>
    <w:sectPr w:rsidR="00A81D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0C1B47"/>
    <w:multiLevelType w:val="hybridMultilevel"/>
    <w:tmpl w:val="4BBE1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8411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E28"/>
    <w:rsid w:val="00007CE0"/>
    <w:rsid w:val="00021E28"/>
    <w:rsid w:val="000447CB"/>
    <w:rsid w:val="00052C06"/>
    <w:rsid w:val="00060167"/>
    <w:rsid w:val="000639AB"/>
    <w:rsid w:val="00084E52"/>
    <w:rsid w:val="00127E2A"/>
    <w:rsid w:val="00142557"/>
    <w:rsid w:val="001A02C0"/>
    <w:rsid w:val="001B5200"/>
    <w:rsid w:val="001D3072"/>
    <w:rsid w:val="001E547D"/>
    <w:rsid w:val="001F19EA"/>
    <w:rsid w:val="00225770"/>
    <w:rsid w:val="00271369"/>
    <w:rsid w:val="002C0166"/>
    <w:rsid w:val="002C4EA5"/>
    <w:rsid w:val="002D275A"/>
    <w:rsid w:val="002D6EC7"/>
    <w:rsid w:val="002F42F1"/>
    <w:rsid w:val="00304EE3"/>
    <w:rsid w:val="00316623"/>
    <w:rsid w:val="00326952"/>
    <w:rsid w:val="00354BDA"/>
    <w:rsid w:val="0037646B"/>
    <w:rsid w:val="003A4087"/>
    <w:rsid w:val="003B3F2F"/>
    <w:rsid w:val="003D3B35"/>
    <w:rsid w:val="003D46AA"/>
    <w:rsid w:val="003D5A02"/>
    <w:rsid w:val="003E6356"/>
    <w:rsid w:val="00411A65"/>
    <w:rsid w:val="00423F6C"/>
    <w:rsid w:val="00424016"/>
    <w:rsid w:val="00425C1C"/>
    <w:rsid w:val="00426442"/>
    <w:rsid w:val="004443F7"/>
    <w:rsid w:val="004772C5"/>
    <w:rsid w:val="00483AEE"/>
    <w:rsid w:val="00495FA5"/>
    <w:rsid w:val="004A4BD7"/>
    <w:rsid w:val="004B3E35"/>
    <w:rsid w:val="004C0E84"/>
    <w:rsid w:val="004C229F"/>
    <w:rsid w:val="004C7BE8"/>
    <w:rsid w:val="004E0B79"/>
    <w:rsid w:val="004E6F70"/>
    <w:rsid w:val="004F20E6"/>
    <w:rsid w:val="00535CB7"/>
    <w:rsid w:val="005804E7"/>
    <w:rsid w:val="005819B5"/>
    <w:rsid w:val="005A03EE"/>
    <w:rsid w:val="005A7DE5"/>
    <w:rsid w:val="005C5E56"/>
    <w:rsid w:val="005D1FD3"/>
    <w:rsid w:val="005E0DF5"/>
    <w:rsid w:val="00605D9B"/>
    <w:rsid w:val="00606422"/>
    <w:rsid w:val="00654C77"/>
    <w:rsid w:val="00681B7E"/>
    <w:rsid w:val="00690EB0"/>
    <w:rsid w:val="006946D2"/>
    <w:rsid w:val="006C059F"/>
    <w:rsid w:val="006C0921"/>
    <w:rsid w:val="006C7A36"/>
    <w:rsid w:val="006E48A0"/>
    <w:rsid w:val="00711889"/>
    <w:rsid w:val="00712962"/>
    <w:rsid w:val="00726A65"/>
    <w:rsid w:val="0072783A"/>
    <w:rsid w:val="0075000F"/>
    <w:rsid w:val="00752750"/>
    <w:rsid w:val="00763443"/>
    <w:rsid w:val="00763AA1"/>
    <w:rsid w:val="00776DBE"/>
    <w:rsid w:val="007A3116"/>
    <w:rsid w:val="007A49F9"/>
    <w:rsid w:val="007A6DCD"/>
    <w:rsid w:val="007B74A8"/>
    <w:rsid w:val="007E533C"/>
    <w:rsid w:val="007F5314"/>
    <w:rsid w:val="008037AA"/>
    <w:rsid w:val="008106C8"/>
    <w:rsid w:val="00836A23"/>
    <w:rsid w:val="00843E74"/>
    <w:rsid w:val="008527B1"/>
    <w:rsid w:val="00862880"/>
    <w:rsid w:val="0089008D"/>
    <w:rsid w:val="0089539A"/>
    <w:rsid w:val="008F4CB8"/>
    <w:rsid w:val="009335EF"/>
    <w:rsid w:val="00956251"/>
    <w:rsid w:val="009748B6"/>
    <w:rsid w:val="0097564C"/>
    <w:rsid w:val="00977B3B"/>
    <w:rsid w:val="00977FFD"/>
    <w:rsid w:val="009803F2"/>
    <w:rsid w:val="009B0000"/>
    <w:rsid w:val="009D2B56"/>
    <w:rsid w:val="009F1789"/>
    <w:rsid w:val="00A14102"/>
    <w:rsid w:val="00A16475"/>
    <w:rsid w:val="00A33547"/>
    <w:rsid w:val="00A43CA9"/>
    <w:rsid w:val="00A44F5F"/>
    <w:rsid w:val="00A51832"/>
    <w:rsid w:val="00A54277"/>
    <w:rsid w:val="00A73DBB"/>
    <w:rsid w:val="00A768BC"/>
    <w:rsid w:val="00A81D1A"/>
    <w:rsid w:val="00AD78E0"/>
    <w:rsid w:val="00B170CD"/>
    <w:rsid w:val="00B368E0"/>
    <w:rsid w:val="00B6439B"/>
    <w:rsid w:val="00BA50F4"/>
    <w:rsid w:val="00BB3858"/>
    <w:rsid w:val="00BC615A"/>
    <w:rsid w:val="00BD05C8"/>
    <w:rsid w:val="00BD5754"/>
    <w:rsid w:val="00BE1706"/>
    <w:rsid w:val="00BE3394"/>
    <w:rsid w:val="00C15EA6"/>
    <w:rsid w:val="00C24B77"/>
    <w:rsid w:val="00C33A9C"/>
    <w:rsid w:val="00C42650"/>
    <w:rsid w:val="00C560BB"/>
    <w:rsid w:val="00C74BB0"/>
    <w:rsid w:val="00CB444B"/>
    <w:rsid w:val="00CC1C4F"/>
    <w:rsid w:val="00CD0740"/>
    <w:rsid w:val="00CE4E7E"/>
    <w:rsid w:val="00CE4F42"/>
    <w:rsid w:val="00D110C3"/>
    <w:rsid w:val="00D1266A"/>
    <w:rsid w:val="00D14557"/>
    <w:rsid w:val="00D32ADF"/>
    <w:rsid w:val="00D7058E"/>
    <w:rsid w:val="00D834AC"/>
    <w:rsid w:val="00DA655C"/>
    <w:rsid w:val="00DA6F3A"/>
    <w:rsid w:val="00DE1DC8"/>
    <w:rsid w:val="00E164D4"/>
    <w:rsid w:val="00E17C7A"/>
    <w:rsid w:val="00E22665"/>
    <w:rsid w:val="00E35CF5"/>
    <w:rsid w:val="00E52F50"/>
    <w:rsid w:val="00E6075E"/>
    <w:rsid w:val="00E634DB"/>
    <w:rsid w:val="00E759BC"/>
    <w:rsid w:val="00ED39FD"/>
    <w:rsid w:val="00EE443F"/>
    <w:rsid w:val="00EF7C0C"/>
    <w:rsid w:val="00F1317C"/>
    <w:rsid w:val="00F17562"/>
    <w:rsid w:val="00F225EA"/>
    <w:rsid w:val="00F33C3A"/>
    <w:rsid w:val="00F54C1F"/>
    <w:rsid w:val="00F57DF3"/>
    <w:rsid w:val="00F644C3"/>
    <w:rsid w:val="00F7613C"/>
    <w:rsid w:val="00F806A2"/>
    <w:rsid w:val="00FA0C56"/>
    <w:rsid w:val="00FA2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E97E4"/>
  <w15:chartTrackingRefBased/>
  <w15:docId w15:val="{09840F19-73B5-4FE7-94F0-E2BD00C03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1E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1E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1E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1E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1E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1E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1E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1E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1E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1E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1E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1E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1E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1E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1E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1E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1E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1E28"/>
    <w:rPr>
      <w:rFonts w:eastAsiaTheme="majorEastAsia" w:cstheme="majorBidi"/>
      <w:color w:val="272727" w:themeColor="text1" w:themeTint="D8"/>
    </w:rPr>
  </w:style>
  <w:style w:type="paragraph" w:styleId="Title">
    <w:name w:val="Title"/>
    <w:basedOn w:val="Normal"/>
    <w:next w:val="Normal"/>
    <w:link w:val="TitleChar"/>
    <w:uiPriority w:val="10"/>
    <w:qFormat/>
    <w:rsid w:val="00021E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1E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1E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1E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1E28"/>
    <w:pPr>
      <w:spacing w:before="160"/>
      <w:jc w:val="center"/>
    </w:pPr>
    <w:rPr>
      <w:i/>
      <w:iCs/>
      <w:color w:val="404040" w:themeColor="text1" w:themeTint="BF"/>
    </w:rPr>
  </w:style>
  <w:style w:type="character" w:customStyle="1" w:styleId="QuoteChar">
    <w:name w:val="Quote Char"/>
    <w:basedOn w:val="DefaultParagraphFont"/>
    <w:link w:val="Quote"/>
    <w:uiPriority w:val="29"/>
    <w:rsid w:val="00021E28"/>
    <w:rPr>
      <w:i/>
      <w:iCs/>
      <w:color w:val="404040" w:themeColor="text1" w:themeTint="BF"/>
    </w:rPr>
  </w:style>
  <w:style w:type="paragraph" w:styleId="ListParagraph">
    <w:name w:val="List Paragraph"/>
    <w:basedOn w:val="Normal"/>
    <w:uiPriority w:val="34"/>
    <w:qFormat/>
    <w:rsid w:val="00021E28"/>
    <w:pPr>
      <w:ind w:left="720"/>
      <w:contextualSpacing/>
    </w:pPr>
  </w:style>
  <w:style w:type="character" w:styleId="IntenseEmphasis">
    <w:name w:val="Intense Emphasis"/>
    <w:basedOn w:val="DefaultParagraphFont"/>
    <w:uiPriority w:val="21"/>
    <w:qFormat/>
    <w:rsid w:val="00021E28"/>
    <w:rPr>
      <w:i/>
      <w:iCs/>
      <w:color w:val="0F4761" w:themeColor="accent1" w:themeShade="BF"/>
    </w:rPr>
  </w:style>
  <w:style w:type="paragraph" w:styleId="IntenseQuote">
    <w:name w:val="Intense Quote"/>
    <w:basedOn w:val="Normal"/>
    <w:next w:val="Normal"/>
    <w:link w:val="IntenseQuoteChar"/>
    <w:uiPriority w:val="30"/>
    <w:qFormat/>
    <w:rsid w:val="00021E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1E28"/>
    <w:rPr>
      <w:i/>
      <w:iCs/>
      <w:color w:val="0F4761" w:themeColor="accent1" w:themeShade="BF"/>
    </w:rPr>
  </w:style>
  <w:style w:type="character" w:styleId="IntenseReference">
    <w:name w:val="Intense Reference"/>
    <w:basedOn w:val="DefaultParagraphFont"/>
    <w:uiPriority w:val="32"/>
    <w:qFormat/>
    <w:rsid w:val="00021E28"/>
    <w:rPr>
      <w:b/>
      <w:bCs/>
      <w:smallCaps/>
      <w:color w:val="0F4761" w:themeColor="accent1" w:themeShade="BF"/>
      <w:spacing w:val="5"/>
    </w:rPr>
  </w:style>
  <w:style w:type="character" w:styleId="Hyperlink">
    <w:name w:val="Hyperlink"/>
    <w:basedOn w:val="DefaultParagraphFont"/>
    <w:uiPriority w:val="99"/>
    <w:unhideWhenUsed/>
    <w:rsid w:val="00BA50F4"/>
    <w:rPr>
      <w:color w:val="467886" w:themeColor="hyperlink"/>
      <w:u w:val="single"/>
    </w:rPr>
  </w:style>
  <w:style w:type="character" w:styleId="UnresolvedMention">
    <w:name w:val="Unresolved Mention"/>
    <w:basedOn w:val="DefaultParagraphFont"/>
    <w:uiPriority w:val="99"/>
    <w:semiHidden/>
    <w:unhideWhenUsed/>
    <w:rsid w:val="00BA50F4"/>
    <w:rPr>
      <w:color w:val="605E5C"/>
      <w:shd w:val="clear" w:color="auto" w:fill="E1DFDD"/>
    </w:rPr>
  </w:style>
  <w:style w:type="paragraph" w:styleId="NormalWeb">
    <w:name w:val="Normal (Web)"/>
    <w:basedOn w:val="Normal"/>
    <w:uiPriority w:val="99"/>
    <w:semiHidden/>
    <w:unhideWhenUsed/>
    <w:rsid w:val="0042644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7351">
      <w:bodyDiv w:val="1"/>
      <w:marLeft w:val="0"/>
      <w:marRight w:val="0"/>
      <w:marTop w:val="0"/>
      <w:marBottom w:val="0"/>
      <w:divBdr>
        <w:top w:val="none" w:sz="0" w:space="0" w:color="auto"/>
        <w:left w:val="none" w:sz="0" w:space="0" w:color="auto"/>
        <w:bottom w:val="none" w:sz="0" w:space="0" w:color="auto"/>
        <w:right w:val="none" w:sz="0" w:space="0" w:color="auto"/>
      </w:divBdr>
    </w:div>
    <w:div w:id="116417848">
      <w:bodyDiv w:val="1"/>
      <w:marLeft w:val="0"/>
      <w:marRight w:val="0"/>
      <w:marTop w:val="0"/>
      <w:marBottom w:val="0"/>
      <w:divBdr>
        <w:top w:val="none" w:sz="0" w:space="0" w:color="auto"/>
        <w:left w:val="none" w:sz="0" w:space="0" w:color="auto"/>
        <w:bottom w:val="none" w:sz="0" w:space="0" w:color="auto"/>
        <w:right w:val="none" w:sz="0" w:space="0" w:color="auto"/>
      </w:divBdr>
    </w:div>
    <w:div w:id="138617867">
      <w:bodyDiv w:val="1"/>
      <w:marLeft w:val="0"/>
      <w:marRight w:val="0"/>
      <w:marTop w:val="0"/>
      <w:marBottom w:val="0"/>
      <w:divBdr>
        <w:top w:val="none" w:sz="0" w:space="0" w:color="auto"/>
        <w:left w:val="none" w:sz="0" w:space="0" w:color="auto"/>
        <w:bottom w:val="none" w:sz="0" w:space="0" w:color="auto"/>
        <w:right w:val="none" w:sz="0" w:space="0" w:color="auto"/>
      </w:divBdr>
    </w:div>
    <w:div w:id="173501817">
      <w:bodyDiv w:val="1"/>
      <w:marLeft w:val="0"/>
      <w:marRight w:val="0"/>
      <w:marTop w:val="0"/>
      <w:marBottom w:val="0"/>
      <w:divBdr>
        <w:top w:val="none" w:sz="0" w:space="0" w:color="auto"/>
        <w:left w:val="none" w:sz="0" w:space="0" w:color="auto"/>
        <w:bottom w:val="none" w:sz="0" w:space="0" w:color="auto"/>
        <w:right w:val="none" w:sz="0" w:space="0" w:color="auto"/>
      </w:divBdr>
    </w:div>
    <w:div w:id="242036974">
      <w:bodyDiv w:val="1"/>
      <w:marLeft w:val="0"/>
      <w:marRight w:val="0"/>
      <w:marTop w:val="0"/>
      <w:marBottom w:val="0"/>
      <w:divBdr>
        <w:top w:val="none" w:sz="0" w:space="0" w:color="auto"/>
        <w:left w:val="none" w:sz="0" w:space="0" w:color="auto"/>
        <w:bottom w:val="none" w:sz="0" w:space="0" w:color="auto"/>
        <w:right w:val="none" w:sz="0" w:space="0" w:color="auto"/>
      </w:divBdr>
    </w:div>
    <w:div w:id="253100792">
      <w:bodyDiv w:val="1"/>
      <w:marLeft w:val="0"/>
      <w:marRight w:val="0"/>
      <w:marTop w:val="0"/>
      <w:marBottom w:val="0"/>
      <w:divBdr>
        <w:top w:val="none" w:sz="0" w:space="0" w:color="auto"/>
        <w:left w:val="none" w:sz="0" w:space="0" w:color="auto"/>
        <w:bottom w:val="none" w:sz="0" w:space="0" w:color="auto"/>
        <w:right w:val="none" w:sz="0" w:space="0" w:color="auto"/>
      </w:divBdr>
    </w:div>
    <w:div w:id="254901239">
      <w:bodyDiv w:val="1"/>
      <w:marLeft w:val="0"/>
      <w:marRight w:val="0"/>
      <w:marTop w:val="0"/>
      <w:marBottom w:val="0"/>
      <w:divBdr>
        <w:top w:val="none" w:sz="0" w:space="0" w:color="auto"/>
        <w:left w:val="none" w:sz="0" w:space="0" w:color="auto"/>
        <w:bottom w:val="none" w:sz="0" w:space="0" w:color="auto"/>
        <w:right w:val="none" w:sz="0" w:space="0" w:color="auto"/>
      </w:divBdr>
    </w:div>
    <w:div w:id="291864457">
      <w:bodyDiv w:val="1"/>
      <w:marLeft w:val="0"/>
      <w:marRight w:val="0"/>
      <w:marTop w:val="0"/>
      <w:marBottom w:val="0"/>
      <w:divBdr>
        <w:top w:val="none" w:sz="0" w:space="0" w:color="auto"/>
        <w:left w:val="none" w:sz="0" w:space="0" w:color="auto"/>
        <w:bottom w:val="none" w:sz="0" w:space="0" w:color="auto"/>
        <w:right w:val="none" w:sz="0" w:space="0" w:color="auto"/>
      </w:divBdr>
    </w:div>
    <w:div w:id="303394448">
      <w:bodyDiv w:val="1"/>
      <w:marLeft w:val="0"/>
      <w:marRight w:val="0"/>
      <w:marTop w:val="0"/>
      <w:marBottom w:val="0"/>
      <w:divBdr>
        <w:top w:val="none" w:sz="0" w:space="0" w:color="auto"/>
        <w:left w:val="none" w:sz="0" w:space="0" w:color="auto"/>
        <w:bottom w:val="none" w:sz="0" w:space="0" w:color="auto"/>
        <w:right w:val="none" w:sz="0" w:space="0" w:color="auto"/>
      </w:divBdr>
    </w:div>
    <w:div w:id="326637114">
      <w:bodyDiv w:val="1"/>
      <w:marLeft w:val="0"/>
      <w:marRight w:val="0"/>
      <w:marTop w:val="0"/>
      <w:marBottom w:val="0"/>
      <w:divBdr>
        <w:top w:val="none" w:sz="0" w:space="0" w:color="auto"/>
        <w:left w:val="none" w:sz="0" w:space="0" w:color="auto"/>
        <w:bottom w:val="none" w:sz="0" w:space="0" w:color="auto"/>
        <w:right w:val="none" w:sz="0" w:space="0" w:color="auto"/>
      </w:divBdr>
    </w:div>
    <w:div w:id="341400067">
      <w:bodyDiv w:val="1"/>
      <w:marLeft w:val="0"/>
      <w:marRight w:val="0"/>
      <w:marTop w:val="0"/>
      <w:marBottom w:val="0"/>
      <w:divBdr>
        <w:top w:val="none" w:sz="0" w:space="0" w:color="auto"/>
        <w:left w:val="none" w:sz="0" w:space="0" w:color="auto"/>
        <w:bottom w:val="none" w:sz="0" w:space="0" w:color="auto"/>
        <w:right w:val="none" w:sz="0" w:space="0" w:color="auto"/>
      </w:divBdr>
    </w:div>
    <w:div w:id="378749286">
      <w:bodyDiv w:val="1"/>
      <w:marLeft w:val="0"/>
      <w:marRight w:val="0"/>
      <w:marTop w:val="0"/>
      <w:marBottom w:val="0"/>
      <w:divBdr>
        <w:top w:val="none" w:sz="0" w:space="0" w:color="auto"/>
        <w:left w:val="none" w:sz="0" w:space="0" w:color="auto"/>
        <w:bottom w:val="none" w:sz="0" w:space="0" w:color="auto"/>
        <w:right w:val="none" w:sz="0" w:space="0" w:color="auto"/>
      </w:divBdr>
    </w:div>
    <w:div w:id="500705135">
      <w:bodyDiv w:val="1"/>
      <w:marLeft w:val="0"/>
      <w:marRight w:val="0"/>
      <w:marTop w:val="0"/>
      <w:marBottom w:val="0"/>
      <w:divBdr>
        <w:top w:val="none" w:sz="0" w:space="0" w:color="auto"/>
        <w:left w:val="none" w:sz="0" w:space="0" w:color="auto"/>
        <w:bottom w:val="none" w:sz="0" w:space="0" w:color="auto"/>
        <w:right w:val="none" w:sz="0" w:space="0" w:color="auto"/>
      </w:divBdr>
    </w:div>
    <w:div w:id="526259581">
      <w:bodyDiv w:val="1"/>
      <w:marLeft w:val="0"/>
      <w:marRight w:val="0"/>
      <w:marTop w:val="0"/>
      <w:marBottom w:val="0"/>
      <w:divBdr>
        <w:top w:val="none" w:sz="0" w:space="0" w:color="auto"/>
        <w:left w:val="none" w:sz="0" w:space="0" w:color="auto"/>
        <w:bottom w:val="none" w:sz="0" w:space="0" w:color="auto"/>
        <w:right w:val="none" w:sz="0" w:space="0" w:color="auto"/>
      </w:divBdr>
    </w:div>
    <w:div w:id="596644266">
      <w:bodyDiv w:val="1"/>
      <w:marLeft w:val="0"/>
      <w:marRight w:val="0"/>
      <w:marTop w:val="0"/>
      <w:marBottom w:val="0"/>
      <w:divBdr>
        <w:top w:val="none" w:sz="0" w:space="0" w:color="auto"/>
        <w:left w:val="none" w:sz="0" w:space="0" w:color="auto"/>
        <w:bottom w:val="none" w:sz="0" w:space="0" w:color="auto"/>
        <w:right w:val="none" w:sz="0" w:space="0" w:color="auto"/>
      </w:divBdr>
    </w:div>
    <w:div w:id="669217969">
      <w:bodyDiv w:val="1"/>
      <w:marLeft w:val="0"/>
      <w:marRight w:val="0"/>
      <w:marTop w:val="0"/>
      <w:marBottom w:val="0"/>
      <w:divBdr>
        <w:top w:val="none" w:sz="0" w:space="0" w:color="auto"/>
        <w:left w:val="none" w:sz="0" w:space="0" w:color="auto"/>
        <w:bottom w:val="none" w:sz="0" w:space="0" w:color="auto"/>
        <w:right w:val="none" w:sz="0" w:space="0" w:color="auto"/>
      </w:divBdr>
    </w:div>
    <w:div w:id="736510506">
      <w:bodyDiv w:val="1"/>
      <w:marLeft w:val="0"/>
      <w:marRight w:val="0"/>
      <w:marTop w:val="0"/>
      <w:marBottom w:val="0"/>
      <w:divBdr>
        <w:top w:val="none" w:sz="0" w:space="0" w:color="auto"/>
        <w:left w:val="none" w:sz="0" w:space="0" w:color="auto"/>
        <w:bottom w:val="none" w:sz="0" w:space="0" w:color="auto"/>
        <w:right w:val="none" w:sz="0" w:space="0" w:color="auto"/>
      </w:divBdr>
    </w:div>
    <w:div w:id="795567369">
      <w:bodyDiv w:val="1"/>
      <w:marLeft w:val="0"/>
      <w:marRight w:val="0"/>
      <w:marTop w:val="0"/>
      <w:marBottom w:val="0"/>
      <w:divBdr>
        <w:top w:val="none" w:sz="0" w:space="0" w:color="auto"/>
        <w:left w:val="none" w:sz="0" w:space="0" w:color="auto"/>
        <w:bottom w:val="none" w:sz="0" w:space="0" w:color="auto"/>
        <w:right w:val="none" w:sz="0" w:space="0" w:color="auto"/>
      </w:divBdr>
    </w:div>
    <w:div w:id="805321463">
      <w:bodyDiv w:val="1"/>
      <w:marLeft w:val="0"/>
      <w:marRight w:val="0"/>
      <w:marTop w:val="0"/>
      <w:marBottom w:val="0"/>
      <w:divBdr>
        <w:top w:val="none" w:sz="0" w:space="0" w:color="auto"/>
        <w:left w:val="none" w:sz="0" w:space="0" w:color="auto"/>
        <w:bottom w:val="none" w:sz="0" w:space="0" w:color="auto"/>
        <w:right w:val="none" w:sz="0" w:space="0" w:color="auto"/>
      </w:divBdr>
    </w:div>
    <w:div w:id="884105646">
      <w:bodyDiv w:val="1"/>
      <w:marLeft w:val="0"/>
      <w:marRight w:val="0"/>
      <w:marTop w:val="0"/>
      <w:marBottom w:val="0"/>
      <w:divBdr>
        <w:top w:val="none" w:sz="0" w:space="0" w:color="auto"/>
        <w:left w:val="none" w:sz="0" w:space="0" w:color="auto"/>
        <w:bottom w:val="none" w:sz="0" w:space="0" w:color="auto"/>
        <w:right w:val="none" w:sz="0" w:space="0" w:color="auto"/>
      </w:divBdr>
    </w:div>
    <w:div w:id="920407624">
      <w:bodyDiv w:val="1"/>
      <w:marLeft w:val="0"/>
      <w:marRight w:val="0"/>
      <w:marTop w:val="0"/>
      <w:marBottom w:val="0"/>
      <w:divBdr>
        <w:top w:val="none" w:sz="0" w:space="0" w:color="auto"/>
        <w:left w:val="none" w:sz="0" w:space="0" w:color="auto"/>
        <w:bottom w:val="none" w:sz="0" w:space="0" w:color="auto"/>
        <w:right w:val="none" w:sz="0" w:space="0" w:color="auto"/>
      </w:divBdr>
    </w:div>
    <w:div w:id="946816425">
      <w:bodyDiv w:val="1"/>
      <w:marLeft w:val="0"/>
      <w:marRight w:val="0"/>
      <w:marTop w:val="0"/>
      <w:marBottom w:val="0"/>
      <w:divBdr>
        <w:top w:val="none" w:sz="0" w:space="0" w:color="auto"/>
        <w:left w:val="none" w:sz="0" w:space="0" w:color="auto"/>
        <w:bottom w:val="none" w:sz="0" w:space="0" w:color="auto"/>
        <w:right w:val="none" w:sz="0" w:space="0" w:color="auto"/>
      </w:divBdr>
    </w:div>
    <w:div w:id="974674194">
      <w:bodyDiv w:val="1"/>
      <w:marLeft w:val="0"/>
      <w:marRight w:val="0"/>
      <w:marTop w:val="0"/>
      <w:marBottom w:val="0"/>
      <w:divBdr>
        <w:top w:val="none" w:sz="0" w:space="0" w:color="auto"/>
        <w:left w:val="none" w:sz="0" w:space="0" w:color="auto"/>
        <w:bottom w:val="none" w:sz="0" w:space="0" w:color="auto"/>
        <w:right w:val="none" w:sz="0" w:space="0" w:color="auto"/>
      </w:divBdr>
    </w:div>
    <w:div w:id="977228493">
      <w:bodyDiv w:val="1"/>
      <w:marLeft w:val="0"/>
      <w:marRight w:val="0"/>
      <w:marTop w:val="0"/>
      <w:marBottom w:val="0"/>
      <w:divBdr>
        <w:top w:val="none" w:sz="0" w:space="0" w:color="auto"/>
        <w:left w:val="none" w:sz="0" w:space="0" w:color="auto"/>
        <w:bottom w:val="none" w:sz="0" w:space="0" w:color="auto"/>
        <w:right w:val="none" w:sz="0" w:space="0" w:color="auto"/>
      </w:divBdr>
    </w:div>
    <w:div w:id="979116458">
      <w:bodyDiv w:val="1"/>
      <w:marLeft w:val="0"/>
      <w:marRight w:val="0"/>
      <w:marTop w:val="0"/>
      <w:marBottom w:val="0"/>
      <w:divBdr>
        <w:top w:val="none" w:sz="0" w:space="0" w:color="auto"/>
        <w:left w:val="none" w:sz="0" w:space="0" w:color="auto"/>
        <w:bottom w:val="none" w:sz="0" w:space="0" w:color="auto"/>
        <w:right w:val="none" w:sz="0" w:space="0" w:color="auto"/>
      </w:divBdr>
    </w:div>
    <w:div w:id="980496771">
      <w:bodyDiv w:val="1"/>
      <w:marLeft w:val="0"/>
      <w:marRight w:val="0"/>
      <w:marTop w:val="0"/>
      <w:marBottom w:val="0"/>
      <w:divBdr>
        <w:top w:val="none" w:sz="0" w:space="0" w:color="auto"/>
        <w:left w:val="none" w:sz="0" w:space="0" w:color="auto"/>
        <w:bottom w:val="none" w:sz="0" w:space="0" w:color="auto"/>
        <w:right w:val="none" w:sz="0" w:space="0" w:color="auto"/>
      </w:divBdr>
    </w:div>
    <w:div w:id="987511580">
      <w:bodyDiv w:val="1"/>
      <w:marLeft w:val="0"/>
      <w:marRight w:val="0"/>
      <w:marTop w:val="0"/>
      <w:marBottom w:val="0"/>
      <w:divBdr>
        <w:top w:val="none" w:sz="0" w:space="0" w:color="auto"/>
        <w:left w:val="none" w:sz="0" w:space="0" w:color="auto"/>
        <w:bottom w:val="none" w:sz="0" w:space="0" w:color="auto"/>
        <w:right w:val="none" w:sz="0" w:space="0" w:color="auto"/>
      </w:divBdr>
    </w:div>
    <w:div w:id="1083725491">
      <w:bodyDiv w:val="1"/>
      <w:marLeft w:val="0"/>
      <w:marRight w:val="0"/>
      <w:marTop w:val="0"/>
      <w:marBottom w:val="0"/>
      <w:divBdr>
        <w:top w:val="none" w:sz="0" w:space="0" w:color="auto"/>
        <w:left w:val="none" w:sz="0" w:space="0" w:color="auto"/>
        <w:bottom w:val="none" w:sz="0" w:space="0" w:color="auto"/>
        <w:right w:val="none" w:sz="0" w:space="0" w:color="auto"/>
      </w:divBdr>
    </w:div>
    <w:div w:id="1093740019">
      <w:bodyDiv w:val="1"/>
      <w:marLeft w:val="0"/>
      <w:marRight w:val="0"/>
      <w:marTop w:val="0"/>
      <w:marBottom w:val="0"/>
      <w:divBdr>
        <w:top w:val="none" w:sz="0" w:space="0" w:color="auto"/>
        <w:left w:val="none" w:sz="0" w:space="0" w:color="auto"/>
        <w:bottom w:val="none" w:sz="0" w:space="0" w:color="auto"/>
        <w:right w:val="none" w:sz="0" w:space="0" w:color="auto"/>
      </w:divBdr>
    </w:div>
    <w:div w:id="1104692790">
      <w:bodyDiv w:val="1"/>
      <w:marLeft w:val="0"/>
      <w:marRight w:val="0"/>
      <w:marTop w:val="0"/>
      <w:marBottom w:val="0"/>
      <w:divBdr>
        <w:top w:val="none" w:sz="0" w:space="0" w:color="auto"/>
        <w:left w:val="none" w:sz="0" w:space="0" w:color="auto"/>
        <w:bottom w:val="none" w:sz="0" w:space="0" w:color="auto"/>
        <w:right w:val="none" w:sz="0" w:space="0" w:color="auto"/>
      </w:divBdr>
    </w:div>
    <w:div w:id="1108696211">
      <w:bodyDiv w:val="1"/>
      <w:marLeft w:val="0"/>
      <w:marRight w:val="0"/>
      <w:marTop w:val="0"/>
      <w:marBottom w:val="0"/>
      <w:divBdr>
        <w:top w:val="none" w:sz="0" w:space="0" w:color="auto"/>
        <w:left w:val="none" w:sz="0" w:space="0" w:color="auto"/>
        <w:bottom w:val="none" w:sz="0" w:space="0" w:color="auto"/>
        <w:right w:val="none" w:sz="0" w:space="0" w:color="auto"/>
      </w:divBdr>
    </w:div>
    <w:div w:id="1126700656">
      <w:bodyDiv w:val="1"/>
      <w:marLeft w:val="0"/>
      <w:marRight w:val="0"/>
      <w:marTop w:val="0"/>
      <w:marBottom w:val="0"/>
      <w:divBdr>
        <w:top w:val="none" w:sz="0" w:space="0" w:color="auto"/>
        <w:left w:val="none" w:sz="0" w:space="0" w:color="auto"/>
        <w:bottom w:val="none" w:sz="0" w:space="0" w:color="auto"/>
        <w:right w:val="none" w:sz="0" w:space="0" w:color="auto"/>
      </w:divBdr>
    </w:div>
    <w:div w:id="1133864923">
      <w:bodyDiv w:val="1"/>
      <w:marLeft w:val="0"/>
      <w:marRight w:val="0"/>
      <w:marTop w:val="0"/>
      <w:marBottom w:val="0"/>
      <w:divBdr>
        <w:top w:val="none" w:sz="0" w:space="0" w:color="auto"/>
        <w:left w:val="none" w:sz="0" w:space="0" w:color="auto"/>
        <w:bottom w:val="none" w:sz="0" w:space="0" w:color="auto"/>
        <w:right w:val="none" w:sz="0" w:space="0" w:color="auto"/>
      </w:divBdr>
    </w:div>
    <w:div w:id="1146825619">
      <w:bodyDiv w:val="1"/>
      <w:marLeft w:val="0"/>
      <w:marRight w:val="0"/>
      <w:marTop w:val="0"/>
      <w:marBottom w:val="0"/>
      <w:divBdr>
        <w:top w:val="none" w:sz="0" w:space="0" w:color="auto"/>
        <w:left w:val="none" w:sz="0" w:space="0" w:color="auto"/>
        <w:bottom w:val="none" w:sz="0" w:space="0" w:color="auto"/>
        <w:right w:val="none" w:sz="0" w:space="0" w:color="auto"/>
      </w:divBdr>
    </w:div>
    <w:div w:id="1167092890">
      <w:bodyDiv w:val="1"/>
      <w:marLeft w:val="0"/>
      <w:marRight w:val="0"/>
      <w:marTop w:val="0"/>
      <w:marBottom w:val="0"/>
      <w:divBdr>
        <w:top w:val="none" w:sz="0" w:space="0" w:color="auto"/>
        <w:left w:val="none" w:sz="0" w:space="0" w:color="auto"/>
        <w:bottom w:val="none" w:sz="0" w:space="0" w:color="auto"/>
        <w:right w:val="none" w:sz="0" w:space="0" w:color="auto"/>
      </w:divBdr>
    </w:div>
    <w:div w:id="1224413998">
      <w:bodyDiv w:val="1"/>
      <w:marLeft w:val="0"/>
      <w:marRight w:val="0"/>
      <w:marTop w:val="0"/>
      <w:marBottom w:val="0"/>
      <w:divBdr>
        <w:top w:val="none" w:sz="0" w:space="0" w:color="auto"/>
        <w:left w:val="none" w:sz="0" w:space="0" w:color="auto"/>
        <w:bottom w:val="none" w:sz="0" w:space="0" w:color="auto"/>
        <w:right w:val="none" w:sz="0" w:space="0" w:color="auto"/>
      </w:divBdr>
    </w:div>
    <w:div w:id="1286499858">
      <w:bodyDiv w:val="1"/>
      <w:marLeft w:val="0"/>
      <w:marRight w:val="0"/>
      <w:marTop w:val="0"/>
      <w:marBottom w:val="0"/>
      <w:divBdr>
        <w:top w:val="none" w:sz="0" w:space="0" w:color="auto"/>
        <w:left w:val="none" w:sz="0" w:space="0" w:color="auto"/>
        <w:bottom w:val="none" w:sz="0" w:space="0" w:color="auto"/>
        <w:right w:val="none" w:sz="0" w:space="0" w:color="auto"/>
      </w:divBdr>
    </w:div>
    <w:div w:id="1338852071">
      <w:bodyDiv w:val="1"/>
      <w:marLeft w:val="0"/>
      <w:marRight w:val="0"/>
      <w:marTop w:val="0"/>
      <w:marBottom w:val="0"/>
      <w:divBdr>
        <w:top w:val="none" w:sz="0" w:space="0" w:color="auto"/>
        <w:left w:val="none" w:sz="0" w:space="0" w:color="auto"/>
        <w:bottom w:val="none" w:sz="0" w:space="0" w:color="auto"/>
        <w:right w:val="none" w:sz="0" w:space="0" w:color="auto"/>
      </w:divBdr>
    </w:div>
    <w:div w:id="1355227714">
      <w:bodyDiv w:val="1"/>
      <w:marLeft w:val="0"/>
      <w:marRight w:val="0"/>
      <w:marTop w:val="0"/>
      <w:marBottom w:val="0"/>
      <w:divBdr>
        <w:top w:val="none" w:sz="0" w:space="0" w:color="auto"/>
        <w:left w:val="none" w:sz="0" w:space="0" w:color="auto"/>
        <w:bottom w:val="none" w:sz="0" w:space="0" w:color="auto"/>
        <w:right w:val="none" w:sz="0" w:space="0" w:color="auto"/>
      </w:divBdr>
    </w:div>
    <w:div w:id="1421563673">
      <w:bodyDiv w:val="1"/>
      <w:marLeft w:val="0"/>
      <w:marRight w:val="0"/>
      <w:marTop w:val="0"/>
      <w:marBottom w:val="0"/>
      <w:divBdr>
        <w:top w:val="none" w:sz="0" w:space="0" w:color="auto"/>
        <w:left w:val="none" w:sz="0" w:space="0" w:color="auto"/>
        <w:bottom w:val="none" w:sz="0" w:space="0" w:color="auto"/>
        <w:right w:val="none" w:sz="0" w:space="0" w:color="auto"/>
      </w:divBdr>
    </w:div>
    <w:div w:id="1487667264">
      <w:bodyDiv w:val="1"/>
      <w:marLeft w:val="0"/>
      <w:marRight w:val="0"/>
      <w:marTop w:val="0"/>
      <w:marBottom w:val="0"/>
      <w:divBdr>
        <w:top w:val="none" w:sz="0" w:space="0" w:color="auto"/>
        <w:left w:val="none" w:sz="0" w:space="0" w:color="auto"/>
        <w:bottom w:val="none" w:sz="0" w:space="0" w:color="auto"/>
        <w:right w:val="none" w:sz="0" w:space="0" w:color="auto"/>
      </w:divBdr>
    </w:div>
    <w:div w:id="1545943853">
      <w:bodyDiv w:val="1"/>
      <w:marLeft w:val="0"/>
      <w:marRight w:val="0"/>
      <w:marTop w:val="0"/>
      <w:marBottom w:val="0"/>
      <w:divBdr>
        <w:top w:val="none" w:sz="0" w:space="0" w:color="auto"/>
        <w:left w:val="none" w:sz="0" w:space="0" w:color="auto"/>
        <w:bottom w:val="none" w:sz="0" w:space="0" w:color="auto"/>
        <w:right w:val="none" w:sz="0" w:space="0" w:color="auto"/>
      </w:divBdr>
    </w:div>
    <w:div w:id="1557738001">
      <w:bodyDiv w:val="1"/>
      <w:marLeft w:val="0"/>
      <w:marRight w:val="0"/>
      <w:marTop w:val="0"/>
      <w:marBottom w:val="0"/>
      <w:divBdr>
        <w:top w:val="none" w:sz="0" w:space="0" w:color="auto"/>
        <w:left w:val="none" w:sz="0" w:space="0" w:color="auto"/>
        <w:bottom w:val="none" w:sz="0" w:space="0" w:color="auto"/>
        <w:right w:val="none" w:sz="0" w:space="0" w:color="auto"/>
      </w:divBdr>
    </w:div>
    <w:div w:id="1593784343">
      <w:bodyDiv w:val="1"/>
      <w:marLeft w:val="0"/>
      <w:marRight w:val="0"/>
      <w:marTop w:val="0"/>
      <w:marBottom w:val="0"/>
      <w:divBdr>
        <w:top w:val="none" w:sz="0" w:space="0" w:color="auto"/>
        <w:left w:val="none" w:sz="0" w:space="0" w:color="auto"/>
        <w:bottom w:val="none" w:sz="0" w:space="0" w:color="auto"/>
        <w:right w:val="none" w:sz="0" w:space="0" w:color="auto"/>
      </w:divBdr>
    </w:div>
    <w:div w:id="1608075989">
      <w:bodyDiv w:val="1"/>
      <w:marLeft w:val="0"/>
      <w:marRight w:val="0"/>
      <w:marTop w:val="0"/>
      <w:marBottom w:val="0"/>
      <w:divBdr>
        <w:top w:val="none" w:sz="0" w:space="0" w:color="auto"/>
        <w:left w:val="none" w:sz="0" w:space="0" w:color="auto"/>
        <w:bottom w:val="none" w:sz="0" w:space="0" w:color="auto"/>
        <w:right w:val="none" w:sz="0" w:space="0" w:color="auto"/>
      </w:divBdr>
    </w:div>
    <w:div w:id="1633947797">
      <w:bodyDiv w:val="1"/>
      <w:marLeft w:val="0"/>
      <w:marRight w:val="0"/>
      <w:marTop w:val="0"/>
      <w:marBottom w:val="0"/>
      <w:divBdr>
        <w:top w:val="none" w:sz="0" w:space="0" w:color="auto"/>
        <w:left w:val="none" w:sz="0" w:space="0" w:color="auto"/>
        <w:bottom w:val="none" w:sz="0" w:space="0" w:color="auto"/>
        <w:right w:val="none" w:sz="0" w:space="0" w:color="auto"/>
      </w:divBdr>
    </w:div>
    <w:div w:id="1670062479">
      <w:bodyDiv w:val="1"/>
      <w:marLeft w:val="0"/>
      <w:marRight w:val="0"/>
      <w:marTop w:val="0"/>
      <w:marBottom w:val="0"/>
      <w:divBdr>
        <w:top w:val="none" w:sz="0" w:space="0" w:color="auto"/>
        <w:left w:val="none" w:sz="0" w:space="0" w:color="auto"/>
        <w:bottom w:val="none" w:sz="0" w:space="0" w:color="auto"/>
        <w:right w:val="none" w:sz="0" w:space="0" w:color="auto"/>
      </w:divBdr>
    </w:div>
    <w:div w:id="1717125773">
      <w:bodyDiv w:val="1"/>
      <w:marLeft w:val="0"/>
      <w:marRight w:val="0"/>
      <w:marTop w:val="0"/>
      <w:marBottom w:val="0"/>
      <w:divBdr>
        <w:top w:val="none" w:sz="0" w:space="0" w:color="auto"/>
        <w:left w:val="none" w:sz="0" w:space="0" w:color="auto"/>
        <w:bottom w:val="none" w:sz="0" w:space="0" w:color="auto"/>
        <w:right w:val="none" w:sz="0" w:space="0" w:color="auto"/>
      </w:divBdr>
    </w:div>
    <w:div w:id="1753241199">
      <w:bodyDiv w:val="1"/>
      <w:marLeft w:val="0"/>
      <w:marRight w:val="0"/>
      <w:marTop w:val="0"/>
      <w:marBottom w:val="0"/>
      <w:divBdr>
        <w:top w:val="none" w:sz="0" w:space="0" w:color="auto"/>
        <w:left w:val="none" w:sz="0" w:space="0" w:color="auto"/>
        <w:bottom w:val="none" w:sz="0" w:space="0" w:color="auto"/>
        <w:right w:val="none" w:sz="0" w:space="0" w:color="auto"/>
      </w:divBdr>
    </w:div>
    <w:div w:id="1807550512">
      <w:bodyDiv w:val="1"/>
      <w:marLeft w:val="0"/>
      <w:marRight w:val="0"/>
      <w:marTop w:val="0"/>
      <w:marBottom w:val="0"/>
      <w:divBdr>
        <w:top w:val="none" w:sz="0" w:space="0" w:color="auto"/>
        <w:left w:val="none" w:sz="0" w:space="0" w:color="auto"/>
        <w:bottom w:val="none" w:sz="0" w:space="0" w:color="auto"/>
        <w:right w:val="none" w:sz="0" w:space="0" w:color="auto"/>
      </w:divBdr>
    </w:div>
    <w:div w:id="1949124237">
      <w:bodyDiv w:val="1"/>
      <w:marLeft w:val="0"/>
      <w:marRight w:val="0"/>
      <w:marTop w:val="0"/>
      <w:marBottom w:val="0"/>
      <w:divBdr>
        <w:top w:val="none" w:sz="0" w:space="0" w:color="auto"/>
        <w:left w:val="none" w:sz="0" w:space="0" w:color="auto"/>
        <w:bottom w:val="none" w:sz="0" w:space="0" w:color="auto"/>
        <w:right w:val="none" w:sz="0" w:space="0" w:color="auto"/>
      </w:divBdr>
    </w:div>
    <w:div w:id="2028290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college.police.uk/docs/hordsolr/rdsolr4405.pdf" TargetMode="External"/><Relationship Id="rId3" Type="http://schemas.openxmlformats.org/officeDocument/2006/relationships/settings" Target="settings.xml"/><Relationship Id="rId7" Type="http://schemas.openxmlformats.org/officeDocument/2006/relationships/hyperlink" Target="https://www.ethnicity-facts-figures.service.gov.uk/workforce-and-business/workforce-diversity/police-workforce/lates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hnicity-facts-figures.service.gov.uk/uk-population-by-ethnicity/national-and-regional-populations/population-of-england-and-wales/latest/" TargetMode="External"/><Relationship Id="rId11" Type="http://schemas.openxmlformats.org/officeDocument/2006/relationships/theme" Target="theme/theme1.xml"/><Relationship Id="rId5" Type="http://schemas.openxmlformats.org/officeDocument/2006/relationships/hyperlink" Target="https://www.college.police.uk/article/recruiting-diversity"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ind.org.uk/information-support/tips-for-everyday-living/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8624</TotalTime>
  <Pages>11</Pages>
  <Words>5502</Words>
  <Characters>31367</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Leeke,Ryan swp8543</dc:creator>
  <cp:keywords/>
  <dc:description/>
  <cp:lastModifiedBy>Leeke,Ryan swp8543</cp:lastModifiedBy>
  <cp:revision>54</cp:revision>
  <dcterms:created xsi:type="dcterms:W3CDTF">2024-08-09T13:29:00Z</dcterms:created>
  <dcterms:modified xsi:type="dcterms:W3CDTF">2024-09-08T16:34:00Z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2024-08-09T15:26:41Z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6a77dfa7-5fc3-4ab6-9e51-6add4059f84c</vt:lpwstr>
  </property>
  <property fmtid="{D5CDD505-2E9C-101B-9397-08002B2CF9AE}" pid="8" name="MSIP_Label_66cf8fe5-b7b7-4df7-b38d-1c61ac2f6639_ContentBits">
    <vt:lpwstr>0</vt:lpwstr>
  </property>
</Properties>
</file>