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0A6A90B2" w14:textId="7F30C52C" w:rsidR="00C83532" w:rsidRPr="00C83532" w:rsidRDefault="00C83532" w:rsidP="00C83532">
      <w:pPr>
        <w:rPr>
          <w:b/>
          <w:bCs/>
          <w:color w:val="auto"/>
          <w:sz w:val="24"/>
          <w:szCs w:val="24"/>
        </w:rPr>
      </w:pPr>
    </w:p>
    <w:p w14:paraId="353DA68D" w14:textId="479C5972" w:rsidR="00C83532" w:rsidRPr="00D806FF" w:rsidRDefault="00C83532" w:rsidP="00D806FF">
      <w:pPr>
        <w:jc w:val="both"/>
        <w:rPr>
          <w:color w:val="auto"/>
          <w:sz w:val="24"/>
          <w:szCs w:val="24"/>
        </w:rPr>
      </w:pPr>
      <w:r w:rsidRPr="00C83532">
        <w:rPr>
          <w:color w:val="auto"/>
          <w:sz w:val="24"/>
          <w:szCs w:val="24"/>
        </w:rPr>
        <w:t xml:space="preserve">This case study provides a critical reflection on my professional practice within a child protection context in North Wales. The case concerns a young </w:t>
      </w:r>
      <w:r w:rsidRPr="00D806FF">
        <w:rPr>
          <w:color w:val="auto"/>
          <w:sz w:val="24"/>
          <w:szCs w:val="24"/>
        </w:rPr>
        <w:t>child (child A)</w:t>
      </w:r>
      <w:r w:rsidRPr="00C83532">
        <w:rPr>
          <w:color w:val="auto"/>
          <w:sz w:val="24"/>
          <w:szCs w:val="24"/>
        </w:rPr>
        <w:t xml:space="preserve"> (aged 21 months), and her parents, both originally from </w:t>
      </w:r>
      <w:r w:rsidRPr="00D806FF">
        <w:rPr>
          <w:color w:val="auto"/>
          <w:sz w:val="24"/>
          <w:szCs w:val="24"/>
        </w:rPr>
        <w:t>Eastern Europe</w:t>
      </w:r>
      <w:r w:rsidRPr="00C83532">
        <w:rPr>
          <w:color w:val="auto"/>
          <w:sz w:val="24"/>
          <w:szCs w:val="24"/>
        </w:rPr>
        <w:t>. The family’s circumstances highlight multiple and overlapping safeguarding concerns, including domestic abuse, alcohol misuse, housing instability, financial hardship, and limited engagement with support services. These concerns have required sustained involvement from children’s social services and partner agencies and have culminated in care proceedings.</w:t>
      </w:r>
    </w:p>
    <w:p w14:paraId="7354D563" w14:textId="77777777" w:rsidR="00C83532" w:rsidRPr="00C83532" w:rsidRDefault="00C83532" w:rsidP="00D806FF">
      <w:pPr>
        <w:jc w:val="both"/>
        <w:rPr>
          <w:color w:val="auto"/>
          <w:sz w:val="24"/>
          <w:szCs w:val="24"/>
        </w:rPr>
      </w:pPr>
    </w:p>
    <w:p w14:paraId="2409E7E6" w14:textId="5B173947" w:rsidR="00C83532" w:rsidRPr="00C83532" w:rsidRDefault="00C83532" w:rsidP="00D806FF">
      <w:pPr>
        <w:jc w:val="both"/>
        <w:rPr>
          <w:color w:val="auto"/>
          <w:sz w:val="24"/>
          <w:szCs w:val="24"/>
        </w:rPr>
      </w:pPr>
      <w:r w:rsidRPr="00D806FF">
        <w:rPr>
          <w:color w:val="auto"/>
          <w:sz w:val="24"/>
          <w:szCs w:val="24"/>
        </w:rPr>
        <w:t xml:space="preserve">I will </w:t>
      </w:r>
      <w:r w:rsidRPr="00C83532">
        <w:rPr>
          <w:color w:val="auto"/>
          <w:sz w:val="24"/>
          <w:szCs w:val="24"/>
        </w:rPr>
        <w:t xml:space="preserve">critically examine the ways in which assessment, analysis, and professional judgment were applied in an increasingly complex safeguarding situation. It considers the role of collaborative </w:t>
      </w:r>
      <w:r w:rsidRPr="00C83532">
        <w:rPr>
          <w:color w:val="auto"/>
          <w:sz w:val="24"/>
          <w:szCs w:val="24"/>
        </w:rPr>
        <w:lastRenderedPageBreak/>
        <w:t>practice between agencies and professionals, as well as the challenges of working with families where there are cultural and linguistic factors at play.</w:t>
      </w:r>
      <w:r w:rsidRPr="00D806FF">
        <w:rPr>
          <w:color w:val="auto"/>
          <w:sz w:val="24"/>
          <w:szCs w:val="24"/>
        </w:rPr>
        <w:t xml:space="preserve"> </w:t>
      </w:r>
      <w:r w:rsidRPr="00C83532">
        <w:rPr>
          <w:color w:val="auto"/>
          <w:sz w:val="24"/>
          <w:szCs w:val="24"/>
        </w:rPr>
        <w:t xml:space="preserve">I aim to demonstrate my developing ability to integrate theory, legislation, research, and reflective practice in order to make informed safeguarding decisions. The discussion also highlights the challenges of balancing professional optimism and </w:t>
      </w:r>
      <w:r w:rsidRPr="00D806FF">
        <w:rPr>
          <w:color w:val="auto"/>
          <w:sz w:val="24"/>
          <w:szCs w:val="24"/>
        </w:rPr>
        <w:t>parents</w:t>
      </w:r>
      <w:r w:rsidRPr="00C83532">
        <w:rPr>
          <w:color w:val="auto"/>
          <w:sz w:val="24"/>
          <w:szCs w:val="24"/>
        </w:rPr>
        <w:t xml:space="preserve"> stated intentions with the evidence of ongoing risk and the child’s need for safety and stability.</w:t>
      </w:r>
    </w:p>
    <w:p w14:paraId="192B374E" w14:textId="2B122791" w:rsidR="00C83532" w:rsidRPr="00D806FF" w:rsidRDefault="00C83532" w:rsidP="00D806FF">
      <w:pPr>
        <w:jc w:val="both"/>
        <w:rPr>
          <w:color w:val="auto"/>
          <w:sz w:val="24"/>
          <w:szCs w:val="24"/>
        </w:rPr>
      </w:pPr>
    </w:p>
    <w:p w14:paraId="260372A9" w14:textId="77777777" w:rsidR="00C83532" w:rsidRPr="00C83532" w:rsidRDefault="00C83532" w:rsidP="00D806FF">
      <w:pPr>
        <w:jc w:val="both"/>
        <w:rPr>
          <w:color w:val="auto"/>
          <w:sz w:val="24"/>
          <w:szCs w:val="24"/>
        </w:rPr>
      </w:pPr>
    </w:p>
    <w:p w14:paraId="29F57B23" w14:textId="05CBB456" w:rsidR="00C83532" w:rsidRPr="00C83532" w:rsidRDefault="00C83532" w:rsidP="00D806FF">
      <w:pPr>
        <w:jc w:val="both"/>
        <w:rPr>
          <w:color w:val="auto"/>
          <w:sz w:val="24"/>
          <w:szCs w:val="24"/>
        </w:rPr>
      </w:pPr>
      <w:r w:rsidRPr="00C83532">
        <w:rPr>
          <w:color w:val="auto"/>
          <w:sz w:val="24"/>
          <w:szCs w:val="24"/>
        </w:rPr>
        <w:t xml:space="preserve">The Welsh safeguarding context is central to this discussion. Practice was guided by the Social Services and Wellbeing (Wales) Act </w:t>
      </w:r>
      <w:r w:rsidRPr="00D806FF">
        <w:rPr>
          <w:color w:val="auto"/>
          <w:sz w:val="24"/>
          <w:szCs w:val="24"/>
        </w:rPr>
        <w:t>(</w:t>
      </w:r>
      <w:r w:rsidRPr="00C83532">
        <w:rPr>
          <w:color w:val="auto"/>
          <w:sz w:val="24"/>
          <w:szCs w:val="24"/>
        </w:rPr>
        <w:t>2014</w:t>
      </w:r>
      <w:r w:rsidRPr="00D806FF">
        <w:rPr>
          <w:color w:val="auto"/>
          <w:sz w:val="24"/>
          <w:szCs w:val="24"/>
        </w:rPr>
        <w:t>)</w:t>
      </w:r>
      <w:r w:rsidRPr="00C83532">
        <w:rPr>
          <w:color w:val="auto"/>
          <w:sz w:val="24"/>
          <w:szCs w:val="24"/>
        </w:rPr>
        <w:t xml:space="preserve">, which establishes the overarching duty to safeguard and promote the well-being of children, and by the Wales Safeguarding Procedures (2019), which set out the </w:t>
      </w:r>
      <w:r w:rsidRPr="00D806FF">
        <w:rPr>
          <w:color w:val="auto"/>
          <w:sz w:val="24"/>
          <w:szCs w:val="24"/>
        </w:rPr>
        <w:t>all-Wales</w:t>
      </w:r>
      <w:r w:rsidRPr="00C83532">
        <w:rPr>
          <w:color w:val="auto"/>
          <w:sz w:val="24"/>
          <w:szCs w:val="24"/>
        </w:rPr>
        <w:t xml:space="preserve"> approach to responding to concerns. The case also illustrates the interaction between devolved Welsh legislation and UK</w:t>
      </w:r>
      <w:r w:rsidRPr="00D806FF">
        <w:rPr>
          <w:color w:val="auto"/>
          <w:sz w:val="24"/>
          <w:szCs w:val="24"/>
        </w:rPr>
        <w:t xml:space="preserve"> </w:t>
      </w:r>
      <w:r w:rsidRPr="00C83532">
        <w:rPr>
          <w:color w:val="auto"/>
          <w:sz w:val="24"/>
          <w:szCs w:val="24"/>
        </w:rPr>
        <w:t xml:space="preserve">wide frameworks, most notably the Children Act 1989 in respect of care proceedings. International obligations, including the United Nations Convention on the Rights of the Child (UNCRC), which has particular prominence in Wales, also shaped the approach to ensuring that </w:t>
      </w:r>
      <w:r w:rsidRPr="00D806FF">
        <w:rPr>
          <w:color w:val="auto"/>
          <w:sz w:val="24"/>
          <w:szCs w:val="24"/>
        </w:rPr>
        <w:t>Child A</w:t>
      </w:r>
      <w:r w:rsidRPr="00C83532">
        <w:rPr>
          <w:color w:val="auto"/>
          <w:sz w:val="24"/>
          <w:szCs w:val="24"/>
        </w:rPr>
        <w:t>’s rights were prioritised.</w:t>
      </w:r>
    </w:p>
    <w:p w14:paraId="0FA3E8DC" w14:textId="716DB622" w:rsidR="00C83532" w:rsidRPr="00C83532" w:rsidRDefault="00C83532" w:rsidP="00D806FF">
      <w:pPr>
        <w:jc w:val="both"/>
        <w:rPr>
          <w:color w:val="auto"/>
          <w:sz w:val="24"/>
          <w:szCs w:val="24"/>
        </w:rPr>
      </w:pPr>
    </w:p>
    <w:p w14:paraId="0F844634" w14:textId="7FBD8120" w:rsidR="00C83532" w:rsidRPr="00C83532" w:rsidRDefault="00C83532" w:rsidP="00D806FF">
      <w:pPr>
        <w:jc w:val="both"/>
        <w:rPr>
          <w:color w:val="auto"/>
          <w:sz w:val="24"/>
          <w:szCs w:val="24"/>
        </w:rPr>
      </w:pPr>
      <w:r w:rsidRPr="00C83532">
        <w:rPr>
          <w:color w:val="auto"/>
          <w:sz w:val="24"/>
          <w:szCs w:val="24"/>
        </w:rPr>
        <w:t>Mo</w:t>
      </w:r>
      <w:r w:rsidRPr="00D806FF">
        <w:rPr>
          <w:color w:val="auto"/>
          <w:sz w:val="24"/>
          <w:szCs w:val="24"/>
        </w:rPr>
        <w:t>ther</w:t>
      </w:r>
      <w:r w:rsidRPr="00C83532">
        <w:rPr>
          <w:color w:val="auto"/>
          <w:sz w:val="24"/>
          <w:szCs w:val="24"/>
        </w:rPr>
        <w:t xml:space="preserve"> and </w:t>
      </w:r>
      <w:r w:rsidRPr="00D806FF">
        <w:rPr>
          <w:color w:val="auto"/>
          <w:sz w:val="24"/>
          <w:szCs w:val="24"/>
        </w:rPr>
        <w:t>father</w:t>
      </w:r>
      <w:r w:rsidRPr="00C83532">
        <w:rPr>
          <w:color w:val="auto"/>
          <w:sz w:val="24"/>
          <w:szCs w:val="24"/>
        </w:rPr>
        <w:t xml:space="preserve"> are both of Eastern European origin. They met in North Wales and quickly began cohabiting, partly due to </w:t>
      </w:r>
      <w:r w:rsidRPr="00D806FF">
        <w:rPr>
          <w:color w:val="auto"/>
          <w:sz w:val="24"/>
          <w:szCs w:val="24"/>
        </w:rPr>
        <w:t>mother</w:t>
      </w:r>
      <w:r w:rsidRPr="00C83532">
        <w:rPr>
          <w:color w:val="auto"/>
          <w:sz w:val="24"/>
          <w:szCs w:val="24"/>
        </w:rPr>
        <w:t>’s housing difficulties at the time. Their relationship is the first serious partnership for both. From the outset, the relationship has been characterised by volatility, high conflict, and episodes of domestic abuse, often exacerbated by alcohol use.</w:t>
      </w:r>
      <w:r w:rsidRPr="00D806FF">
        <w:rPr>
          <w:color w:val="auto"/>
          <w:sz w:val="24"/>
          <w:szCs w:val="24"/>
        </w:rPr>
        <w:t xml:space="preserve"> Child A</w:t>
      </w:r>
      <w:r w:rsidRPr="00C83532">
        <w:rPr>
          <w:color w:val="auto"/>
          <w:sz w:val="24"/>
          <w:szCs w:val="24"/>
        </w:rPr>
        <w:t xml:space="preserve"> was born in 2023 and is now 2</w:t>
      </w:r>
      <w:r w:rsidRPr="00D806FF">
        <w:rPr>
          <w:color w:val="auto"/>
          <w:sz w:val="24"/>
          <w:szCs w:val="24"/>
        </w:rPr>
        <w:t xml:space="preserve"> years old</w:t>
      </w:r>
      <w:r w:rsidRPr="00C83532">
        <w:rPr>
          <w:color w:val="auto"/>
          <w:sz w:val="24"/>
          <w:szCs w:val="24"/>
        </w:rPr>
        <w:t>. She is the couple’s only child. From early infancy, she has been exposed to instability in her home environment, including multiple incidents of domestic abuse, periods of homelessness, and temporary living arrangements in hotels and guesthouses. Reports from neighbours, landlords, and professionals have highlighted frequent arguments, excessive drinking, and ongoing police involvement.</w:t>
      </w:r>
    </w:p>
    <w:p w14:paraId="608604F1" w14:textId="7CEEB529" w:rsidR="00C83532" w:rsidRPr="00D806FF" w:rsidRDefault="00C83532" w:rsidP="00D806FF">
      <w:pPr>
        <w:jc w:val="both"/>
        <w:rPr>
          <w:color w:val="auto"/>
          <w:sz w:val="24"/>
          <w:szCs w:val="24"/>
        </w:rPr>
      </w:pPr>
      <w:r w:rsidRPr="00C83532">
        <w:rPr>
          <w:color w:val="auto"/>
          <w:sz w:val="24"/>
          <w:szCs w:val="24"/>
        </w:rPr>
        <w:br/>
        <w:t xml:space="preserve">Domestic abuse has been the most persistent safeguarding concern. There have been multiple police callouts to the family home. In September 2024, </w:t>
      </w:r>
      <w:r w:rsidRPr="00D806FF">
        <w:rPr>
          <w:color w:val="auto"/>
          <w:sz w:val="24"/>
          <w:szCs w:val="24"/>
        </w:rPr>
        <w:t>mother</w:t>
      </w:r>
      <w:r w:rsidRPr="00C83532">
        <w:rPr>
          <w:color w:val="auto"/>
          <w:sz w:val="24"/>
          <w:szCs w:val="24"/>
        </w:rPr>
        <w:t xml:space="preserve"> was assaulted by </w:t>
      </w:r>
      <w:r w:rsidRPr="00D806FF">
        <w:rPr>
          <w:color w:val="auto"/>
          <w:sz w:val="24"/>
          <w:szCs w:val="24"/>
        </w:rPr>
        <w:t>father</w:t>
      </w:r>
      <w:r w:rsidRPr="00C83532">
        <w:rPr>
          <w:color w:val="auto"/>
          <w:sz w:val="24"/>
          <w:szCs w:val="24"/>
        </w:rPr>
        <w:t xml:space="preserve">, sustaining facial injuries while </w:t>
      </w:r>
      <w:r w:rsidRPr="00D806FF">
        <w:rPr>
          <w:color w:val="auto"/>
          <w:sz w:val="24"/>
          <w:szCs w:val="24"/>
        </w:rPr>
        <w:t>Child A</w:t>
      </w:r>
      <w:r w:rsidRPr="00C83532">
        <w:rPr>
          <w:color w:val="auto"/>
          <w:sz w:val="24"/>
          <w:szCs w:val="24"/>
        </w:rPr>
        <w:t xml:space="preserve"> slept in her cot. In December 2024, another incident occurred in which </w:t>
      </w:r>
      <w:r w:rsidRPr="00D806FF">
        <w:rPr>
          <w:color w:val="auto"/>
          <w:sz w:val="24"/>
          <w:szCs w:val="24"/>
        </w:rPr>
        <w:t>Mother</w:t>
      </w:r>
      <w:r w:rsidRPr="00C83532">
        <w:rPr>
          <w:color w:val="auto"/>
          <w:sz w:val="24"/>
          <w:szCs w:val="24"/>
        </w:rPr>
        <w:t xml:space="preserve"> was visibly bruised; neighbours reported hearing her calling for help, and alcohol was again a factor. In April 2025, </w:t>
      </w:r>
      <w:r w:rsidR="007B70C2" w:rsidRPr="00D806FF">
        <w:rPr>
          <w:color w:val="auto"/>
          <w:sz w:val="24"/>
          <w:szCs w:val="24"/>
        </w:rPr>
        <w:t>Father</w:t>
      </w:r>
      <w:r w:rsidRPr="00C83532">
        <w:rPr>
          <w:color w:val="auto"/>
          <w:sz w:val="24"/>
          <w:szCs w:val="24"/>
        </w:rPr>
        <w:t xml:space="preserve"> was arrested after Mo</w:t>
      </w:r>
      <w:r w:rsidR="007B70C2" w:rsidRPr="00D806FF">
        <w:rPr>
          <w:color w:val="auto"/>
          <w:sz w:val="24"/>
          <w:szCs w:val="24"/>
        </w:rPr>
        <w:t>ther</w:t>
      </w:r>
      <w:r w:rsidRPr="00C83532">
        <w:rPr>
          <w:color w:val="auto"/>
          <w:sz w:val="24"/>
          <w:szCs w:val="24"/>
        </w:rPr>
        <w:t xml:space="preserve"> phoned the police from a locked bathroom, leaving </w:t>
      </w:r>
      <w:r w:rsidR="007B70C2" w:rsidRPr="00D806FF">
        <w:rPr>
          <w:color w:val="auto"/>
          <w:sz w:val="24"/>
          <w:szCs w:val="24"/>
        </w:rPr>
        <w:t>Child A</w:t>
      </w:r>
      <w:r w:rsidRPr="00C83532">
        <w:rPr>
          <w:color w:val="auto"/>
          <w:sz w:val="24"/>
          <w:szCs w:val="24"/>
        </w:rPr>
        <w:t xml:space="preserve"> alone in his care while both parents were intoxicated. Despite bail conditions and a Domestic Violence Protection Order, </w:t>
      </w:r>
      <w:r w:rsidR="007B70C2" w:rsidRPr="00D806FF">
        <w:rPr>
          <w:color w:val="auto"/>
          <w:sz w:val="24"/>
          <w:szCs w:val="24"/>
        </w:rPr>
        <w:t>Father</w:t>
      </w:r>
      <w:r w:rsidRPr="00C83532">
        <w:rPr>
          <w:color w:val="auto"/>
          <w:sz w:val="24"/>
          <w:szCs w:val="24"/>
        </w:rPr>
        <w:t xml:space="preserve"> repeatedly breached restrictions. Video footage and professional observations further evidenced ongoing arguing in </w:t>
      </w:r>
      <w:r w:rsidR="007B70C2" w:rsidRPr="00D806FF">
        <w:rPr>
          <w:color w:val="auto"/>
          <w:sz w:val="24"/>
          <w:szCs w:val="24"/>
        </w:rPr>
        <w:t>Child A</w:t>
      </w:r>
      <w:r w:rsidRPr="00C83532">
        <w:rPr>
          <w:color w:val="auto"/>
          <w:sz w:val="24"/>
          <w:szCs w:val="24"/>
        </w:rPr>
        <w:t>’s presence.</w:t>
      </w:r>
    </w:p>
    <w:p w14:paraId="08290D73" w14:textId="77777777" w:rsidR="00C83532" w:rsidRPr="00C83532" w:rsidRDefault="00C83532" w:rsidP="00D806FF">
      <w:pPr>
        <w:jc w:val="both"/>
        <w:rPr>
          <w:color w:val="auto"/>
          <w:sz w:val="24"/>
          <w:szCs w:val="24"/>
        </w:rPr>
      </w:pPr>
    </w:p>
    <w:p w14:paraId="0B17217A" w14:textId="500135EE" w:rsidR="007B70C2" w:rsidRPr="00D806FF" w:rsidRDefault="007B70C2" w:rsidP="00D806FF">
      <w:pPr>
        <w:jc w:val="both"/>
        <w:rPr>
          <w:color w:val="auto"/>
          <w:sz w:val="24"/>
          <w:szCs w:val="24"/>
        </w:rPr>
      </w:pPr>
      <w:r w:rsidRPr="00D806FF">
        <w:rPr>
          <w:color w:val="auto"/>
          <w:sz w:val="24"/>
          <w:szCs w:val="24"/>
        </w:rPr>
        <w:t>Mother</w:t>
      </w:r>
      <w:r w:rsidRPr="00D806FF">
        <w:rPr>
          <w:color w:val="auto"/>
          <w:sz w:val="24"/>
          <w:szCs w:val="24"/>
        </w:rPr>
        <w:t xml:space="preserve"> has presented with ambivalence towards the relationship. At times, she has acknowledged its unhealthy and abusive nature, but more often she has minimised risks and expressed a belief in keeping the family together. This pattern reflects wider research which suggests that victims may minimise abuse as a coping strategy or due to fears of family separation (Humphreys &amp; Thiara, 2003; Thiara &amp; Roy, 2010). </w:t>
      </w:r>
      <w:r w:rsidRPr="00D806FF">
        <w:rPr>
          <w:color w:val="auto"/>
          <w:sz w:val="24"/>
          <w:szCs w:val="24"/>
        </w:rPr>
        <w:t>Father</w:t>
      </w:r>
      <w:r w:rsidRPr="00D806FF">
        <w:rPr>
          <w:color w:val="auto"/>
          <w:sz w:val="24"/>
          <w:szCs w:val="24"/>
        </w:rPr>
        <w:t xml:space="preserve"> has consistently downplayed incidents, attributing them to misunderstandings or alleging discrimination, a response consistent with Stanley’s (2011) findings on perpetrator minimisation. Hester (2011) notes that such patterns of denial complicate assessment, as they limit opportunities for </w:t>
      </w:r>
      <w:r w:rsidRPr="00D806FF">
        <w:rPr>
          <w:color w:val="auto"/>
          <w:sz w:val="24"/>
          <w:szCs w:val="24"/>
        </w:rPr>
        <w:lastRenderedPageBreak/>
        <w:t>meaningful engagement with services. In this case, minimisation by both parents significantly restricted professional attempts to reduce risk through domestic abuse support.</w:t>
      </w:r>
    </w:p>
    <w:p w14:paraId="7E5EEB69" w14:textId="0471DB3A" w:rsidR="007B70C2" w:rsidRPr="007B70C2" w:rsidRDefault="00C83532" w:rsidP="00D806FF">
      <w:pPr>
        <w:jc w:val="both"/>
        <w:rPr>
          <w:color w:val="auto"/>
          <w:sz w:val="24"/>
          <w:szCs w:val="24"/>
        </w:rPr>
      </w:pPr>
      <w:r w:rsidRPr="00C83532">
        <w:rPr>
          <w:color w:val="auto"/>
          <w:sz w:val="24"/>
          <w:szCs w:val="24"/>
        </w:rPr>
        <w:br/>
      </w:r>
      <w:r w:rsidR="007B70C2" w:rsidRPr="00D806FF">
        <w:rPr>
          <w:color w:val="auto"/>
          <w:sz w:val="24"/>
          <w:szCs w:val="24"/>
        </w:rPr>
        <w:t>Alcohol has been central to the majority of incidents, with both mother and father frequently intoxicated during conflicts. Professionals have also raised concerns that limited financial resources are being misused to fund drinking, compounding the family’s instability and contributing to periods of homelessness. Although both parents initially denied substance misuse, drug and alcohol testing later confirmed the use of illicit substances alongside alcohol. This finding heightened professional concern regarding their capacity to provide safe and consistent care for Child A. Despite repeated referrals, neither parent has engaged meaningfully with substance misuse services, significantly restricting opportunities for intervention and change.</w:t>
      </w:r>
      <w:r w:rsidR="007B70C2" w:rsidRPr="00D806FF">
        <w:rPr>
          <w:color w:val="auto"/>
          <w:sz w:val="24"/>
          <w:szCs w:val="24"/>
        </w:rPr>
        <w:t xml:space="preserve"> </w:t>
      </w:r>
      <w:r w:rsidR="007B70C2" w:rsidRPr="007B70C2">
        <w:rPr>
          <w:color w:val="auto"/>
          <w:sz w:val="24"/>
          <w:szCs w:val="24"/>
        </w:rPr>
        <w:t xml:space="preserve">Research has consistently demonstrated the impact of parental substance misuse on children’s safety and well-being. Cleaver, Unell and Aldgate (2011) highlight how exposure to substance misuse can undermine parenting capacity, limit emotional attunement, and increase risks of neglect and harm. </w:t>
      </w:r>
      <w:r w:rsidR="007B70C2" w:rsidRPr="00D806FF">
        <w:rPr>
          <w:color w:val="auto"/>
          <w:sz w:val="24"/>
          <w:szCs w:val="24"/>
        </w:rPr>
        <w:t>T</w:t>
      </w:r>
      <w:r w:rsidR="007B70C2" w:rsidRPr="007B70C2">
        <w:rPr>
          <w:color w:val="auto"/>
          <w:sz w:val="24"/>
          <w:szCs w:val="24"/>
        </w:rPr>
        <w:t>he Wales Safeguarding Procedures (2019) explicitly identify parental alcohol and drug misuse as a key risk factor that must be assessed when determining thresholds for statutory intervention. Furthermore, a Welsh Government review emphasised that when substance misuse intersects with domestic abuse and poverty</w:t>
      </w:r>
      <w:r w:rsidR="007B70C2" w:rsidRPr="00D806FF">
        <w:rPr>
          <w:color w:val="auto"/>
          <w:sz w:val="24"/>
          <w:szCs w:val="24"/>
        </w:rPr>
        <w:t xml:space="preserve"> </w:t>
      </w:r>
      <w:r w:rsidR="007B70C2" w:rsidRPr="007B70C2">
        <w:rPr>
          <w:color w:val="auto"/>
          <w:sz w:val="24"/>
          <w:szCs w:val="24"/>
        </w:rPr>
        <w:t>as in this case</w:t>
      </w:r>
      <w:r w:rsidR="007B70C2" w:rsidRPr="00D806FF">
        <w:rPr>
          <w:color w:val="auto"/>
          <w:sz w:val="24"/>
          <w:szCs w:val="24"/>
        </w:rPr>
        <w:t xml:space="preserve"> </w:t>
      </w:r>
      <w:r w:rsidR="007B70C2" w:rsidRPr="007B70C2">
        <w:rPr>
          <w:color w:val="auto"/>
          <w:sz w:val="24"/>
          <w:szCs w:val="24"/>
        </w:rPr>
        <w:t>the risks to children escalate significantly, often necessitating statutory child protection responses (Welsh Government, 2019).</w:t>
      </w:r>
    </w:p>
    <w:p w14:paraId="4CB50BF1" w14:textId="050835CC" w:rsidR="00C83532" w:rsidRPr="00D806FF" w:rsidRDefault="00C83532" w:rsidP="00D806FF">
      <w:pPr>
        <w:jc w:val="both"/>
        <w:rPr>
          <w:color w:val="auto"/>
          <w:sz w:val="24"/>
          <w:szCs w:val="24"/>
        </w:rPr>
      </w:pPr>
      <w:r w:rsidRPr="00C83532">
        <w:rPr>
          <w:color w:val="auto"/>
          <w:sz w:val="24"/>
          <w:szCs w:val="24"/>
        </w:rPr>
        <w:br/>
      </w:r>
      <w:r w:rsidR="007B70C2" w:rsidRPr="00D806FF">
        <w:rPr>
          <w:color w:val="auto"/>
          <w:sz w:val="24"/>
          <w:szCs w:val="24"/>
        </w:rPr>
        <w:t xml:space="preserve">The family’s housing situation has been precarious, with repeated evictions and breakdowns of temporary accommodation placements due to disruptive behaviour and conflict. They have at times resided in caravans, hotels, and guesthouses, none of which have provided the stability or safety required for a young child. Financial pressures are evident, with reliance on Universal Credit and food banks, compounded by debts and the misuse of limited resources on alcohol. While poverty itself is not a safeguarding concern, research highlights that it interacts with other risk factors to create heightened vulnerability for children (Bywaters et al., 2016; Morris et al., 2018). Housing instability, particularly where families experience repeated moves and periods of homelessness, has been shown to undermine children’s sense of safety and attachment (Shelter Cymru, 2018). Within the Welsh context, the Social Services and Well-being (Wales) Act </w:t>
      </w:r>
      <w:r w:rsidR="007B70C2" w:rsidRPr="00D806FF">
        <w:rPr>
          <w:color w:val="auto"/>
          <w:sz w:val="24"/>
          <w:szCs w:val="24"/>
        </w:rPr>
        <w:t>(</w:t>
      </w:r>
      <w:r w:rsidR="007B70C2" w:rsidRPr="00D806FF">
        <w:rPr>
          <w:color w:val="auto"/>
          <w:sz w:val="24"/>
          <w:szCs w:val="24"/>
        </w:rPr>
        <w:t>2014</w:t>
      </w:r>
      <w:r w:rsidR="007B70C2" w:rsidRPr="00D806FF">
        <w:rPr>
          <w:color w:val="auto"/>
          <w:sz w:val="24"/>
          <w:szCs w:val="24"/>
        </w:rPr>
        <w:t>)</w:t>
      </w:r>
      <w:r w:rsidR="007B70C2" w:rsidRPr="00D806FF">
        <w:rPr>
          <w:color w:val="auto"/>
          <w:sz w:val="24"/>
          <w:szCs w:val="24"/>
        </w:rPr>
        <w:t xml:space="preserve"> and the Wales Safeguarding Procedures (2019) emphasise the need to consider housing and financial instability as part of a holistic assessment of a child’s well-being. In this case, Child A’s exposure to unstable accommodation, combined with domestic abuse and parental substance misuse, compounds the risks of emotional harm and neglect.</w:t>
      </w:r>
    </w:p>
    <w:p w14:paraId="01D03C5D" w14:textId="77777777" w:rsidR="007B70C2" w:rsidRPr="00C83532" w:rsidRDefault="007B70C2" w:rsidP="00D806FF">
      <w:pPr>
        <w:jc w:val="both"/>
        <w:rPr>
          <w:color w:val="auto"/>
          <w:sz w:val="24"/>
          <w:szCs w:val="24"/>
        </w:rPr>
      </w:pPr>
    </w:p>
    <w:p w14:paraId="58980A78" w14:textId="68E0A543" w:rsidR="00C83532" w:rsidRPr="00C83532" w:rsidRDefault="000141E5" w:rsidP="00D806FF">
      <w:pPr>
        <w:jc w:val="both"/>
        <w:rPr>
          <w:color w:val="auto"/>
          <w:sz w:val="24"/>
          <w:szCs w:val="24"/>
        </w:rPr>
      </w:pPr>
      <w:r w:rsidRPr="00D806FF">
        <w:rPr>
          <w:color w:val="auto"/>
          <w:sz w:val="24"/>
          <w:szCs w:val="24"/>
        </w:rPr>
        <w:t xml:space="preserve">The family have no extended family support in North Wales, and there is no evidence of protective relatives who could provide stability or oversight. Instead, the parents rely almost exclusively on each other, despite their relationship being the primary source of risk to Child A. Limited community support has been identified, and professional offers of help, including domestic abuse services, have either been declined or discontinued. Research highlights that social isolation and the absence of protective factors significantly increase vulnerability for children, as risks are less likely to be mitigated by extended family or community support (Munro, 2011; Brandon et al., 2020). In cases of domestic abuse, isolation is often reinforced by the dynamics of the abusive relationship, increasing dependency on the perpetrator and reducing engagement with external services (Stanley, 2011). </w:t>
      </w:r>
      <w:r w:rsidRPr="00D806FF">
        <w:rPr>
          <w:color w:val="auto"/>
          <w:sz w:val="24"/>
          <w:szCs w:val="24"/>
        </w:rPr>
        <w:t>T</w:t>
      </w:r>
      <w:r w:rsidRPr="00D806FF">
        <w:rPr>
          <w:color w:val="auto"/>
          <w:sz w:val="24"/>
          <w:szCs w:val="24"/>
        </w:rPr>
        <w:t xml:space="preserve">he Social Services and Well-being (Wales) </w:t>
      </w:r>
      <w:r w:rsidRPr="00D806FF">
        <w:rPr>
          <w:color w:val="auto"/>
          <w:sz w:val="24"/>
          <w:szCs w:val="24"/>
        </w:rPr>
        <w:lastRenderedPageBreak/>
        <w:t xml:space="preserve">Act </w:t>
      </w:r>
      <w:r w:rsidRPr="00D806FF">
        <w:rPr>
          <w:color w:val="auto"/>
          <w:sz w:val="24"/>
          <w:szCs w:val="24"/>
        </w:rPr>
        <w:t>(</w:t>
      </w:r>
      <w:r w:rsidRPr="00D806FF">
        <w:rPr>
          <w:color w:val="auto"/>
          <w:sz w:val="24"/>
          <w:szCs w:val="24"/>
        </w:rPr>
        <w:t>2014</w:t>
      </w:r>
      <w:r w:rsidRPr="00D806FF">
        <w:rPr>
          <w:color w:val="auto"/>
          <w:sz w:val="24"/>
          <w:szCs w:val="24"/>
        </w:rPr>
        <w:t>)</w:t>
      </w:r>
      <w:r w:rsidRPr="00D806FF">
        <w:rPr>
          <w:color w:val="auto"/>
          <w:sz w:val="24"/>
          <w:szCs w:val="24"/>
        </w:rPr>
        <w:t xml:space="preserve"> and the Wales Safeguarding Procedures (2019) require practitioners to assess the role of family and community networks in safeguarding. In this case, the lack of protective adults or community support exacerbates Child A’s vulnerability, leaving her exposed to the ongoing risks posed by her parents’ relationship, substance misuse, and housing instability.</w:t>
      </w:r>
      <w:r w:rsidR="00C83532" w:rsidRPr="00C83532">
        <w:rPr>
          <w:color w:val="auto"/>
          <w:sz w:val="24"/>
          <w:szCs w:val="24"/>
        </w:rPr>
        <w:br/>
      </w:r>
    </w:p>
    <w:p w14:paraId="5BD68957" w14:textId="2911DCB7" w:rsidR="00C83532" w:rsidRDefault="00C83532" w:rsidP="00D806FF">
      <w:pPr>
        <w:jc w:val="both"/>
        <w:rPr>
          <w:color w:val="auto"/>
          <w:sz w:val="24"/>
          <w:szCs w:val="24"/>
        </w:rPr>
      </w:pPr>
      <w:r w:rsidRPr="00C83532">
        <w:rPr>
          <w:color w:val="auto"/>
          <w:sz w:val="24"/>
          <w:szCs w:val="24"/>
        </w:rPr>
        <w:br/>
      </w:r>
      <w:r w:rsidR="000141E5" w:rsidRPr="00D806FF">
        <w:rPr>
          <w:color w:val="auto"/>
          <w:sz w:val="24"/>
          <w:szCs w:val="24"/>
        </w:rPr>
        <w:t>Child A</w:t>
      </w:r>
      <w:r w:rsidR="000141E5" w:rsidRPr="00D806FF">
        <w:rPr>
          <w:color w:val="auto"/>
          <w:sz w:val="24"/>
          <w:szCs w:val="24"/>
        </w:rPr>
        <w:t xml:space="preserve"> has already demonstrated signs of emotional distress and insecure attachment. Observations during contact have noted her clinging to professionals rather than seeking comfort from her parents, and avoiding eye contact with her father. Such behaviours are consistent with insecure or disorganised attachment, often seen in children exposed to domestic abuse and inconsistent caregiving (Bowlby, 1969; Howe, 2011). She has also been observed grinding her teeth persistently, a behaviour that may be indicative of stress and anxiety (NICE, 2017). Parents’ ability to provide consistent play, stimulation, and emotional attunement has been limited, which research shows is crucial for healthy emotional and cognitive development (Cummings &amp; Davies, 2010; Welsh Government, 2017). While both parents express love for </w:t>
      </w:r>
      <w:r w:rsidR="000141E5" w:rsidRPr="00D806FF">
        <w:rPr>
          <w:color w:val="auto"/>
          <w:sz w:val="24"/>
          <w:szCs w:val="24"/>
        </w:rPr>
        <w:t>child A</w:t>
      </w:r>
      <w:r w:rsidR="000141E5" w:rsidRPr="00D806FF">
        <w:rPr>
          <w:color w:val="auto"/>
          <w:sz w:val="24"/>
          <w:szCs w:val="24"/>
        </w:rPr>
        <w:t xml:space="preserve"> and occasionally demonstrate warmth, this has not been sustained or reliable. This inconsistency undermines </w:t>
      </w:r>
      <w:r w:rsidR="000141E5" w:rsidRPr="00D806FF">
        <w:rPr>
          <w:color w:val="auto"/>
          <w:sz w:val="24"/>
          <w:szCs w:val="24"/>
        </w:rPr>
        <w:t>child A</w:t>
      </w:r>
      <w:r w:rsidR="000141E5" w:rsidRPr="00D806FF">
        <w:rPr>
          <w:color w:val="auto"/>
          <w:sz w:val="24"/>
          <w:szCs w:val="24"/>
        </w:rPr>
        <w:t xml:space="preserve">’s ability to form a secure attachment and places her at risk of ongoing emotional harm. </w:t>
      </w:r>
      <w:r w:rsidR="000141E5" w:rsidRPr="00D806FF">
        <w:rPr>
          <w:color w:val="auto"/>
          <w:sz w:val="24"/>
          <w:szCs w:val="24"/>
        </w:rPr>
        <w:t xml:space="preserve">The </w:t>
      </w:r>
      <w:r w:rsidR="000141E5" w:rsidRPr="00D806FF">
        <w:rPr>
          <w:color w:val="auto"/>
          <w:sz w:val="24"/>
          <w:szCs w:val="24"/>
        </w:rPr>
        <w:t xml:space="preserve">Social Services and Well-being (Wales) Act </w:t>
      </w:r>
      <w:r w:rsidR="000141E5" w:rsidRPr="00D806FF">
        <w:rPr>
          <w:color w:val="auto"/>
          <w:sz w:val="24"/>
          <w:szCs w:val="24"/>
        </w:rPr>
        <w:t>(</w:t>
      </w:r>
      <w:r w:rsidR="000141E5" w:rsidRPr="00D806FF">
        <w:rPr>
          <w:color w:val="auto"/>
          <w:sz w:val="24"/>
          <w:szCs w:val="24"/>
        </w:rPr>
        <w:t>2014</w:t>
      </w:r>
      <w:r w:rsidR="000141E5" w:rsidRPr="00D806FF">
        <w:rPr>
          <w:color w:val="auto"/>
          <w:sz w:val="24"/>
          <w:szCs w:val="24"/>
        </w:rPr>
        <w:t>)</w:t>
      </w:r>
      <w:r w:rsidR="000141E5" w:rsidRPr="00D806FF">
        <w:rPr>
          <w:color w:val="auto"/>
          <w:sz w:val="24"/>
          <w:szCs w:val="24"/>
        </w:rPr>
        <w:t xml:space="preserve"> makes clear that children’s well-being encompasses emotional and developmental needs, reinforcing the concern that Maja’s experiences to date do not meet this standard.</w:t>
      </w:r>
    </w:p>
    <w:p w14:paraId="792C420A" w14:textId="77777777" w:rsidR="004E1E48" w:rsidRDefault="004E1E48" w:rsidP="00D806FF">
      <w:pPr>
        <w:jc w:val="both"/>
        <w:rPr>
          <w:color w:val="auto"/>
          <w:sz w:val="24"/>
          <w:szCs w:val="24"/>
        </w:rPr>
      </w:pPr>
    </w:p>
    <w:p w14:paraId="4B1D237F" w14:textId="77777777" w:rsidR="004E1E48" w:rsidRDefault="004E1E48" w:rsidP="004E1E48">
      <w:pPr>
        <w:jc w:val="both"/>
        <w:rPr>
          <w:color w:val="auto"/>
          <w:sz w:val="24"/>
          <w:szCs w:val="24"/>
        </w:rPr>
      </w:pPr>
      <w:r w:rsidRPr="004E1E48">
        <w:rPr>
          <w:color w:val="auto"/>
          <w:sz w:val="24"/>
          <w:szCs w:val="24"/>
        </w:rPr>
        <w:t>To further understand Child A’s lived experience, it is helpful to apply a theoretical lens that moves beyond individual parental behaviours and considers wider structural and contextual influences. Bronfenbrenner’s Ecological Systems Theory (1979) provides a framework for exploring how different layers of Child A’s environment interact to create risk. At the microsystem level, her daily life is characterised by inconsistent caregiving, exposure to domestic abuse, and emotional neglect. The mesosystem reflects weak or disrupted links between key agencies (e.g., housing, health, and substance misuse services), limiting opportunities for coordinated intervention. The exosystem includes housing instability and financial hardship, which indirectly affect Child A through the stress and instability they place on her parents. At the macrosystem level, migration, cultural isolation, and reduced post-Brexit funding for family support services (Welsh Government, 2021) create structural disadvantage. This ecological perspective highlights that Child A’s vulnerability is not solely the product of parental choices but also shaped by wider systemic and social determinants.</w:t>
      </w:r>
    </w:p>
    <w:p w14:paraId="0A03ABCC" w14:textId="77777777" w:rsidR="00C25569" w:rsidRPr="004E1E48" w:rsidRDefault="00C25569" w:rsidP="004E1E48">
      <w:pPr>
        <w:jc w:val="both"/>
        <w:rPr>
          <w:color w:val="auto"/>
          <w:sz w:val="24"/>
          <w:szCs w:val="24"/>
        </w:rPr>
      </w:pPr>
    </w:p>
    <w:p w14:paraId="37E78F50" w14:textId="77777777" w:rsidR="004E1E48" w:rsidRPr="004E1E48" w:rsidRDefault="004E1E48" w:rsidP="004E1E48">
      <w:pPr>
        <w:jc w:val="both"/>
        <w:rPr>
          <w:color w:val="auto"/>
          <w:sz w:val="24"/>
          <w:szCs w:val="24"/>
        </w:rPr>
      </w:pPr>
      <w:r w:rsidRPr="004E1E48">
        <w:rPr>
          <w:color w:val="auto"/>
          <w:sz w:val="24"/>
          <w:szCs w:val="24"/>
        </w:rPr>
        <w:t>In analysing parental change, the Transtheoretical Model of Change (Prochaska &amp; DiClemente, 1983) provides insight into the lack of progress. Both parents appeared to be in the pre-contemplation stage, denying the extent of substance misuse and minimising domestic abuse. Although short-term engagement with services occasionally suggested movement into contemplation, sustained denial and relapse into old behaviours indicated resistance to progress. This aligns with research suggesting that without acknowledgement of harm, motivation for sustained change is unlikely (DiClemente, 2007). Interventions such as motivational interviewing may have provided space for reflection and increased readiness to change (Miller &amp; Rollnick, 2013), yet the ongoing volatility of the relationship and substance use significantly undermined this potential.</w:t>
      </w:r>
    </w:p>
    <w:p w14:paraId="4971B12D" w14:textId="77777777" w:rsidR="004E1E48" w:rsidRDefault="004E1E48" w:rsidP="004E1E48">
      <w:pPr>
        <w:jc w:val="both"/>
        <w:rPr>
          <w:color w:val="auto"/>
          <w:sz w:val="24"/>
          <w:szCs w:val="24"/>
        </w:rPr>
      </w:pPr>
      <w:r w:rsidRPr="004E1E48">
        <w:rPr>
          <w:color w:val="auto"/>
          <w:sz w:val="24"/>
          <w:szCs w:val="24"/>
        </w:rPr>
        <w:lastRenderedPageBreak/>
        <w:t>The case also raises questions about the alignment between parental needs and those of Child A. Maslow’s hierarchy of needs (1943) offers a useful framework here. The parents’ struggles with housing, finances, and addiction meant their own physiological and safety needs were frequently unmet, limiting their capacity to prioritise higher-order caregiving responsibilities such as love, security, and stimulation for their child. For Child A, however, these relational needs are paramount for her development. Research consistently highlights that when parents remain focused on meeting their own survival needs, children’s emotional and developmental needs are deprioritised, increasing risks of harm (Howe, 2011). This tension illustrates the challenge of applying a strengths-based, family-preservation model when the basic stability necessary for parenting is persistently absent.</w:t>
      </w:r>
    </w:p>
    <w:p w14:paraId="0E8CD0E8" w14:textId="77777777" w:rsidR="00C25569" w:rsidRPr="004E1E48" w:rsidRDefault="00C25569" w:rsidP="004E1E48">
      <w:pPr>
        <w:jc w:val="both"/>
        <w:rPr>
          <w:color w:val="auto"/>
          <w:sz w:val="24"/>
          <w:szCs w:val="24"/>
        </w:rPr>
      </w:pPr>
    </w:p>
    <w:p w14:paraId="29A6DF45" w14:textId="30C66CA3" w:rsidR="004E1E48" w:rsidRDefault="004E1E48" w:rsidP="004E1E48">
      <w:pPr>
        <w:jc w:val="both"/>
        <w:rPr>
          <w:color w:val="auto"/>
          <w:sz w:val="24"/>
          <w:szCs w:val="24"/>
        </w:rPr>
      </w:pPr>
      <w:r w:rsidRPr="004E1E48">
        <w:rPr>
          <w:color w:val="auto"/>
          <w:sz w:val="24"/>
          <w:szCs w:val="24"/>
        </w:rPr>
        <w:t>Risk and resilience theory (Rutter, 1987) further illuminates Child A’s situation. Resilience research shows that children facing adversity can thrive when protective factors</w:t>
      </w:r>
      <w:r w:rsidR="00C25569">
        <w:rPr>
          <w:color w:val="auto"/>
          <w:sz w:val="24"/>
          <w:szCs w:val="24"/>
        </w:rPr>
        <w:t xml:space="preserve"> </w:t>
      </w:r>
      <w:r w:rsidRPr="004E1E48">
        <w:rPr>
          <w:color w:val="auto"/>
          <w:sz w:val="24"/>
          <w:szCs w:val="24"/>
        </w:rPr>
        <w:t>such as stable attachment figures, extended family support, or community resources</w:t>
      </w:r>
      <w:r w:rsidR="00C25569">
        <w:rPr>
          <w:color w:val="auto"/>
          <w:sz w:val="24"/>
          <w:szCs w:val="24"/>
        </w:rPr>
        <w:t xml:space="preserve"> </w:t>
      </w:r>
      <w:r w:rsidRPr="004E1E48">
        <w:rPr>
          <w:color w:val="auto"/>
          <w:sz w:val="24"/>
          <w:szCs w:val="24"/>
        </w:rPr>
        <w:t>buffer against risks (Ungar, 2011). In this case, protective factors were largely absent: no extended family support was available in Wales; community ties were minimal; and parental care was inconsistent and at times harmful. This imbalance between multiple risk factors and very limited protective elements significantly reduced Child A’s chances of positive adaptation without external intervention. From a resilience perspective, the provision of a safe, nurturing, and stable alternative caregiving environment became essential.</w:t>
      </w:r>
    </w:p>
    <w:p w14:paraId="1AFD5A75" w14:textId="77777777" w:rsidR="00C25569" w:rsidRPr="004E1E48" w:rsidRDefault="00C25569" w:rsidP="004E1E48">
      <w:pPr>
        <w:jc w:val="both"/>
        <w:rPr>
          <w:color w:val="auto"/>
          <w:sz w:val="24"/>
          <w:szCs w:val="24"/>
        </w:rPr>
      </w:pPr>
    </w:p>
    <w:p w14:paraId="01D01E55" w14:textId="77777777" w:rsidR="004E1E48" w:rsidRDefault="004E1E48" w:rsidP="004E1E48">
      <w:pPr>
        <w:jc w:val="both"/>
        <w:rPr>
          <w:color w:val="auto"/>
          <w:sz w:val="24"/>
          <w:szCs w:val="24"/>
        </w:rPr>
      </w:pPr>
      <w:r w:rsidRPr="004E1E48">
        <w:rPr>
          <w:color w:val="auto"/>
          <w:sz w:val="24"/>
          <w:szCs w:val="24"/>
        </w:rPr>
        <w:t>Alongside theory, reflection on professional values and ethics was critical. Anti-oppressive practice requires recognition of how migration, poverty, and cultural barriers intersect with safeguarding risks (Dominelli, 2002). The family’s migrant status created additional challenges: limited English proficiency at times hampered engagement with services, and the parents occasionally attributed professional concerns to discrimination. While it was important to remain sensitive to cultural and structural disadvantage, the persistence of domestic abuse and substance misuse required clear professional boundaries. The Welsh Government’s Anti-Racist Wales Action Plan (2022) emphasises the importance of equity in safeguarding, ensuring migrant families receive fair and proportionate support. In practice, this meant being reflective about my own assumptions while also ensuring Child A’s safety remained paramount.</w:t>
      </w:r>
    </w:p>
    <w:p w14:paraId="5DA4C204" w14:textId="77777777" w:rsidR="00C25569" w:rsidRPr="004E1E48" w:rsidRDefault="00C25569" w:rsidP="004E1E48">
      <w:pPr>
        <w:jc w:val="both"/>
        <w:rPr>
          <w:color w:val="auto"/>
          <w:sz w:val="24"/>
          <w:szCs w:val="24"/>
        </w:rPr>
      </w:pPr>
    </w:p>
    <w:p w14:paraId="2B807586" w14:textId="6E9734C8" w:rsidR="004E1E48" w:rsidRDefault="004E1E48" w:rsidP="004E1E48">
      <w:pPr>
        <w:jc w:val="both"/>
        <w:rPr>
          <w:color w:val="auto"/>
          <w:sz w:val="24"/>
          <w:szCs w:val="24"/>
        </w:rPr>
      </w:pPr>
      <w:r w:rsidRPr="004E1E48">
        <w:rPr>
          <w:color w:val="auto"/>
          <w:sz w:val="24"/>
          <w:szCs w:val="24"/>
        </w:rPr>
        <w:t>The case also brought ethical dilemmas concerning rights and proportionality. The Human Rights Act 1998 and the European Convention on Human Rights (ECHR) protect parents’ Article 8 rights to family life. However, these rights must be balanced against Child A’s right to protection and development. The United Nations Convention on the Rights of the Child (UNCRC, 1989), which has special status in Welsh law, reinforces that a child’s best interests should be the primary consideration. Reconciling these principles required careful reflection: while empathy for the parents’ challenges was necessary, professional responsibility demanded prioritising Child A’s right to safety, stability, and a nurturing environment.</w:t>
      </w:r>
      <w:r w:rsidR="00C25569">
        <w:rPr>
          <w:color w:val="auto"/>
          <w:sz w:val="24"/>
          <w:szCs w:val="24"/>
        </w:rPr>
        <w:t xml:space="preserve"> </w:t>
      </w:r>
      <w:r w:rsidRPr="004E1E48">
        <w:rPr>
          <w:color w:val="auto"/>
          <w:sz w:val="24"/>
          <w:szCs w:val="24"/>
        </w:rPr>
        <w:t>From a reflective standpoint, this case highlighted the emotional complexity of practice. Working with repeated incidents of domestic abuse and minimisation was emotionally draining, and there were moments of frustration when parents disengaged or denied responsibility. Schön’s (1983) reflective practice model was useful in making sense of these feelings</w:t>
      </w:r>
      <w:r w:rsidR="00C25569">
        <w:rPr>
          <w:color w:val="auto"/>
          <w:sz w:val="24"/>
          <w:szCs w:val="24"/>
        </w:rPr>
        <w:t xml:space="preserve"> </w:t>
      </w:r>
      <w:r w:rsidRPr="004E1E48">
        <w:rPr>
          <w:color w:val="auto"/>
          <w:sz w:val="24"/>
          <w:szCs w:val="24"/>
        </w:rPr>
        <w:t xml:space="preserve">moving between reflection-in-action (adjusting approaches during direct work) and reflection-on-action (using supervision to critically examine practice afterwards). Regular reflective supervision was particularly important in preventing </w:t>
      </w:r>
      <w:r w:rsidRPr="004E1E48">
        <w:rPr>
          <w:color w:val="auto"/>
          <w:sz w:val="24"/>
          <w:szCs w:val="24"/>
        </w:rPr>
        <w:lastRenderedPageBreak/>
        <w:t>desensitisation to risk and ensuring that decisions remained child-centred despite the challenges of parental resistance.</w:t>
      </w:r>
    </w:p>
    <w:p w14:paraId="19C77780" w14:textId="77777777" w:rsidR="00C25569" w:rsidRPr="004E1E48" w:rsidRDefault="00C25569" w:rsidP="004E1E48">
      <w:pPr>
        <w:jc w:val="both"/>
        <w:rPr>
          <w:color w:val="auto"/>
          <w:sz w:val="24"/>
          <w:szCs w:val="24"/>
        </w:rPr>
      </w:pPr>
    </w:p>
    <w:p w14:paraId="7A295BBC" w14:textId="77777777" w:rsidR="004E1E48" w:rsidRPr="004E1E48" w:rsidRDefault="004E1E48" w:rsidP="004E1E48">
      <w:pPr>
        <w:jc w:val="both"/>
        <w:rPr>
          <w:color w:val="auto"/>
          <w:sz w:val="24"/>
          <w:szCs w:val="24"/>
        </w:rPr>
      </w:pPr>
      <w:r w:rsidRPr="004E1E48">
        <w:rPr>
          <w:color w:val="auto"/>
          <w:sz w:val="24"/>
          <w:szCs w:val="24"/>
        </w:rPr>
        <w:t>Finally, consideration of the wider policy context reinforced the urgency of intervention. The Adverse Childhood Experiences (ACEs) framework (Welsh Government, 2015) identifies domestic abuse, parental substance misuse, and household instability as key predictors of long-term harm. Child A’s early exposure to these ACEs placed her at risk of poor outcomes in later life, including mental health difficulties, educational underachievement, and relationship problems (Felitti et al., 1998; Hughes et al., 2017). In Wales, the policy emphasis on early intervention and prevention underscores the responsibility of practitioners to act decisively to disrupt such trajectories. In this case, despite multiple interventions, parental change did not occur within the child’s developmental timescales, necessitating consideration of permanence outside the birth family.</w:t>
      </w:r>
    </w:p>
    <w:p w14:paraId="189C7D5A" w14:textId="1CD56426" w:rsidR="00737AD0" w:rsidRPr="00D806FF" w:rsidRDefault="00C83532" w:rsidP="00D806FF">
      <w:pPr>
        <w:jc w:val="both"/>
        <w:rPr>
          <w:color w:val="auto"/>
          <w:sz w:val="24"/>
          <w:szCs w:val="24"/>
        </w:rPr>
      </w:pPr>
      <w:r w:rsidRPr="00C83532">
        <w:rPr>
          <w:color w:val="auto"/>
          <w:sz w:val="24"/>
          <w:szCs w:val="24"/>
        </w:rPr>
        <w:br/>
      </w:r>
      <w:r w:rsidR="00737AD0" w:rsidRPr="00D806FF">
        <w:rPr>
          <w:color w:val="auto"/>
          <w:sz w:val="24"/>
          <w:szCs w:val="24"/>
        </w:rPr>
        <w:t>The accumulation of concerns against the parents resulted in an escalating statutory response.</w:t>
      </w:r>
      <w:r w:rsidR="00737AD0" w:rsidRPr="00D806FF">
        <w:rPr>
          <w:color w:val="auto"/>
          <w:sz w:val="24"/>
          <w:szCs w:val="24"/>
        </w:rPr>
        <w:t xml:space="preserve"> </w:t>
      </w:r>
      <w:r w:rsidR="00737AD0" w:rsidRPr="00D806FF">
        <w:rPr>
          <w:color w:val="auto"/>
          <w:sz w:val="24"/>
          <w:szCs w:val="24"/>
        </w:rPr>
        <w:t>An initial child protection conference was convened in February 2025 in line with the Wales Safeguarding Procedures (2019). At this meeting, Child A was placed on the Child Protection Register with a multi-agency Child Protection Plan. The first core group was arranged within the required timescale</w:t>
      </w:r>
      <w:r w:rsidR="00737AD0" w:rsidRPr="00D806FF">
        <w:rPr>
          <w:color w:val="auto"/>
          <w:sz w:val="24"/>
          <w:szCs w:val="24"/>
        </w:rPr>
        <w:t xml:space="preserve">, </w:t>
      </w:r>
      <w:r w:rsidR="00737AD0" w:rsidRPr="00D806FF">
        <w:rPr>
          <w:color w:val="auto"/>
          <w:sz w:val="24"/>
          <w:szCs w:val="24"/>
        </w:rPr>
        <w:t>ten working days after the conference</w:t>
      </w:r>
      <w:r w:rsidR="00737AD0" w:rsidRPr="00D806FF">
        <w:rPr>
          <w:color w:val="auto"/>
          <w:sz w:val="24"/>
          <w:szCs w:val="24"/>
        </w:rPr>
        <w:t xml:space="preserve">, </w:t>
      </w:r>
      <w:r w:rsidR="00737AD0" w:rsidRPr="00D806FF">
        <w:rPr>
          <w:color w:val="auto"/>
          <w:sz w:val="24"/>
          <w:szCs w:val="24"/>
        </w:rPr>
        <w:t>supported by statutory requirements for regular statutory visits</w:t>
      </w:r>
      <w:r w:rsidR="00737AD0" w:rsidRPr="00D806FF">
        <w:rPr>
          <w:color w:val="auto"/>
          <w:sz w:val="24"/>
          <w:szCs w:val="24"/>
        </w:rPr>
        <w:t>, every 10 working days</w:t>
      </w:r>
      <w:r w:rsidR="00737AD0" w:rsidRPr="00D806FF">
        <w:rPr>
          <w:color w:val="auto"/>
          <w:sz w:val="24"/>
          <w:szCs w:val="24"/>
        </w:rPr>
        <w:t xml:space="preserve"> (Welsh Government, 2019). Core group meetings subsequently took place </w:t>
      </w:r>
      <w:r w:rsidR="00737AD0" w:rsidRPr="00D806FF">
        <w:rPr>
          <w:color w:val="auto"/>
          <w:sz w:val="24"/>
          <w:szCs w:val="24"/>
        </w:rPr>
        <w:t>every 4-6 weeks</w:t>
      </w:r>
      <w:r w:rsidR="00737AD0" w:rsidRPr="00D806FF">
        <w:rPr>
          <w:color w:val="auto"/>
          <w:sz w:val="24"/>
          <w:szCs w:val="24"/>
        </w:rPr>
        <w:t xml:space="preserve"> to review progress and parental engagement.</w:t>
      </w:r>
      <w:r w:rsidR="00737AD0" w:rsidRPr="00D806FF">
        <w:rPr>
          <w:color w:val="auto"/>
          <w:sz w:val="24"/>
          <w:szCs w:val="24"/>
        </w:rPr>
        <w:t xml:space="preserve"> </w:t>
      </w:r>
      <w:r w:rsidR="00737AD0" w:rsidRPr="00737AD0">
        <w:rPr>
          <w:color w:val="auto"/>
          <w:sz w:val="24"/>
          <w:szCs w:val="24"/>
        </w:rPr>
        <w:t>When repeated incidents and limited parental engagement persisted, the case progressed to Public Law Outline (PLO) pre-proceedings in March 2025. The PLO process provides a framework for local authorities across Wales and England to work with parents before initiating care proceedings, ensuring clarity of risks, targeted interventions, and documented expectations for change (Ministry of Justice, 2014). The emphasis is on achieving timely permanence for the child while offering parents a final opportunity to engage.</w:t>
      </w:r>
    </w:p>
    <w:p w14:paraId="7612919A" w14:textId="77777777" w:rsidR="00737AD0" w:rsidRPr="00737AD0" w:rsidRDefault="00737AD0" w:rsidP="00D806FF">
      <w:pPr>
        <w:jc w:val="both"/>
        <w:rPr>
          <w:color w:val="auto"/>
          <w:sz w:val="24"/>
          <w:szCs w:val="24"/>
        </w:rPr>
      </w:pPr>
    </w:p>
    <w:p w14:paraId="46819221" w14:textId="3307F0A7" w:rsidR="00737AD0" w:rsidRDefault="00737AD0" w:rsidP="00D806FF">
      <w:pPr>
        <w:jc w:val="both"/>
        <w:rPr>
          <w:color w:val="auto"/>
          <w:sz w:val="24"/>
          <w:szCs w:val="24"/>
        </w:rPr>
      </w:pPr>
      <w:r w:rsidRPr="00737AD0">
        <w:rPr>
          <w:color w:val="auto"/>
          <w:sz w:val="24"/>
          <w:szCs w:val="24"/>
        </w:rPr>
        <w:t xml:space="preserve">By April 2025, continuing domestic abuse, repeated breaches of bail conditions, and confirmed substance misuse led professionals to conclude that the threshold for legal intervention under section 31 of the Children Act </w:t>
      </w:r>
      <w:r w:rsidRPr="00D806FF">
        <w:rPr>
          <w:color w:val="auto"/>
          <w:sz w:val="24"/>
          <w:szCs w:val="24"/>
        </w:rPr>
        <w:t>(</w:t>
      </w:r>
      <w:r w:rsidRPr="00737AD0">
        <w:rPr>
          <w:color w:val="auto"/>
          <w:sz w:val="24"/>
          <w:szCs w:val="24"/>
        </w:rPr>
        <w:t>1989</w:t>
      </w:r>
      <w:r w:rsidRPr="00D806FF">
        <w:rPr>
          <w:color w:val="auto"/>
          <w:sz w:val="24"/>
          <w:szCs w:val="24"/>
        </w:rPr>
        <w:t xml:space="preserve">) </w:t>
      </w:r>
      <w:r w:rsidRPr="00737AD0">
        <w:rPr>
          <w:color w:val="auto"/>
          <w:sz w:val="24"/>
          <w:szCs w:val="24"/>
        </w:rPr>
        <w:t>that the child is suffering, or is likely to suffer, significant harm</w:t>
      </w:r>
      <w:r w:rsidRPr="00D806FF">
        <w:rPr>
          <w:color w:val="auto"/>
          <w:sz w:val="24"/>
          <w:szCs w:val="24"/>
        </w:rPr>
        <w:t xml:space="preserve"> </w:t>
      </w:r>
      <w:r w:rsidRPr="00737AD0">
        <w:rPr>
          <w:color w:val="auto"/>
          <w:sz w:val="24"/>
          <w:szCs w:val="24"/>
        </w:rPr>
        <w:t xml:space="preserve">had been met (Children Act 1989). Care proceedings were therefore initiated. Child A was made subject to an interim care order, and the case moved into proceedings under the Family Court timetable, with directions hearings, disclosure, and updates to assessments and reports (Family Justice Council, 2018). </w:t>
      </w:r>
      <w:r w:rsidRPr="00D806FF">
        <w:rPr>
          <w:color w:val="auto"/>
          <w:sz w:val="24"/>
          <w:szCs w:val="24"/>
        </w:rPr>
        <w:t xml:space="preserve">I </w:t>
      </w:r>
      <w:r w:rsidRPr="00737AD0">
        <w:rPr>
          <w:color w:val="auto"/>
          <w:sz w:val="24"/>
          <w:szCs w:val="24"/>
        </w:rPr>
        <w:t>prepared and updated the care and support plan as required under the Care Planning, Placement and Case Review (Wales) Regulations 2015 (Welsh Government, 2015).</w:t>
      </w:r>
    </w:p>
    <w:p w14:paraId="6754FF45" w14:textId="77777777" w:rsidR="00132E16" w:rsidRDefault="00132E16" w:rsidP="00D806FF">
      <w:pPr>
        <w:jc w:val="both"/>
        <w:rPr>
          <w:color w:val="auto"/>
          <w:sz w:val="24"/>
          <w:szCs w:val="24"/>
        </w:rPr>
      </w:pPr>
    </w:p>
    <w:p w14:paraId="3CE768E2" w14:textId="1340BAB1" w:rsidR="00132E16" w:rsidRDefault="00132E16" w:rsidP="00D806FF">
      <w:pPr>
        <w:jc w:val="both"/>
        <w:rPr>
          <w:color w:val="auto"/>
          <w:sz w:val="24"/>
          <w:szCs w:val="24"/>
        </w:rPr>
      </w:pPr>
      <w:r w:rsidRPr="00132E16">
        <w:rPr>
          <w:color w:val="auto"/>
          <w:sz w:val="24"/>
          <w:szCs w:val="24"/>
        </w:rPr>
        <w:t xml:space="preserve">Preparing the Social Work Evidence Template (SWET) and updated care plan was a significant learning experience. It required me to evidence risk in a balanced way, presenting both parental strengths and deficits while remaining clear about why the threshold for significant harm was met. Feedback from legal colleagues highlighted the importance of structuring my analysis clearly, referencing statutory guidance, and linking observed behaviours to potential future harm. This experience also reinforced the expectations set out in the Social Care Wales Code of Professional Practice (2017), particularly the need to be open, honest, and accountable in reporting, and to place the child’s well-being at the centre of professional decisions. By grounding </w:t>
      </w:r>
      <w:r w:rsidRPr="00132E16">
        <w:rPr>
          <w:color w:val="auto"/>
          <w:sz w:val="24"/>
          <w:szCs w:val="24"/>
        </w:rPr>
        <w:lastRenderedPageBreak/>
        <w:t>my evidence in both law and professional standards, I strengthened my ability to communicate judgments in a way that was transparent, ethically robust, and consistent with the duties of a registered social worker in Wales.</w:t>
      </w:r>
    </w:p>
    <w:p w14:paraId="32749642" w14:textId="77777777" w:rsidR="00132E16" w:rsidRPr="00737AD0" w:rsidRDefault="00132E16" w:rsidP="00D806FF">
      <w:pPr>
        <w:jc w:val="both"/>
        <w:rPr>
          <w:color w:val="auto"/>
          <w:sz w:val="24"/>
          <w:szCs w:val="24"/>
        </w:rPr>
      </w:pPr>
    </w:p>
    <w:p w14:paraId="05A46AB4" w14:textId="6DB3EE4D" w:rsidR="00737AD0" w:rsidRPr="00737AD0" w:rsidRDefault="00737AD0" w:rsidP="00D806FF">
      <w:pPr>
        <w:jc w:val="both"/>
        <w:rPr>
          <w:color w:val="auto"/>
          <w:sz w:val="24"/>
          <w:szCs w:val="24"/>
        </w:rPr>
      </w:pPr>
      <w:r w:rsidRPr="00737AD0">
        <w:rPr>
          <w:color w:val="auto"/>
          <w:sz w:val="24"/>
          <w:szCs w:val="24"/>
        </w:rPr>
        <w:t xml:space="preserve">Given Child A’s very young age, permanence planning moved quickly. A “should be placed for adoption” decision was convened in line with the Adoption and Children Act </w:t>
      </w:r>
      <w:r w:rsidRPr="00D806FF">
        <w:rPr>
          <w:color w:val="auto"/>
          <w:sz w:val="24"/>
          <w:szCs w:val="24"/>
        </w:rPr>
        <w:t>(</w:t>
      </w:r>
      <w:r w:rsidRPr="00737AD0">
        <w:rPr>
          <w:color w:val="auto"/>
          <w:sz w:val="24"/>
          <w:szCs w:val="24"/>
        </w:rPr>
        <w:t>2002</w:t>
      </w:r>
      <w:r w:rsidRPr="00D806FF">
        <w:rPr>
          <w:color w:val="auto"/>
          <w:sz w:val="24"/>
          <w:szCs w:val="24"/>
        </w:rPr>
        <w:t>)</w:t>
      </w:r>
      <w:r w:rsidRPr="00737AD0">
        <w:rPr>
          <w:color w:val="auto"/>
          <w:sz w:val="24"/>
          <w:szCs w:val="24"/>
        </w:rPr>
        <w:t>, supported by Welsh adoption guidance, which requires the local authority and court to consider whether adoption is the only option capable of meeting the child’s welfare needs (Adoption and Children Act 2002; Welsh Government, 2019). This stage also reflects the UNCRC principle of acting in the child’s best interests (United Nations, 1989), which underpins Welsh law.</w:t>
      </w:r>
      <w:r w:rsidRPr="00D806FF">
        <w:rPr>
          <w:color w:val="auto"/>
          <w:sz w:val="24"/>
          <w:szCs w:val="24"/>
        </w:rPr>
        <w:t xml:space="preserve"> </w:t>
      </w:r>
      <w:r w:rsidRPr="00737AD0">
        <w:rPr>
          <w:color w:val="auto"/>
          <w:sz w:val="24"/>
          <w:szCs w:val="24"/>
        </w:rPr>
        <w:t>While court proceedings were ongoing, Child A became subject to Looked After Child (LAC) procedures, with statutory reviews and multi-agency oversight ensuring her safety and well-being (Welsh Government, 2015). Statutory LAC reviews took place within the required timescales, considering placement stability, contact arrangements, and long-term planning. Child protection procedures remained active in parallel until a de-registration conference was held, at which point safeguarding oversight continued through the LAC review structure.</w:t>
      </w:r>
    </w:p>
    <w:p w14:paraId="6768293A" w14:textId="0F9E267A" w:rsidR="00C83532" w:rsidRPr="00D806FF" w:rsidRDefault="00C83532" w:rsidP="00D806FF">
      <w:pPr>
        <w:jc w:val="both"/>
        <w:rPr>
          <w:color w:val="auto"/>
          <w:sz w:val="24"/>
          <w:szCs w:val="24"/>
        </w:rPr>
      </w:pPr>
    </w:p>
    <w:p w14:paraId="1A41C3C0" w14:textId="4FBB4C89" w:rsidR="00D806FF" w:rsidRPr="00D806FF" w:rsidRDefault="00D806FF" w:rsidP="00D806FF">
      <w:pPr>
        <w:jc w:val="both"/>
        <w:rPr>
          <w:color w:val="auto"/>
          <w:sz w:val="24"/>
          <w:szCs w:val="24"/>
        </w:rPr>
      </w:pPr>
      <w:r w:rsidRPr="00D806FF">
        <w:rPr>
          <w:color w:val="auto"/>
          <w:sz w:val="24"/>
          <w:szCs w:val="24"/>
        </w:rPr>
        <w:t>T</w:t>
      </w:r>
      <w:r w:rsidRPr="00D806FF">
        <w:rPr>
          <w:color w:val="auto"/>
          <w:sz w:val="24"/>
          <w:szCs w:val="24"/>
        </w:rPr>
        <w:t>his case presented significant challenges in balancing empathy for the parents’ circumstances with recognition of the persistent risks posed to Child A. While mother and father both professed love for their child and were occasionally able to demonstrate warmth, their inability to sustain change, combined with prioritising their own conflicts and substance use, created chronic instability. The absence of a protective support network, compounded by cultural and linguistic barriers as a migrant family in North Wales, added further complexity to assessment and intervention.</w:t>
      </w:r>
      <w:r w:rsidRPr="00D806FF">
        <w:rPr>
          <w:color w:val="auto"/>
          <w:sz w:val="24"/>
          <w:szCs w:val="24"/>
        </w:rPr>
        <w:t xml:space="preserve"> </w:t>
      </w:r>
      <w:r w:rsidRPr="00D806FF">
        <w:rPr>
          <w:color w:val="auto"/>
          <w:sz w:val="24"/>
          <w:szCs w:val="24"/>
        </w:rPr>
        <w:t>At the same time, observations of Child A’s behaviour were concerning. Her tendency to cling to professionals rather than her parents and to avoid eye contact with her father are behaviours consistent with insecure or disorganised attachment (Bowlby, 1969; Howe, 2011). Research highlights that early exposure to domestic abuse and inconsistent caregiving undermines a child’s ability to form secure relationships, with long-term implications for emotional and cognitive development (Cummings &amp; Davies, 2010). Without stable caregiving, Child A risked further emotional harm.</w:t>
      </w:r>
    </w:p>
    <w:p w14:paraId="00BDF0DF" w14:textId="77777777" w:rsidR="00D806FF" w:rsidRPr="00D806FF" w:rsidRDefault="00D806FF" w:rsidP="00D806FF">
      <w:pPr>
        <w:jc w:val="both"/>
        <w:rPr>
          <w:color w:val="auto"/>
          <w:sz w:val="24"/>
          <w:szCs w:val="24"/>
        </w:rPr>
      </w:pPr>
    </w:p>
    <w:p w14:paraId="67FF56BE" w14:textId="77777777" w:rsidR="00D806FF" w:rsidRPr="00D806FF" w:rsidRDefault="00D806FF" w:rsidP="00D806FF">
      <w:pPr>
        <w:jc w:val="both"/>
        <w:rPr>
          <w:color w:val="auto"/>
          <w:sz w:val="24"/>
          <w:szCs w:val="24"/>
        </w:rPr>
      </w:pPr>
      <w:r w:rsidRPr="00D806FF">
        <w:rPr>
          <w:color w:val="auto"/>
          <w:sz w:val="24"/>
          <w:szCs w:val="24"/>
        </w:rPr>
        <w:t>The professional judgment, supported by multi-agency consultation and supervision, was that short-term interventions could not sufficiently address the entrenched parental difficulties within the child’s timescale. Risk and resilience theory (Rutter, 1987) emphasises the importance of protective factors in enabling children to overcome adversity; in this case, the lack of extended family or community support meant there were no protective buffers to mitigate the ongoing risks. Welsh law, which embeds the UNCRC (1989) within its framework, requires practitioners to place the child’s right to safety, stability, and development at the centre of decision-making. In line with the Adoption and Children Act (2002) and Welsh Government permanence guidance (Welsh Government, 2019), the conclusion was that adoption would best meet Child A’s long-term needs for safety, stability, and emotional security.</w:t>
      </w:r>
    </w:p>
    <w:p w14:paraId="7F4433FA" w14:textId="5C24437F" w:rsidR="00CC135E" w:rsidRPr="00D806FF" w:rsidRDefault="00CC135E" w:rsidP="00D806FF">
      <w:pPr>
        <w:jc w:val="both"/>
        <w:rPr>
          <w:color w:val="auto"/>
          <w:sz w:val="24"/>
          <w:szCs w:val="24"/>
        </w:rPr>
      </w:pPr>
    </w:p>
    <w:p w14:paraId="1AABF2DD" w14:textId="04A500FC" w:rsidR="00D806FF" w:rsidRDefault="00D806FF" w:rsidP="00D806FF">
      <w:pPr>
        <w:jc w:val="both"/>
        <w:rPr>
          <w:color w:val="auto"/>
          <w:sz w:val="24"/>
          <w:szCs w:val="24"/>
        </w:rPr>
      </w:pPr>
      <w:r w:rsidRPr="00D806FF">
        <w:rPr>
          <w:color w:val="auto"/>
          <w:sz w:val="24"/>
          <w:szCs w:val="24"/>
        </w:rPr>
        <w:t xml:space="preserve">A further dimension in this case relates to the intersection of Welsh, UK, European, and international frameworks. While the Social Services and Well-being (Wales) Act 2014 provided the overarching duty of care, the Children Act 1989 framed the legal threshold for proceedings, and the Adoption and Children Act </w:t>
      </w:r>
      <w:r>
        <w:rPr>
          <w:color w:val="auto"/>
          <w:sz w:val="24"/>
          <w:szCs w:val="24"/>
        </w:rPr>
        <w:t>(</w:t>
      </w:r>
      <w:r w:rsidRPr="00D806FF">
        <w:rPr>
          <w:color w:val="auto"/>
          <w:sz w:val="24"/>
          <w:szCs w:val="24"/>
        </w:rPr>
        <w:t>2002</w:t>
      </w:r>
      <w:r>
        <w:rPr>
          <w:color w:val="auto"/>
          <w:sz w:val="24"/>
          <w:szCs w:val="24"/>
        </w:rPr>
        <w:t>)</w:t>
      </w:r>
      <w:r w:rsidRPr="00D806FF">
        <w:rPr>
          <w:color w:val="auto"/>
          <w:sz w:val="24"/>
          <w:szCs w:val="24"/>
        </w:rPr>
        <w:t xml:space="preserve"> guided permanence planning. Beyond this, the Human </w:t>
      </w:r>
      <w:r w:rsidRPr="00D806FF">
        <w:rPr>
          <w:color w:val="auto"/>
          <w:sz w:val="24"/>
          <w:szCs w:val="24"/>
        </w:rPr>
        <w:lastRenderedPageBreak/>
        <w:t>Rights Act 1998, incorporating the European Convention on Human Rights (ECHR), was central: Article 8 rights to family life had to be balanced against Child A’s right to safety. In practice, this required careful analysis in court reporting to evidence why adoption was necessary and proportionate. Although the UK is no longer part of the EU, Brexit has had indirect implications for practice. Several early intervention and family support programmes in Wales were previously funded through the European Social Fund; reductions in provision may partly explain the limited availability of community-based support for families like this one. The family’s status as EU migrants also carried implications: their relative isolation and limited English created barriers to engagement, while uncertainties about settlement status may have heightened parental stress. Internationally, the United Nations Convention on the Rights of the Child (UNCRC), which has particular prominence in Welsh law, reinforced the duty to act in Child A’s best interests.</w:t>
      </w:r>
    </w:p>
    <w:p w14:paraId="6CBF5DD0" w14:textId="77777777" w:rsidR="00E619CD" w:rsidRPr="00D806FF" w:rsidRDefault="00E619CD" w:rsidP="00D806FF">
      <w:pPr>
        <w:jc w:val="both"/>
        <w:rPr>
          <w:color w:val="auto"/>
          <w:sz w:val="24"/>
          <w:szCs w:val="24"/>
        </w:rPr>
      </w:pPr>
    </w:p>
    <w:p w14:paraId="5190BF0F" w14:textId="3226A538" w:rsidR="00D806FF" w:rsidRDefault="00D806FF" w:rsidP="00D806FF">
      <w:pPr>
        <w:jc w:val="both"/>
        <w:rPr>
          <w:color w:val="auto"/>
          <w:sz w:val="24"/>
          <w:szCs w:val="24"/>
        </w:rPr>
      </w:pPr>
      <w:r w:rsidRPr="00D806FF">
        <w:rPr>
          <w:color w:val="auto"/>
          <w:sz w:val="24"/>
          <w:szCs w:val="24"/>
        </w:rPr>
        <w:t xml:space="preserve">Multi-agency collaboration was another critical aspect of practice. The case involved police, health visitors, substance misuse services, housing officers, domestic abuse services, Cafcass Cymru, and the </w:t>
      </w:r>
      <w:r w:rsidR="00E619CD">
        <w:rPr>
          <w:color w:val="auto"/>
          <w:sz w:val="24"/>
          <w:szCs w:val="24"/>
        </w:rPr>
        <w:t>C</w:t>
      </w:r>
      <w:r w:rsidRPr="00D806FF">
        <w:rPr>
          <w:color w:val="auto"/>
          <w:sz w:val="24"/>
          <w:szCs w:val="24"/>
        </w:rPr>
        <w:t>ourts. Each agency contributed essential perspectives</w:t>
      </w:r>
      <w:r w:rsidR="00E619CD">
        <w:rPr>
          <w:color w:val="auto"/>
          <w:sz w:val="24"/>
          <w:szCs w:val="24"/>
        </w:rPr>
        <w:t xml:space="preserve"> with </w:t>
      </w:r>
      <w:r w:rsidRPr="00D806FF">
        <w:rPr>
          <w:color w:val="auto"/>
          <w:sz w:val="24"/>
          <w:szCs w:val="24"/>
        </w:rPr>
        <w:t>police reports evidenc</w:t>
      </w:r>
      <w:r w:rsidR="00E619CD">
        <w:rPr>
          <w:color w:val="auto"/>
          <w:sz w:val="24"/>
          <w:szCs w:val="24"/>
        </w:rPr>
        <w:t>ing</w:t>
      </w:r>
      <w:r w:rsidRPr="00D806FF">
        <w:rPr>
          <w:color w:val="auto"/>
          <w:sz w:val="24"/>
          <w:szCs w:val="24"/>
        </w:rPr>
        <w:t xml:space="preserve"> repeated domestic abuse; health professionals highlighted Child A’s developmental presentation; and housing officers provided details of repeated evictions. However, interagency working was not without challenge</w:t>
      </w:r>
      <w:r w:rsidR="00E619CD">
        <w:rPr>
          <w:color w:val="auto"/>
          <w:sz w:val="24"/>
          <w:szCs w:val="24"/>
        </w:rPr>
        <w:t xml:space="preserve"> as</w:t>
      </w:r>
      <w:r w:rsidRPr="00D806FF">
        <w:rPr>
          <w:color w:val="auto"/>
          <w:sz w:val="24"/>
          <w:szCs w:val="24"/>
        </w:rPr>
        <w:t xml:space="preserve"> </w:t>
      </w:r>
      <w:r w:rsidR="00E619CD">
        <w:rPr>
          <w:color w:val="auto"/>
          <w:sz w:val="24"/>
          <w:szCs w:val="24"/>
        </w:rPr>
        <w:t>p</w:t>
      </w:r>
      <w:r w:rsidRPr="00D806FF">
        <w:rPr>
          <w:color w:val="auto"/>
          <w:sz w:val="24"/>
          <w:szCs w:val="24"/>
        </w:rPr>
        <w:t xml:space="preserve">rofessionals sometimes had different thresholds for concern, and there were difficulties sustaining parental engagement across services. Research from Welsh and UK serious case reviews consistently highlights the dangers of agencies working in </w:t>
      </w:r>
      <w:r w:rsidR="00E619CD">
        <w:rPr>
          <w:color w:val="auto"/>
          <w:sz w:val="24"/>
          <w:szCs w:val="24"/>
        </w:rPr>
        <w:t>isolation</w:t>
      </w:r>
      <w:r w:rsidRPr="00D806FF">
        <w:rPr>
          <w:color w:val="auto"/>
          <w:sz w:val="24"/>
          <w:szCs w:val="24"/>
        </w:rPr>
        <w:t xml:space="preserve"> and the importance of professional challenge (Brandon et al., 2020). In supervision, </w:t>
      </w:r>
      <w:r w:rsidR="00E619CD" w:rsidRPr="00E619CD">
        <w:rPr>
          <w:color w:val="auto"/>
          <w:sz w:val="24"/>
          <w:szCs w:val="24"/>
        </w:rPr>
        <w:t>I reflected on the need to bring together information from all agencies, cross-check different accounts, and ensure that Child A’s voice and lived experience remained central to assessment.</w:t>
      </w:r>
      <w:r w:rsidR="00E619CD">
        <w:rPr>
          <w:color w:val="auto"/>
          <w:sz w:val="24"/>
          <w:szCs w:val="24"/>
        </w:rPr>
        <w:t xml:space="preserve"> </w:t>
      </w:r>
      <w:r w:rsidRPr="00D806FF">
        <w:rPr>
          <w:color w:val="auto"/>
          <w:sz w:val="24"/>
          <w:szCs w:val="24"/>
        </w:rPr>
        <w:t>This case therefore illustrates both the value and complexity of collaborative safeguarding practice.</w:t>
      </w:r>
    </w:p>
    <w:p w14:paraId="1BA980F1" w14:textId="77777777" w:rsidR="00E619CD" w:rsidRDefault="00E619CD" w:rsidP="00D806FF">
      <w:pPr>
        <w:jc w:val="both"/>
        <w:rPr>
          <w:color w:val="auto"/>
          <w:sz w:val="24"/>
          <w:szCs w:val="24"/>
        </w:rPr>
      </w:pPr>
    </w:p>
    <w:p w14:paraId="609A526D" w14:textId="2D8457E9" w:rsidR="00C25569" w:rsidRDefault="00C25569" w:rsidP="00C25569">
      <w:pPr>
        <w:jc w:val="both"/>
        <w:rPr>
          <w:color w:val="auto"/>
          <w:sz w:val="24"/>
          <w:szCs w:val="24"/>
        </w:rPr>
      </w:pPr>
      <w:r w:rsidRPr="00C25569">
        <w:rPr>
          <w:color w:val="auto"/>
          <w:sz w:val="24"/>
          <w:szCs w:val="24"/>
        </w:rPr>
        <w:t>The application of theory and research further informed practice and decision-making in this case. Attachment theory (Bowlby, 1969; Howe, 2011), discussed earlier, remained central in understanding Child A’s presentation and reinforced the urgency of securing a stable caregiving environment. Beyond attachment, however, other theoretical perspectives provide additional insight. Turney and Tanner (2001) highlight how chronic neglect often arises not only from isolated incidents but from cumulative, interrelated difficulties, such as those seen here with domestic abuse, substance misuse, and housing instability. This aligns with Child A’s experience of “drip-feed” harm, where persistent low-level concerns combine to create significant cumulative risk.</w:t>
      </w:r>
      <w:r>
        <w:rPr>
          <w:color w:val="auto"/>
          <w:sz w:val="24"/>
          <w:szCs w:val="24"/>
        </w:rPr>
        <w:t xml:space="preserve"> </w:t>
      </w:r>
      <w:r w:rsidRPr="00C25569">
        <w:rPr>
          <w:color w:val="auto"/>
          <w:sz w:val="24"/>
          <w:szCs w:val="24"/>
        </w:rPr>
        <w:t>Critical perspectives on risk also deepened my analysis. Parton (2014) argues that contemporary child protection practice often becomes overly risk-averse, focusing on parental deficits rather than recognising structural contributors to harm. In this case, while parental responsibility was clear, reflection on structural issues such as poverty, migration, and reduced community support highlighted that wider systemic factors compounded the risks to Child A. A purely deficit-based view of the parents would have obscured these dynamics. Instead, integrating a socio-ecological understanding (Bronfenbrenner, 1979) alongside critical perspectives allowed for a more balanced analysis.</w:t>
      </w:r>
    </w:p>
    <w:p w14:paraId="417E952D" w14:textId="77777777" w:rsidR="00C25569" w:rsidRPr="00C25569" w:rsidRDefault="00C25569" w:rsidP="00C25569">
      <w:pPr>
        <w:jc w:val="both"/>
        <w:rPr>
          <w:color w:val="auto"/>
          <w:sz w:val="24"/>
          <w:szCs w:val="24"/>
        </w:rPr>
      </w:pPr>
    </w:p>
    <w:p w14:paraId="44AA32B5" w14:textId="6925B2B6" w:rsidR="00C25569" w:rsidRPr="00C25569" w:rsidRDefault="00C25569" w:rsidP="00C25569">
      <w:pPr>
        <w:jc w:val="both"/>
        <w:rPr>
          <w:color w:val="auto"/>
          <w:sz w:val="24"/>
          <w:szCs w:val="24"/>
        </w:rPr>
      </w:pPr>
      <w:r w:rsidRPr="00C25569">
        <w:rPr>
          <w:color w:val="auto"/>
          <w:sz w:val="24"/>
          <w:szCs w:val="24"/>
        </w:rPr>
        <w:t xml:space="preserve">Professional curiosity was another theme underpinned by research. The Munro Review (2011) stresses that practitioners must look beyond surface explanations and avoid over-reliance on parental self-report. In this case, parental minimisation of domestic abuse and substance misuse </w:t>
      </w:r>
      <w:r w:rsidRPr="00C25569">
        <w:rPr>
          <w:color w:val="auto"/>
          <w:sz w:val="24"/>
          <w:szCs w:val="24"/>
        </w:rPr>
        <w:lastRenderedPageBreak/>
        <w:t>required a persistent, questioning stance, supported by triangulation of information from police, housing, and health professionals. This approach prevented drift and ensured that Child A’s lived experience remained at the centre of analysis, even when parents presented an alternative narrative.</w:t>
      </w:r>
      <w:r>
        <w:rPr>
          <w:color w:val="auto"/>
          <w:sz w:val="24"/>
          <w:szCs w:val="24"/>
        </w:rPr>
        <w:t xml:space="preserve"> </w:t>
      </w:r>
      <w:r w:rsidRPr="00C25569">
        <w:rPr>
          <w:color w:val="auto"/>
          <w:sz w:val="24"/>
          <w:szCs w:val="24"/>
        </w:rPr>
        <w:t>Resilience theory (Rutter, 1987; Ungar, 2011), considered earlier, emphasises the importance of protective factors in enabling children to overcome adversity. In Child A’s case, the near</w:t>
      </w:r>
      <w:r>
        <w:rPr>
          <w:color w:val="auto"/>
          <w:sz w:val="24"/>
          <w:szCs w:val="24"/>
        </w:rPr>
        <w:t xml:space="preserve"> </w:t>
      </w:r>
      <w:r w:rsidRPr="00C25569">
        <w:rPr>
          <w:color w:val="auto"/>
          <w:sz w:val="24"/>
          <w:szCs w:val="24"/>
        </w:rPr>
        <w:t>total absence of protective adults or community support highlighted why external intervention was necessary. Research on permanence further reinforced this conclusion. Beckett and McKeigue (2010) argue that children’s developmental timescales are often incompatible with the slower pace of parental change, particularly where difficulties are entrenched. For Child A, this created a strong rationale for prioritising stability through adoption.</w:t>
      </w:r>
    </w:p>
    <w:p w14:paraId="646B6B3D" w14:textId="77777777" w:rsidR="00C25569" w:rsidRPr="00D806FF" w:rsidRDefault="00C25569" w:rsidP="00D806FF">
      <w:pPr>
        <w:jc w:val="both"/>
        <w:rPr>
          <w:color w:val="auto"/>
          <w:sz w:val="24"/>
          <w:szCs w:val="24"/>
        </w:rPr>
      </w:pPr>
    </w:p>
    <w:p w14:paraId="61C50FB3" w14:textId="77777777" w:rsidR="004E1E48" w:rsidRPr="00D806FF" w:rsidRDefault="004E1E48" w:rsidP="00D806FF">
      <w:pPr>
        <w:jc w:val="both"/>
        <w:rPr>
          <w:color w:val="auto"/>
          <w:sz w:val="24"/>
          <w:szCs w:val="24"/>
        </w:rPr>
      </w:pPr>
    </w:p>
    <w:p w14:paraId="3C7AC07B" w14:textId="2B8A3F16" w:rsidR="00D806FF" w:rsidRDefault="00D806FF" w:rsidP="00D806FF">
      <w:pPr>
        <w:jc w:val="both"/>
        <w:rPr>
          <w:color w:val="auto"/>
          <w:sz w:val="24"/>
          <w:szCs w:val="24"/>
        </w:rPr>
      </w:pPr>
      <w:r w:rsidRPr="00D806FF">
        <w:rPr>
          <w:color w:val="auto"/>
          <w:sz w:val="24"/>
          <w:szCs w:val="24"/>
        </w:rPr>
        <w:t xml:space="preserve">Ultimately, </w:t>
      </w:r>
      <w:r w:rsidR="004E1E48">
        <w:rPr>
          <w:color w:val="auto"/>
          <w:sz w:val="24"/>
          <w:szCs w:val="24"/>
        </w:rPr>
        <w:t>the</w:t>
      </w:r>
      <w:r w:rsidRPr="00D806FF">
        <w:rPr>
          <w:color w:val="auto"/>
          <w:sz w:val="24"/>
          <w:szCs w:val="24"/>
        </w:rPr>
        <w:t xml:space="preserve"> professional judgment </w:t>
      </w:r>
      <w:r w:rsidR="004E1E48">
        <w:rPr>
          <w:color w:val="auto"/>
          <w:sz w:val="24"/>
          <w:szCs w:val="24"/>
        </w:rPr>
        <w:t xml:space="preserve">which was </w:t>
      </w:r>
      <w:r w:rsidRPr="00D806FF">
        <w:rPr>
          <w:color w:val="auto"/>
          <w:sz w:val="24"/>
          <w:szCs w:val="24"/>
        </w:rPr>
        <w:t>supported by supervision, multi-agency consultation, and legal oversight was that adoption offered the only viable route to secure permanence, stability, and safety within Child A’s timescale. This conclusion reflected both the Welsh commitment to children’s rights and the international principle of acting in the child’s best interests (UNCRC, 1989). For me, the case reinforced the necessity of integrating legislation, policy, research, and theory with reflective practice, while balancing empathy for parents’ circumstances with the professional responsibility to protect children from significant harm. It also highlighted the importance of critically engaging with the broader social and political context, including the impact of poverty, migration, and reduced EU funding on families’ lives.</w:t>
      </w:r>
      <w:r w:rsidR="004E1E48">
        <w:rPr>
          <w:color w:val="auto"/>
          <w:sz w:val="24"/>
          <w:szCs w:val="24"/>
        </w:rPr>
        <w:t xml:space="preserve"> </w:t>
      </w:r>
      <w:r w:rsidRPr="00D806FF">
        <w:rPr>
          <w:color w:val="auto"/>
          <w:sz w:val="24"/>
          <w:szCs w:val="24"/>
        </w:rPr>
        <w:t xml:space="preserve">In </w:t>
      </w:r>
      <w:r w:rsidR="004E1E48">
        <w:rPr>
          <w:color w:val="auto"/>
          <w:sz w:val="24"/>
          <w:szCs w:val="24"/>
        </w:rPr>
        <w:t>conclusion</w:t>
      </w:r>
      <w:r w:rsidRPr="00D806FF">
        <w:rPr>
          <w:color w:val="auto"/>
          <w:sz w:val="24"/>
          <w:szCs w:val="24"/>
        </w:rPr>
        <w:t>, this case has deepened my understanding of how to navigate increasingly complex safeguarding situations in Wales, demonstrating the value of reflective, evidence-based, and collaborative practice in ensuring that children’s rights to safety, stability, and well-being remain paramount.</w:t>
      </w:r>
    </w:p>
    <w:p w14:paraId="5AF6577B" w14:textId="77777777" w:rsidR="00132E16" w:rsidRDefault="00132E16" w:rsidP="00D806FF">
      <w:pPr>
        <w:jc w:val="both"/>
        <w:rPr>
          <w:color w:val="auto"/>
          <w:sz w:val="24"/>
          <w:szCs w:val="24"/>
        </w:rPr>
      </w:pPr>
    </w:p>
    <w:p w14:paraId="4C326498" w14:textId="590A4776" w:rsidR="00132E16" w:rsidRPr="00D806FF" w:rsidRDefault="00132E16" w:rsidP="00D806FF">
      <w:pPr>
        <w:jc w:val="both"/>
        <w:rPr>
          <w:color w:val="auto"/>
          <w:sz w:val="24"/>
          <w:szCs w:val="24"/>
        </w:rPr>
      </w:pPr>
      <w:r w:rsidRPr="00132E16">
        <w:rPr>
          <w:color w:val="auto"/>
          <w:sz w:val="24"/>
          <w:szCs w:val="24"/>
        </w:rPr>
        <w:t>From a reflective standpoint, this case highlighted the emotional and ethical complexity of safeguarding practice. I found it challenging to balance empathy for mother and father’s circumstances with the need to act decisively in Child A’s best interests. At times, I experienced frustration when parental minimisation undermined progress, and I noticed a pull towards professional optimism when either parent showed small signs of engagement. Supervision was crucial in helping me recognise these emotional responses, ensuring that I did not lose sight of the wider evidence of persistent risk. The Social Care Wales Code of Professional Practice (2017) emphasises honesty, accountability, and maintaining focus on the well-being of those we support. Reflective discussions allowed me to test my judgments against these standards and maintain a child-centred perspective. This process also reminded me of the importance of self-awareness in safeguarding: acknowledging the emotional impact of repeated exposure to conflict and denial, and using reflective space to avoid becoming desensitised to risk. In future practice, I will continue to prioritise reflective supervision as a tool for strengthening decision-making, ensuring that professional curiosity and a clear focus on the child’s lived experience remain at the heart of assessment and intervention.</w:t>
      </w:r>
    </w:p>
    <w:p w14:paraId="20989968" w14:textId="77777777" w:rsidR="00D806FF" w:rsidRDefault="00D806FF" w:rsidP="003B29BC">
      <w:pPr>
        <w:rPr>
          <w:color w:val="auto"/>
          <w:sz w:val="24"/>
          <w:szCs w:val="24"/>
        </w:rPr>
      </w:pPr>
    </w:p>
    <w:p w14:paraId="697D385C" w14:textId="502F6C2D" w:rsidR="00132E16" w:rsidRPr="003B29BC" w:rsidRDefault="00132E16" w:rsidP="00132E16">
      <w:pPr>
        <w:jc w:val="both"/>
        <w:rPr>
          <w:color w:val="auto"/>
          <w:sz w:val="24"/>
          <w:szCs w:val="24"/>
        </w:rPr>
      </w:pPr>
      <w:r w:rsidRPr="00132E16">
        <w:rPr>
          <w:color w:val="auto"/>
          <w:sz w:val="24"/>
          <w:szCs w:val="24"/>
        </w:rPr>
        <w:t xml:space="preserve">For my future practice, this case has reinforced several priorities. First, the importance of early professional challenge when parental minimisation is evident, as delays can entrench risk. Second, the value of tools such as motivational interviewing in encouraging parents to reflect on their behaviour, even when engagement is limited. Third, I intend to use resilience frameworks </w:t>
      </w:r>
      <w:r w:rsidRPr="00132E16">
        <w:rPr>
          <w:color w:val="auto"/>
          <w:sz w:val="24"/>
          <w:szCs w:val="24"/>
        </w:rPr>
        <w:lastRenderedPageBreak/>
        <w:t>more actively in assessment to evidence not only risks but also the absence of protective factors. Finally, I will continue to use reflective supervision to process the emotional demands of safeguarding work, ensuring that I remain balanced, curious, and focused on the child’s lived experience.</w:t>
      </w:r>
      <w:r>
        <w:rPr>
          <w:color w:val="auto"/>
          <w:sz w:val="24"/>
          <w:szCs w:val="24"/>
        </w:rPr>
        <w:t xml:space="preserve"> (4371 words)</w:t>
      </w:r>
    </w:p>
    <w:sectPr w:rsidR="00132E16"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24A06" w14:textId="77777777" w:rsidR="005C6B49" w:rsidRDefault="005C6B49">
      <w:r>
        <w:separator/>
      </w:r>
    </w:p>
  </w:endnote>
  <w:endnote w:type="continuationSeparator" w:id="0">
    <w:p w14:paraId="746EDB73" w14:textId="77777777" w:rsidR="005C6B49" w:rsidRDefault="005C6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7DE64" w14:textId="77777777" w:rsidR="005C6B49" w:rsidRDefault="005C6B49">
      <w:r>
        <w:separator/>
      </w:r>
    </w:p>
  </w:footnote>
  <w:footnote w:type="continuationSeparator" w:id="0">
    <w:p w14:paraId="42689AD2" w14:textId="77777777" w:rsidR="005C6B49" w:rsidRDefault="005C6B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141E5"/>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2E16"/>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1E48"/>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468"/>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B49"/>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8BF"/>
    <w:rsid w:val="00713B7E"/>
    <w:rsid w:val="0072678F"/>
    <w:rsid w:val="007276E5"/>
    <w:rsid w:val="00727C4C"/>
    <w:rsid w:val="00734809"/>
    <w:rsid w:val="0073714E"/>
    <w:rsid w:val="007374EF"/>
    <w:rsid w:val="00737AD0"/>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0C2"/>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5569"/>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32"/>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06FF"/>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19CD"/>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C8353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C8353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7B70C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11</Pages>
  <Words>4871</Words>
  <Characters>27771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Frost</cp:lastModifiedBy>
  <cp:revision>3</cp:revision>
  <cp:lastPrinted>2020-02-11T19:20:00Z</cp:lastPrinted>
  <dcterms:created xsi:type="dcterms:W3CDTF">2025-09-23T14:55:00Z</dcterms:created>
  <dcterms:modified xsi:type="dcterms:W3CDTF">2025-09-23T16:22:00Z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