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2530548E" w:rsidR="006A543A" w:rsidRPr="00D96A1C" w:rsidRDefault="00462660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Dawe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40BBA520" w:rsidR="006A543A" w:rsidRPr="00D96A1C" w:rsidRDefault="002178C9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What Proven Methods can be Implemented to Increase Player Engagement?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14C8C97B" w:rsidR="006A543A" w:rsidRPr="00D96A1C" w:rsidRDefault="002178C9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5A50CECA" w:rsidR="006A543A" w:rsidRPr="00D96A1C" w:rsidRDefault="002178C9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24281157" w:rsidR="00DD55E3" w:rsidRPr="00D96A1C" w:rsidRDefault="00FE20BC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31B25358" w:rsidR="00DD55E3" w:rsidRPr="00D96A1C" w:rsidRDefault="00F61E3D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383D8C85" w:rsidR="00DD55E3" w:rsidRPr="00D96A1C" w:rsidRDefault="0065478B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7A64A92F" w:rsidR="00DD55E3" w:rsidRPr="00D96A1C" w:rsidRDefault="0070220D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6A6AB593" w:rsidR="00DD55E3" w:rsidRPr="00D96A1C" w:rsidRDefault="0070220D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71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65B3248D" w:rsidR="004E382F" w:rsidRPr="006D1438" w:rsidRDefault="006B1B31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1. Engagement with Literature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FE20BC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14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/20)</w:t>
            </w:r>
          </w:p>
          <w:p w14:paraId="03ADE47D" w14:textId="64BD8CDE" w:rsidR="00E52BF2" w:rsidRDefault="007065D6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References to research </w:t>
            </w:r>
            <w:r w:rsidR="00441550">
              <w:rPr>
                <w:rFonts w:asciiTheme="minorHAnsi" w:hAnsiTheme="minorHAnsi"/>
                <w:color w:val="000000" w:themeColor="text1"/>
                <w:lang w:val="en-US"/>
              </w:rPr>
              <w:t>are included in the work and adhere to IEEE formatting</w:t>
            </w:r>
            <w:r w:rsidR="00F90E60">
              <w:rPr>
                <w:rFonts w:asciiTheme="minorHAnsi" w:hAnsiTheme="minorHAnsi"/>
                <w:color w:val="000000" w:themeColor="text1"/>
                <w:lang w:val="en-US"/>
              </w:rPr>
              <w:t xml:space="preserve"> which is good to see.</w:t>
            </w:r>
          </w:p>
          <w:p w14:paraId="55F5805C" w14:textId="77777777" w:rsidR="00E52BF2" w:rsidRDefault="00E52BF2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493BA63" w14:textId="4C5825E4" w:rsidR="00E52BF2" w:rsidRDefault="00E52BF2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A good range of research has been presented in the work, with </w:t>
            </w:r>
            <w:r w:rsidR="00BD7C14">
              <w:rPr>
                <w:rFonts w:asciiTheme="minorHAnsi" w:hAnsiTheme="minorHAnsi"/>
                <w:color w:val="000000" w:themeColor="text1"/>
                <w:lang w:val="en-US"/>
              </w:rPr>
              <w:t>references used throughout from a range of sources.</w:t>
            </w:r>
          </w:p>
          <w:p w14:paraId="69D1D38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EF50B9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248E235F" w:rsidR="004E382F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2. Knowledge and Understanding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65478B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20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/30)</w:t>
            </w:r>
          </w:p>
          <w:p w14:paraId="2BF240DF" w14:textId="03B95B7E" w:rsidR="0029052B" w:rsidRDefault="00696BFE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Knowledge of different</w:t>
            </w:r>
            <w:r w:rsidR="00CD0953">
              <w:rPr>
                <w:rFonts w:asciiTheme="minorHAnsi" w:hAnsiTheme="minorHAnsi"/>
                <w:color w:val="000000" w:themeColor="text1"/>
                <w:lang w:val="en-US"/>
              </w:rPr>
              <w:t xml:space="preserve"> motivations for players </w:t>
            </w:r>
            <w:r w:rsidR="00652FA2">
              <w:rPr>
                <w:rFonts w:asciiTheme="minorHAnsi" w:hAnsiTheme="minorHAnsi"/>
                <w:color w:val="000000" w:themeColor="text1"/>
                <w:lang w:val="en-US"/>
              </w:rPr>
              <w:t>i</w:t>
            </w:r>
            <w:r w:rsidR="00CD0953">
              <w:rPr>
                <w:rFonts w:asciiTheme="minorHAnsi" w:hAnsiTheme="minorHAnsi"/>
                <w:color w:val="000000" w:themeColor="text1"/>
                <w:lang w:val="en-US"/>
              </w:rPr>
              <w:t>s contained in the literature review. This includes a short description</w:t>
            </w:r>
            <w:r w:rsidR="00DD3C6D">
              <w:rPr>
                <w:rFonts w:asciiTheme="minorHAnsi" w:hAnsiTheme="minorHAnsi"/>
                <w:color w:val="000000" w:themeColor="text1"/>
                <w:lang w:val="en-US"/>
              </w:rPr>
              <w:t xml:space="preserve"> </w:t>
            </w:r>
            <w:r w:rsidR="00FE08C7">
              <w:rPr>
                <w:rFonts w:asciiTheme="minorHAnsi" w:hAnsiTheme="minorHAnsi"/>
                <w:color w:val="000000" w:themeColor="text1"/>
                <w:lang w:val="en-US"/>
              </w:rPr>
              <w:t>on each, providing useful context. Goo</w:t>
            </w:r>
            <w:r w:rsidR="0019629C">
              <w:rPr>
                <w:rFonts w:asciiTheme="minorHAnsi" w:hAnsiTheme="minorHAnsi"/>
                <w:color w:val="000000" w:themeColor="text1"/>
                <w:lang w:val="en-US"/>
              </w:rPr>
              <w:t>d work.</w:t>
            </w:r>
          </w:p>
          <w:p w14:paraId="2D8EE02F" w14:textId="77777777" w:rsidR="0019629C" w:rsidRDefault="0019629C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45427C0" w14:textId="5019EFE4" w:rsidR="0019629C" w:rsidRDefault="0019629C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Understanding of pacing and variety in environmental desig</w:t>
            </w:r>
            <w:r w:rsidR="00DD6B3E">
              <w:rPr>
                <w:rFonts w:asciiTheme="minorHAnsi" w:hAnsiTheme="minorHAnsi"/>
                <w:color w:val="000000" w:themeColor="text1"/>
                <w:lang w:val="en-US"/>
              </w:rPr>
              <w:t xml:space="preserve">n being necessary is also </w:t>
            </w:r>
            <w:r w:rsidR="00145D65">
              <w:rPr>
                <w:rFonts w:asciiTheme="minorHAnsi" w:hAnsiTheme="minorHAnsi"/>
                <w:color w:val="000000" w:themeColor="text1"/>
                <w:lang w:val="en-US"/>
              </w:rPr>
              <w:t xml:space="preserve">displayed in the work with consequences </w:t>
            </w:r>
            <w:r w:rsidR="006D4B16">
              <w:rPr>
                <w:rFonts w:asciiTheme="minorHAnsi" w:hAnsiTheme="minorHAnsi"/>
                <w:color w:val="000000" w:themeColor="text1"/>
                <w:lang w:val="en-US"/>
              </w:rPr>
              <w:t>described where a lack of this knowledge</w:t>
            </w:r>
            <w:r w:rsidR="00517EA7">
              <w:rPr>
                <w:rFonts w:asciiTheme="minorHAnsi" w:hAnsiTheme="minorHAnsi"/>
                <w:color w:val="000000" w:themeColor="text1"/>
                <w:lang w:val="en-US"/>
              </w:rPr>
              <w:t xml:space="preserve"> is applied in games.</w:t>
            </w:r>
          </w:p>
          <w:p w14:paraId="6E69ABD6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96B1E4C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4244778" w14:textId="30B0EDDD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3. Cognitive and Intellectual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65478B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19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/25)</w:t>
            </w:r>
          </w:p>
          <w:p w14:paraId="7EB54760" w14:textId="14DB8CBB" w:rsidR="0029052B" w:rsidRDefault="000E37A2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Data has been obtained and measured in the </w:t>
            </w:r>
            <w:r w:rsidR="001A47BF">
              <w:rPr>
                <w:rFonts w:asciiTheme="minorHAnsi" w:hAnsiTheme="minorHAnsi"/>
                <w:color w:val="000000" w:themeColor="text1"/>
                <w:lang w:val="en-US"/>
              </w:rPr>
              <w:t>Literature review</w:t>
            </w:r>
            <w:r w:rsidR="00DD3C6D">
              <w:rPr>
                <w:rFonts w:asciiTheme="minorHAnsi" w:hAnsiTheme="minorHAnsi"/>
                <w:color w:val="000000" w:themeColor="text1"/>
                <w:lang w:val="en-US"/>
              </w:rPr>
              <w:t>, showing evidence of analytical thinking.</w:t>
            </w:r>
            <w:r w:rsidR="005C4F71">
              <w:rPr>
                <w:rFonts w:asciiTheme="minorHAnsi" w:hAnsiTheme="minorHAnsi"/>
                <w:color w:val="000000" w:themeColor="text1"/>
                <w:lang w:val="en-US"/>
              </w:rPr>
              <w:t xml:space="preserve"> As</w:t>
            </w:r>
            <w:r w:rsidR="00EF52C3">
              <w:rPr>
                <w:rFonts w:asciiTheme="minorHAnsi" w:hAnsiTheme="minorHAnsi"/>
                <w:color w:val="000000" w:themeColor="text1"/>
                <w:lang w:val="en-US"/>
              </w:rPr>
              <w:t xml:space="preserve"> </w:t>
            </w:r>
            <w:r w:rsidR="005C4F71">
              <w:rPr>
                <w:rFonts w:asciiTheme="minorHAnsi" w:hAnsiTheme="minorHAnsi"/>
                <w:color w:val="000000" w:themeColor="text1"/>
                <w:lang w:val="en-US"/>
              </w:rPr>
              <w:t>a result, adaptions to the tes</w:t>
            </w:r>
            <w:r w:rsidR="00EF52C3">
              <w:rPr>
                <w:rFonts w:asciiTheme="minorHAnsi" w:hAnsiTheme="minorHAnsi"/>
                <w:color w:val="000000" w:themeColor="text1"/>
                <w:lang w:val="en-US"/>
              </w:rPr>
              <w:t>ts conducted have been considered.</w:t>
            </w:r>
          </w:p>
          <w:p w14:paraId="7C8FBC10" w14:textId="77777777" w:rsidR="00F916E5" w:rsidRDefault="00F916E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7FA25EB" w14:textId="5EEC0ED4" w:rsidR="00F916E5" w:rsidRDefault="00F916E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Analysis of </w:t>
            </w:r>
            <w:r w:rsidR="00B8559F">
              <w:rPr>
                <w:rFonts w:asciiTheme="minorHAnsi" w:hAnsiTheme="minorHAnsi"/>
                <w:color w:val="000000" w:themeColor="text1"/>
                <w:lang w:val="en-US"/>
              </w:rPr>
              <w:t>game appeal is conducted using the different categories</w:t>
            </w:r>
            <w:r w:rsidR="00633F18">
              <w:rPr>
                <w:rFonts w:asciiTheme="minorHAnsi" w:hAnsiTheme="minorHAnsi"/>
                <w:color w:val="000000" w:themeColor="text1"/>
                <w:lang w:val="en-US"/>
              </w:rPr>
              <w:t xml:space="preserve"> of players in relation to engagement. This is </w:t>
            </w:r>
            <w:r w:rsidR="00C772D4">
              <w:rPr>
                <w:rFonts w:asciiTheme="minorHAnsi" w:hAnsiTheme="minorHAnsi"/>
                <w:color w:val="000000" w:themeColor="text1"/>
                <w:lang w:val="en-US"/>
              </w:rPr>
              <w:t>an example of applying research to your studies – good work.</w:t>
            </w:r>
          </w:p>
          <w:p w14:paraId="6EE6525D" w14:textId="77777777" w:rsidR="00C00243" w:rsidRDefault="00C0024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C189037" w14:textId="21F64325" w:rsidR="00C00243" w:rsidRDefault="00C0024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Four case studies are </w:t>
            </w:r>
            <w:r w:rsidR="000935A7">
              <w:rPr>
                <w:rFonts w:asciiTheme="minorHAnsi" w:hAnsiTheme="minorHAnsi"/>
                <w:color w:val="000000" w:themeColor="text1"/>
                <w:lang w:val="en-US"/>
              </w:rPr>
              <w:t>presented in the work which are concise and provide comparisons</w:t>
            </w:r>
            <w:r w:rsidR="006D30F2">
              <w:rPr>
                <w:rFonts w:asciiTheme="minorHAnsi" w:hAnsiTheme="minorHAnsi"/>
                <w:color w:val="000000" w:themeColor="text1"/>
                <w:lang w:val="en-US"/>
              </w:rPr>
              <w:t xml:space="preserve"> between play style</w:t>
            </w:r>
            <w:r w:rsidR="006A1199">
              <w:rPr>
                <w:rFonts w:asciiTheme="minorHAnsi" w:hAnsiTheme="minorHAnsi"/>
                <w:color w:val="000000" w:themeColor="text1"/>
                <w:lang w:val="en-US"/>
              </w:rPr>
              <w:t xml:space="preserve"> and</w:t>
            </w:r>
            <w:r w:rsidR="006D30F2">
              <w:rPr>
                <w:rFonts w:asciiTheme="minorHAnsi" w:hAnsiTheme="minorHAnsi"/>
                <w:color w:val="000000" w:themeColor="text1"/>
                <w:lang w:val="en-US"/>
              </w:rPr>
              <w:t xml:space="preserve"> engagement </w:t>
            </w:r>
            <w:r w:rsidR="004E14D9">
              <w:rPr>
                <w:rFonts w:asciiTheme="minorHAnsi" w:hAnsiTheme="minorHAnsi"/>
                <w:color w:val="000000" w:themeColor="text1"/>
                <w:lang w:val="en-US"/>
              </w:rPr>
              <w:t>type</w:t>
            </w:r>
            <w:r w:rsidR="000536CA">
              <w:rPr>
                <w:rFonts w:asciiTheme="minorHAnsi" w:hAnsiTheme="minorHAnsi"/>
                <w:color w:val="000000" w:themeColor="text1"/>
                <w:lang w:val="en-US"/>
              </w:rPr>
              <w:t>, linking in with the research conducted in earlier chapters.</w:t>
            </w:r>
          </w:p>
          <w:p w14:paraId="1BC83C24" w14:textId="77777777" w:rsidR="006A1199" w:rsidRDefault="006A1199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0D76734" w14:textId="07D4B06B" w:rsidR="007164F9" w:rsidRDefault="007164F9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Justification for toolsets used </w:t>
            </w:r>
            <w:r w:rsidR="00002952">
              <w:rPr>
                <w:rFonts w:asciiTheme="minorHAnsi" w:hAnsiTheme="minorHAnsi"/>
                <w:color w:val="000000" w:themeColor="text1"/>
                <w:lang w:val="en-US"/>
              </w:rPr>
              <w:t xml:space="preserve">in the practical work </w:t>
            </w:r>
            <w:r>
              <w:rPr>
                <w:rFonts w:asciiTheme="minorHAnsi" w:hAnsiTheme="minorHAnsi"/>
                <w:color w:val="000000" w:themeColor="text1"/>
                <w:lang w:val="en-US"/>
              </w:rPr>
              <w:t>goes beyond economical factors</w:t>
            </w:r>
            <w:r w:rsidR="00FF3CEC">
              <w:rPr>
                <w:rFonts w:asciiTheme="minorHAnsi" w:hAnsiTheme="minorHAnsi"/>
                <w:color w:val="000000" w:themeColor="text1"/>
                <w:lang w:val="en-US"/>
              </w:rPr>
              <w:t xml:space="preserve"> and </w:t>
            </w:r>
            <w:r w:rsidR="00002952">
              <w:rPr>
                <w:rFonts w:asciiTheme="minorHAnsi" w:hAnsiTheme="minorHAnsi"/>
                <w:color w:val="000000" w:themeColor="text1"/>
                <w:lang w:val="en-US"/>
              </w:rPr>
              <w:t>reasons are given based in compatibility and expertise as well.</w:t>
            </w:r>
          </w:p>
          <w:p w14:paraId="58A24185" w14:textId="77777777" w:rsidR="006A1199" w:rsidRDefault="006A1199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81852A6" w14:textId="6F960C01" w:rsidR="006A1199" w:rsidRDefault="000A052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A good analysis of Godot’s performance, optimization and </w:t>
            </w:r>
            <w:r w:rsidR="00942983">
              <w:rPr>
                <w:rFonts w:asciiTheme="minorHAnsi" w:hAnsiTheme="minorHAnsi"/>
                <w:color w:val="000000" w:themeColor="text1"/>
                <w:lang w:val="en-US"/>
              </w:rPr>
              <w:t>challenges faced with production of the practical work has been presented. Compromises have been made to</w:t>
            </w:r>
            <w:r w:rsidR="00865FA7">
              <w:rPr>
                <w:rFonts w:asciiTheme="minorHAnsi" w:hAnsiTheme="minorHAnsi"/>
                <w:color w:val="000000" w:themeColor="text1"/>
                <w:lang w:val="en-US"/>
              </w:rPr>
              <w:t xml:space="preserve"> meet the project objectives.</w:t>
            </w:r>
          </w:p>
          <w:p w14:paraId="755A9DA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F0A2BDF" w14:textId="05488C1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4. Practical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(n/a)</w:t>
            </w:r>
          </w:p>
          <w:p w14:paraId="00AEFE46" w14:textId="6B858D41" w:rsidR="0029052B" w:rsidRPr="0029052B" w:rsidRDefault="0029052B">
            <w:pPr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</w:pPr>
            <w:r w:rsidRPr="0029052B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Criteria not assessed as part of this submission</w:t>
            </w:r>
          </w:p>
          <w:p w14:paraId="3E01192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76AB5F1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35ABB6A" w14:textId="778D0CEC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5. Transferable Skills for Life and Professional Practice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</w:t>
            </w:r>
            <w:r w:rsidR="006B1EE2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18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/25)</w:t>
            </w:r>
          </w:p>
          <w:p w14:paraId="3CF798E8" w14:textId="3667B4EF" w:rsidR="0029052B" w:rsidRDefault="001C1E7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Layout of the report is professional and of a high academic standard</w:t>
            </w:r>
            <w:r w:rsidR="008F698C">
              <w:rPr>
                <w:rFonts w:asciiTheme="minorHAnsi" w:hAnsiTheme="minorHAnsi"/>
                <w:color w:val="000000" w:themeColor="text1"/>
                <w:lang w:val="en-US"/>
              </w:rPr>
              <w:t>, with appropriate formatting and content.</w:t>
            </w:r>
          </w:p>
          <w:p w14:paraId="145A8343" w14:textId="77777777" w:rsidR="00EE231F" w:rsidRDefault="00EE231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D39281D" w14:textId="249116F0" w:rsidR="00EE231F" w:rsidRDefault="00EE231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Introduction provides clarification on academic terms which is good to see, though this could benefit from havi</w:t>
            </w:r>
            <w:r w:rsidR="00631974">
              <w:rPr>
                <w:rFonts w:asciiTheme="minorHAnsi" w:hAnsiTheme="minorHAnsi"/>
                <w:color w:val="000000" w:themeColor="text1"/>
                <w:lang w:val="en-US"/>
              </w:rPr>
              <w:t>ng more of an overview of what the report will cover.</w:t>
            </w:r>
          </w:p>
          <w:p w14:paraId="200B427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51C8635" w14:textId="39D217A6" w:rsidR="0029052B" w:rsidRDefault="00134CF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Use of project management methods such as developing a project Gantt Chart have been</w:t>
            </w:r>
            <w:r w:rsidR="004C50FA">
              <w:rPr>
                <w:rFonts w:asciiTheme="minorHAnsi" w:hAnsiTheme="minorHAnsi"/>
                <w:color w:val="000000" w:themeColor="text1"/>
                <w:lang w:val="en-US"/>
              </w:rPr>
              <w:t xml:space="preserve"> included in the work and an evaluation has been provided of how this has helped</w:t>
            </w:r>
            <w:r w:rsidR="0026108E">
              <w:rPr>
                <w:rFonts w:asciiTheme="minorHAnsi" w:hAnsiTheme="minorHAnsi"/>
                <w:color w:val="000000" w:themeColor="text1"/>
                <w:lang w:val="en-US"/>
              </w:rPr>
              <w:t xml:space="preserve"> with development.</w:t>
            </w: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0B14C" w14:textId="77777777" w:rsidR="00F03CF3" w:rsidRDefault="00F03CF3" w:rsidP="00E02F7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6176B79" w14:textId="39F051D8" w:rsidR="004E382F" w:rsidRDefault="002F6A33" w:rsidP="00E02F7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71</w:t>
            </w: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6B819C7" w14:textId="77777777" w:rsidR="00F23B10" w:rsidRDefault="00F23B1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76E6347" w14:textId="77777777" w:rsidR="00F23B10" w:rsidRDefault="00F23B10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A83A726" w14:textId="77777777" w:rsidR="00F23B10" w:rsidRDefault="00F23B10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7FE9935" w14:textId="77777777" w:rsidR="00EB749F" w:rsidRDefault="00EB749F" w:rsidP="00E02F7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D848342" w14:textId="350395C4" w:rsidR="004E382F" w:rsidRDefault="004E382F" w:rsidP="00E02F7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4F43BCB2" w14:textId="77777777" w:rsidR="004E382F" w:rsidRDefault="004E382F" w:rsidP="00E02F71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E99BDC4" w14:textId="5A7E3EA8" w:rsidR="008A09A6" w:rsidRPr="00E02F71" w:rsidRDefault="008A09A6" w:rsidP="00E02F71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2C8B0F81" w:rsidR="008B4891" w:rsidRDefault="00A779B9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1DF0660C" w:rsidR="008B4891" w:rsidRDefault="00A779B9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7/5/25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8E4389" w14:textId="77777777" w:rsidR="005070E7" w:rsidRDefault="005070E7" w:rsidP="00D316D2">
      <w:r>
        <w:separator/>
      </w:r>
    </w:p>
  </w:endnote>
  <w:endnote w:type="continuationSeparator" w:id="0">
    <w:p w14:paraId="42409764" w14:textId="77777777" w:rsidR="005070E7" w:rsidRDefault="005070E7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B6D347" w14:textId="77777777" w:rsidR="005070E7" w:rsidRDefault="005070E7" w:rsidP="00D316D2">
      <w:r>
        <w:separator/>
      </w:r>
    </w:p>
  </w:footnote>
  <w:footnote w:type="continuationSeparator" w:id="0">
    <w:p w14:paraId="4ED38070" w14:textId="77777777" w:rsidR="005070E7" w:rsidRDefault="005070E7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02952"/>
    <w:rsid w:val="000536CA"/>
    <w:rsid w:val="000935A7"/>
    <w:rsid w:val="000A0523"/>
    <w:rsid w:val="000E37A2"/>
    <w:rsid w:val="00111485"/>
    <w:rsid w:val="00125730"/>
    <w:rsid w:val="00134CF8"/>
    <w:rsid w:val="00145D65"/>
    <w:rsid w:val="00170673"/>
    <w:rsid w:val="00175257"/>
    <w:rsid w:val="0019629C"/>
    <w:rsid w:val="001A4209"/>
    <w:rsid w:val="001A47BF"/>
    <w:rsid w:val="001A7276"/>
    <w:rsid w:val="001C1E7B"/>
    <w:rsid w:val="001D0DDD"/>
    <w:rsid w:val="001F5131"/>
    <w:rsid w:val="002071E2"/>
    <w:rsid w:val="00210C59"/>
    <w:rsid w:val="002178C9"/>
    <w:rsid w:val="00242112"/>
    <w:rsid w:val="00253402"/>
    <w:rsid w:val="0026108E"/>
    <w:rsid w:val="0029052B"/>
    <w:rsid w:val="002D3179"/>
    <w:rsid w:val="002F6A33"/>
    <w:rsid w:val="00370C70"/>
    <w:rsid w:val="003F049D"/>
    <w:rsid w:val="00441550"/>
    <w:rsid w:val="00462660"/>
    <w:rsid w:val="00465AA7"/>
    <w:rsid w:val="00497493"/>
    <w:rsid w:val="004C50FA"/>
    <w:rsid w:val="004C73F8"/>
    <w:rsid w:val="004E14D9"/>
    <w:rsid w:val="004E382F"/>
    <w:rsid w:val="005070E7"/>
    <w:rsid w:val="00517EA7"/>
    <w:rsid w:val="0053024D"/>
    <w:rsid w:val="005A54B0"/>
    <w:rsid w:val="005C4F71"/>
    <w:rsid w:val="005F1F5C"/>
    <w:rsid w:val="00631974"/>
    <w:rsid w:val="00633F18"/>
    <w:rsid w:val="006363DD"/>
    <w:rsid w:val="00647A98"/>
    <w:rsid w:val="00652FA2"/>
    <w:rsid w:val="006530D2"/>
    <w:rsid w:val="0065478B"/>
    <w:rsid w:val="00657FEF"/>
    <w:rsid w:val="006645F5"/>
    <w:rsid w:val="00692C0F"/>
    <w:rsid w:val="00696BFE"/>
    <w:rsid w:val="006A1199"/>
    <w:rsid w:val="006A543A"/>
    <w:rsid w:val="006B1B31"/>
    <w:rsid w:val="006B1EE2"/>
    <w:rsid w:val="006D1438"/>
    <w:rsid w:val="006D30F2"/>
    <w:rsid w:val="006D4B16"/>
    <w:rsid w:val="0070220D"/>
    <w:rsid w:val="007065D6"/>
    <w:rsid w:val="007164F9"/>
    <w:rsid w:val="00716B31"/>
    <w:rsid w:val="00752F51"/>
    <w:rsid w:val="00777F92"/>
    <w:rsid w:val="007940D5"/>
    <w:rsid w:val="007E5203"/>
    <w:rsid w:val="007E6CE0"/>
    <w:rsid w:val="008575BA"/>
    <w:rsid w:val="00865FA7"/>
    <w:rsid w:val="00866E85"/>
    <w:rsid w:val="0087276A"/>
    <w:rsid w:val="0087285F"/>
    <w:rsid w:val="00882D77"/>
    <w:rsid w:val="008847D8"/>
    <w:rsid w:val="008A09A6"/>
    <w:rsid w:val="008B05C1"/>
    <w:rsid w:val="008B4891"/>
    <w:rsid w:val="008D4A65"/>
    <w:rsid w:val="008F698C"/>
    <w:rsid w:val="00942983"/>
    <w:rsid w:val="0095363C"/>
    <w:rsid w:val="00996729"/>
    <w:rsid w:val="009A1551"/>
    <w:rsid w:val="009F37CB"/>
    <w:rsid w:val="00A12820"/>
    <w:rsid w:val="00A151E5"/>
    <w:rsid w:val="00A736BA"/>
    <w:rsid w:val="00A779B9"/>
    <w:rsid w:val="00AB34FE"/>
    <w:rsid w:val="00AC6617"/>
    <w:rsid w:val="00B572CD"/>
    <w:rsid w:val="00B8559F"/>
    <w:rsid w:val="00BC1053"/>
    <w:rsid w:val="00BD7C14"/>
    <w:rsid w:val="00BD7FFC"/>
    <w:rsid w:val="00C00243"/>
    <w:rsid w:val="00C423F9"/>
    <w:rsid w:val="00C60A27"/>
    <w:rsid w:val="00C772D4"/>
    <w:rsid w:val="00CC4C41"/>
    <w:rsid w:val="00CD0953"/>
    <w:rsid w:val="00CD2262"/>
    <w:rsid w:val="00CF3983"/>
    <w:rsid w:val="00D316D2"/>
    <w:rsid w:val="00D420B9"/>
    <w:rsid w:val="00D50967"/>
    <w:rsid w:val="00D70634"/>
    <w:rsid w:val="00D774CF"/>
    <w:rsid w:val="00D87BAB"/>
    <w:rsid w:val="00D96A1C"/>
    <w:rsid w:val="00DA6881"/>
    <w:rsid w:val="00DD3C6D"/>
    <w:rsid w:val="00DD55E3"/>
    <w:rsid w:val="00DD6B3E"/>
    <w:rsid w:val="00DF48EA"/>
    <w:rsid w:val="00E02F71"/>
    <w:rsid w:val="00E03544"/>
    <w:rsid w:val="00E41754"/>
    <w:rsid w:val="00E52BF2"/>
    <w:rsid w:val="00EB749F"/>
    <w:rsid w:val="00EE231F"/>
    <w:rsid w:val="00EF52C3"/>
    <w:rsid w:val="00F03CF3"/>
    <w:rsid w:val="00F14758"/>
    <w:rsid w:val="00F23B10"/>
    <w:rsid w:val="00F61E3D"/>
    <w:rsid w:val="00F66A81"/>
    <w:rsid w:val="00F66DA8"/>
    <w:rsid w:val="00F74E23"/>
    <w:rsid w:val="00F826EF"/>
    <w:rsid w:val="00F90E60"/>
    <w:rsid w:val="00F916E5"/>
    <w:rsid w:val="00FA19E4"/>
    <w:rsid w:val="00FE08C7"/>
    <w:rsid w:val="00FE20BC"/>
    <w:rsid w:val="00FF3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07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5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724</Words>
  <Characters>4131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78</cp:revision>
  <cp:lastPrinted>2013-09-25T13:21:00Z</cp:lastPrinted>
  <dcterms:created xsi:type="dcterms:W3CDTF">2021-04-12T13:35:00Z</dcterms:created>
  <dcterms:modified xsi:type="dcterms:W3CDTF">2025-05-28T09:53:00Z</dcterms:modified>
</cp:coreProperties>
</file>