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146A" w:rsidRDefault="007D049C" w:rsidP="00384CBB">
      <w:pPr>
        <w:jc w:val="both"/>
        <w:rPr>
          <w:rFonts w:ascii="Times New Roman" w:hAnsi="Times New Roman" w:cs="Times New Roman"/>
          <w:b/>
          <w:sz w:val="24"/>
          <w:u w:val="single"/>
        </w:rPr>
      </w:pPr>
      <w:r w:rsidRPr="007D049C">
        <w:rPr>
          <w:rFonts w:ascii="Times New Roman" w:hAnsi="Times New Roman" w:cs="Times New Roman"/>
          <w:b/>
          <w:sz w:val="24"/>
          <w:u w:val="single"/>
        </w:rPr>
        <w:t>How significant were the effects of the Black Death on medieval religion and culture?</w:t>
      </w:r>
    </w:p>
    <w:p w:rsidR="0026490A" w:rsidRDefault="0026490A" w:rsidP="00384CBB">
      <w:pPr>
        <w:jc w:val="both"/>
        <w:rPr>
          <w:rFonts w:ascii="Times New Roman" w:hAnsi="Times New Roman" w:cs="Times New Roman"/>
          <w:b/>
          <w:sz w:val="24"/>
          <w:u w:val="single"/>
        </w:rPr>
      </w:pPr>
    </w:p>
    <w:p w:rsidR="0026490A" w:rsidRDefault="0026490A" w:rsidP="00384CBB">
      <w:pPr>
        <w:spacing w:line="360" w:lineRule="auto"/>
        <w:jc w:val="both"/>
        <w:rPr>
          <w:rFonts w:ascii="Times New Roman" w:hAnsi="Times New Roman" w:cs="Times New Roman"/>
          <w:sz w:val="24"/>
        </w:rPr>
      </w:pPr>
      <w:r>
        <w:rPr>
          <w:rFonts w:ascii="Times New Roman" w:hAnsi="Times New Roman" w:cs="Times New Roman"/>
          <w:sz w:val="24"/>
        </w:rPr>
        <w:tab/>
        <w:t xml:space="preserve">The Black Death had profound effects on the </w:t>
      </w:r>
      <w:r w:rsidR="00F70502">
        <w:rPr>
          <w:rFonts w:ascii="Times New Roman" w:hAnsi="Times New Roman" w:cs="Times New Roman"/>
          <w:sz w:val="24"/>
        </w:rPr>
        <w:t>economic</w:t>
      </w:r>
      <w:r>
        <w:rPr>
          <w:rFonts w:ascii="Times New Roman" w:hAnsi="Times New Roman" w:cs="Times New Roman"/>
          <w:sz w:val="24"/>
        </w:rPr>
        <w:t>, social and religious spheres of European culture during the fourteenth centur</w:t>
      </w:r>
      <w:r w:rsidR="002C61ED">
        <w:rPr>
          <w:rFonts w:ascii="Times New Roman" w:hAnsi="Times New Roman" w:cs="Times New Roman"/>
          <w:sz w:val="24"/>
        </w:rPr>
        <w:t xml:space="preserve">y. </w:t>
      </w:r>
      <w:r>
        <w:rPr>
          <w:rFonts w:ascii="Times New Roman" w:hAnsi="Times New Roman" w:cs="Times New Roman"/>
          <w:sz w:val="24"/>
        </w:rPr>
        <w:t xml:space="preserve">The unrelenting disease was too aggressive for a society with a medical understanding that had not matured well enough </w:t>
      </w:r>
      <w:r w:rsidR="00665B50">
        <w:rPr>
          <w:rFonts w:ascii="Times New Roman" w:hAnsi="Times New Roman" w:cs="Times New Roman"/>
          <w:sz w:val="24"/>
        </w:rPr>
        <w:t xml:space="preserve">to treat such </w:t>
      </w:r>
      <w:r>
        <w:rPr>
          <w:rFonts w:ascii="Times New Roman" w:hAnsi="Times New Roman" w:cs="Times New Roman"/>
          <w:sz w:val="24"/>
        </w:rPr>
        <w:t xml:space="preserve">a pestilence. </w:t>
      </w:r>
      <w:r w:rsidR="00665B50">
        <w:rPr>
          <w:rFonts w:ascii="Times New Roman" w:hAnsi="Times New Roman" w:cs="Times New Roman"/>
          <w:sz w:val="24"/>
        </w:rPr>
        <w:t xml:space="preserve">With the ripple of disease travelling throughout Europe, communities turned to scapegoats. Jews and the wrath of God were commonly associated with blame for the plague, but how exactly did the plague effect religion and cultural norms of the century? </w:t>
      </w:r>
      <w:r w:rsidR="00AB12AB">
        <w:rPr>
          <w:rFonts w:ascii="Times New Roman" w:hAnsi="Times New Roman" w:cs="Times New Roman"/>
          <w:sz w:val="24"/>
        </w:rPr>
        <w:t>Within this essay, I hope to decipher how exactly the medieval masses responded towards the plague and dissect how significant the causes of the pestilence were.</w:t>
      </w:r>
    </w:p>
    <w:p w:rsidR="00BB0380" w:rsidRDefault="00AB12AB" w:rsidP="00384CBB">
      <w:pPr>
        <w:spacing w:line="360" w:lineRule="auto"/>
        <w:jc w:val="both"/>
        <w:rPr>
          <w:rFonts w:ascii="Times New Roman" w:hAnsi="Times New Roman" w:cs="Times New Roman"/>
          <w:sz w:val="24"/>
        </w:rPr>
      </w:pPr>
      <w:r>
        <w:rPr>
          <w:rFonts w:ascii="Times New Roman" w:hAnsi="Times New Roman" w:cs="Times New Roman"/>
          <w:sz w:val="24"/>
        </w:rPr>
        <w:tab/>
        <w:t xml:space="preserve">In terms of </w:t>
      </w:r>
      <w:r w:rsidR="002C61ED">
        <w:rPr>
          <w:rFonts w:ascii="Times New Roman" w:hAnsi="Times New Roman" w:cs="Times New Roman"/>
          <w:sz w:val="24"/>
        </w:rPr>
        <w:t>understanding the e</w:t>
      </w:r>
      <w:r>
        <w:rPr>
          <w:rFonts w:ascii="Times New Roman" w:hAnsi="Times New Roman" w:cs="Times New Roman"/>
          <w:sz w:val="24"/>
        </w:rPr>
        <w:t xml:space="preserve">arly reactions </w:t>
      </w:r>
      <w:r w:rsidR="002C61ED">
        <w:rPr>
          <w:rFonts w:ascii="Times New Roman" w:hAnsi="Times New Roman" w:cs="Times New Roman"/>
          <w:sz w:val="24"/>
        </w:rPr>
        <w:t xml:space="preserve">towards the plague </w:t>
      </w:r>
      <w:r>
        <w:rPr>
          <w:rFonts w:ascii="Times New Roman" w:hAnsi="Times New Roman" w:cs="Times New Roman"/>
          <w:sz w:val="24"/>
        </w:rPr>
        <w:t xml:space="preserve">that arose </w:t>
      </w:r>
      <w:r w:rsidR="00384CBB">
        <w:rPr>
          <w:rFonts w:ascii="Times New Roman" w:hAnsi="Times New Roman" w:cs="Times New Roman"/>
          <w:sz w:val="24"/>
        </w:rPr>
        <w:t xml:space="preserve">in </w:t>
      </w:r>
      <w:r w:rsidR="002C61ED">
        <w:rPr>
          <w:rFonts w:ascii="Times New Roman" w:hAnsi="Times New Roman" w:cs="Times New Roman"/>
          <w:sz w:val="24"/>
        </w:rPr>
        <w:t>the form of</w:t>
      </w:r>
      <w:r>
        <w:rPr>
          <w:rFonts w:ascii="Times New Roman" w:hAnsi="Times New Roman" w:cs="Times New Roman"/>
          <w:sz w:val="24"/>
        </w:rPr>
        <w:t xml:space="preserve"> rumour</w:t>
      </w:r>
      <w:r w:rsidR="003A1B3A">
        <w:rPr>
          <w:rFonts w:ascii="Times New Roman" w:hAnsi="Times New Roman" w:cs="Times New Roman"/>
          <w:sz w:val="24"/>
        </w:rPr>
        <w:t>s</w:t>
      </w:r>
      <w:r w:rsidR="002C61ED">
        <w:rPr>
          <w:rFonts w:ascii="Times New Roman" w:hAnsi="Times New Roman" w:cs="Times New Roman"/>
          <w:sz w:val="24"/>
        </w:rPr>
        <w:t xml:space="preserve">, it may be useful to dissect </w:t>
      </w:r>
      <w:r>
        <w:rPr>
          <w:rFonts w:ascii="Times New Roman" w:hAnsi="Times New Roman" w:cs="Times New Roman"/>
          <w:sz w:val="24"/>
        </w:rPr>
        <w:t>how exactly the Black Death came to fruition</w:t>
      </w:r>
      <w:r w:rsidR="00325BF1">
        <w:rPr>
          <w:rFonts w:ascii="Times New Roman" w:hAnsi="Times New Roman" w:cs="Times New Roman"/>
          <w:sz w:val="24"/>
        </w:rPr>
        <w:t xml:space="preserve"> </w:t>
      </w:r>
      <w:proofErr w:type="gramStart"/>
      <w:r w:rsidR="002C61ED">
        <w:rPr>
          <w:rFonts w:ascii="Times New Roman" w:hAnsi="Times New Roman" w:cs="Times New Roman"/>
          <w:sz w:val="24"/>
        </w:rPr>
        <w:t>in order to</w:t>
      </w:r>
      <w:proofErr w:type="gramEnd"/>
      <w:r w:rsidR="002C61ED">
        <w:rPr>
          <w:rFonts w:ascii="Times New Roman" w:hAnsi="Times New Roman" w:cs="Times New Roman"/>
          <w:sz w:val="24"/>
        </w:rPr>
        <w:t xml:space="preserve"> discuss the effects on society</w:t>
      </w:r>
      <w:r>
        <w:rPr>
          <w:rFonts w:ascii="Times New Roman" w:hAnsi="Times New Roman" w:cs="Times New Roman"/>
          <w:sz w:val="24"/>
        </w:rPr>
        <w:t xml:space="preserve">. </w:t>
      </w:r>
      <w:r w:rsidR="00325BF1">
        <w:rPr>
          <w:rFonts w:ascii="Times New Roman" w:hAnsi="Times New Roman" w:cs="Times New Roman"/>
          <w:sz w:val="24"/>
        </w:rPr>
        <w:t>George Deaux writes that ‘the first reports came from the East. They were confused, exaggerated and frightening’.</w:t>
      </w:r>
      <w:r w:rsidR="00325BF1">
        <w:rPr>
          <w:rStyle w:val="FootnoteReference"/>
          <w:rFonts w:ascii="Times New Roman" w:hAnsi="Times New Roman" w:cs="Times New Roman"/>
          <w:sz w:val="24"/>
        </w:rPr>
        <w:footnoteReference w:id="1"/>
      </w:r>
      <w:r w:rsidR="00325BF1">
        <w:rPr>
          <w:rFonts w:ascii="Times New Roman" w:hAnsi="Times New Roman" w:cs="Times New Roman"/>
          <w:sz w:val="24"/>
        </w:rPr>
        <w:t xml:space="preserve"> From the Gobi Desert to </w:t>
      </w:r>
      <w:r w:rsidR="00BB0380">
        <w:rPr>
          <w:rFonts w:ascii="Times New Roman" w:hAnsi="Times New Roman" w:cs="Times New Roman"/>
          <w:sz w:val="24"/>
        </w:rPr>
        <w:t>its</w:t>
      </w:r>
      <w:r w:rsidR="00325BF1">
        <w:rPr>
          <w:rFonts w:ascii="Times New Roman" w:hAnsi="Times New Roman" w:cs="Times New Roman"/>
          <w:sz w:val="24"/>
        </w:rPr>
        <w:t xml:space="preserve"> spread to China, the plague had swarmed the Asian regions and resulted in </w:t>
      </w:r>
      <w:r w:rsidR="00BB0380">
        <w:rPr>
          <w:rFonts w:ascii="Times New Roman" w:hAnsi="Times New Roman" w:cs="Times New Roman"/>
          <w:sz w:val="24"/>
        </w:rPr>
        <w:t>famine and severe population declines.</w:t>
      </w:r>
      <w:r w:rsidR="00BB0380">
        <w:rPr>
          <w:rStyle w:val="FootnoteReference"/>
          <w:rFonts w:ascii="Times New Roman" w:hAnsi="Times New Roman" w:cs="Times New Roman"/>
          <w:sz w:val="24"/>
        </w:rPr>
        <w:footnoteReference w:id="2"/>
      </w:r>
      <w:r w:rsidR="00BB0380">
        <w:rPr>
          <w:rFonts w:ascii="Times New Roman" w:hAnsi="Times New Roman" w:cs="Times New Roman"/>
          <w:sz w:val="24"/>
        </w:rPr>
        <w:t xml:space="preserve"> Deaux furthers his notion that reports of the plague being exaggerated with the example that word had reached Pope Clement VI</w:t>
      </w:r>
      <w:r w:rsidR="002C61ED">
        <w:rPr>
          <w:rFonts w:ascii="Times New Roman" w:hAnsi="Times New Roman" w:cs="Times New Roman"/>
          <w:sz w:val="24"/>
        </w:rPr>
        <w:t xml:space="preserve">, insinuating that </w:t>
      </w:r>
      <w:r w:rsidR="00BB0380">
        <w:rPr>
          <w:rFonts w:ascii="Times New Roman" w:hAnsi="Times New Roman" w:cs="Times New Roman"/>
          <w:sz w:val="24"/>
        </w:rPr>
        <w:t>millions of deceased lined the streets of China, India and Persia.</w:t>
      </w:r>
      <w:r w:rsidR="00BB0380">
        <w:rPr>
          <w:rStyle w:val="FootnoteReference"/>
          <w:rFonts w:ascii="Times New Roman" w:hAnsi="Times New Roman" w:cs="Times New Roman"/>
          <w:sz w:val="24"/>
        </w:rPr>
        <w:footnoteReference w:id="3"/>
      </w:r>
      <w:r w:rsidR="00BB0380">
        <w:rPr>
          <w:rFonts w:ascii="Times New Roman" w:hAnsi="Times New Roman" w:cs="Times New Roman"/>
          <w:sz w:val="24"/>
        </w:rPr>
        <w:t xml:space="preserve"> Even so, the remoteness of the Eastern regions may not have been a cause for concern if it was not for the expanding trade routes that Europe had with Asia. Italy were the first to be stricken</w:t>
      </w:r>
      <w:r w:rsidR="009F6698">
        <w:rPr>
          <w:rFonts w:ascii="Times New Roman" w:hAnsi="Times New Roman" w:cs="Times New Roman"/>
          <w:sz w:val="24"/>
        </w:rPr>
        <w:t xml:space="preserve"> with the plague</w:t>
      </w:r>
      <w:r w:rsidR="00BB0380">
        <w:rPr>
          <w:rFonts w:ascii="Times New Roman" w:hAnsi="Times New Roman" w:cs="Times New Roman"/>
          <w:sz w:val="24"/>
        </w:rPr>
        <w:t xml:space="preserve"> </w:t>
      </w:r>
      <w:r w:rsidR="00895C1D">
        <w:rPr>
          <w:rFonts w:ascii="Times New Roman" w:hAnsi="Times New Roman" w:cs="Times New Roman"/>
          <w:sz w:val="24"/>
        </w:rPr>
        <w:t xml:space="preserve">due to the arrival home of </w:t>
      </w:r>
      <w:r w:rsidR="00BB0380">
        <w:rPr>
          <w:rFonts w:ascii="Times New Roman" w:hAnsi="Times New Roman" w:cs="Times New Roman"/>
          <w:sz w:val="24"/>
        </w:rPr>
        <w:t>Italian traders. Pistoia initiated ‘Ordinances for Sanitation in a Time of Mortality’, and these set</w:t>
      </w:r>
      <w:r w:rsidR="009F6698">
        <w:rPr>
          <w:rFonts w:ascii="Times New Roman" w:hAnsi="Times New Roman" w:cs="Times New Roman"/>
          <w:sz w:val="24"/>
        </w:rPr>
        <w:t>s</w:t>
      </w:r>
      <w:r w:rsidR="00BB0380">
        <w:rPr>
          <w:rFonts w:ascii="Times New Roman" w:hAnsi="Times New Roman" w:cs="Times New Roman"/>
          <w:sz w:val="24"/>
        </w:rPr>
        <w:t xml:space="preserve"> of ordi</w:t>
      </w:r>
      <w:r w:rsidR="00895C1D">
        <w:rPr>
          <w:rFonts w:ascii="Times New Roman" w:hAnsi="Times New Roman" w:cs="Times New Roman"/>
          <w:sz w:val="24"/>
        </w:rPr>
        <w:t>n</w:t>
      </w:r>
      <w:r w:rsidR="00BB0380">
        <w:rPr>
          <w:rFonts w:ascii="Times New Roman" w:hAnsi="Times New Roman" w:cs="Times New Roman"/>
          <w:sz w:val="24"/>
        </w:rPr>
        <w:t>ances</w:t>
      </w:r>
      <w:r w:rsidR="00895C1D">
        <w:rPr>
          <w:rFonts w:ascii="Times New Roman" w:hAnsi="Times New Roman" w:cs="Times New Roman"/>
          <w:sz w:val="24"/>
        </w:rPr>
        <w:t xml:space="preserve"> </w:t>
      </w:r>
      <w:r w:rsidR="009F6698">
        <w:rPr>
          <w:rFonts w:ascii="Times New Roman" w:hAnsi="Times New Roman" w:cs="Times New Roman"/>
          <w:sz w:val="24"/>
        </w:rPr>
        <w:t>arose from</w:t>
      </w:r>
      <w:r w:rsidR="00895C1D">
        <w:rPr>
          <w:rFonts w:ascii="Times New Roman" w:hAnsi="Times New Roman" w:cs="Times New Roman"/>
          <w:sz w:val="24"/>
        </w:rPr>
        <w:t xml:space="preserve"> losing a fourth of the Italian population within the Pistoia province. </w:t>
      </w:r>
    </w:p>
    <w:p w:rsidR="00895C1D" w:rsidRDefault="00895C1D" w:rsidP="00384CBB">
      <w:pPr>
        <w:pStyle w:val="Quote"/>
        <w:jc w:val="both"/>
        <w:rPr>
          <w:rFonts w:ascii="Times New Roman" w:hAnsi="Times New Roman" w:cs="Times New Roman"/>
          <w:i w:val="0"/>
          <w:color w:val="auto"/>
        </w:rPr>
      </w:pPr>
      <w:r w:rsidRPr="00895C1D">
        <w:rPr>
          <w:rFonts w:ascii="Times New Roman" w:hAnsi="Times New Roman" w:cs="Times New Roman"/>
          <w:i w:val="0"/>
          <w:color w:val="auto"/>
        </w:rPr>
        <w:t xml:space="preserve">The foresaid wise men provided and ordered that no person whether citizen, inhabitant of the district or county of the city of Pistoia or foreigner shall dare or presume in any way to bring ... to the city of Pistoia, its district or county, any used cloth, either linen or </w:t>
      </w:r>
      <w:proofErr w:type="spellStart"/>
      <w:r w:rsidRPr="00895C1D">
        <w:rPr>
          <w:rFonts w:ascii="Times New Roman" w:hAnsi="Times New Roman" w:cs="Times New Roman"/>
          <w:i w:val="0"/>
          <w:color w:val="auto"/>
        </w:rPr>
        <w:t>woolen</w:t>
      </w:r>
      <w:proofErr w:type="spellEnd"/>
      <w:r w:rsidRPr="00895C1D">
        <w:rPr>
          <w:rFonts w:ascii="Times New Roman" w:hAnsi="Times New Roman" w:cs="Times New Roman"/>
          <w:i w:val="0"/>
          <w:color w:val="auto"/>
        </w:rPr>
        <w:t xml:space="preserve">, for use as clothing for men or women or for bedclothes on penalty of £ 200. ... Citizens of Pistoia, its district and county returning to the city, district or county will be allowed to bring with them the linen or </w:t>
      </w:r>
      <w:proofErr w:type="spellStart"/>
      <w:r w:rsidRPr="00895C1D">
        <w:rPr>
          <w:rFonts w:ascii="Times New Roman" w:hAnsi="Times New Roman" w:cs="Times New Roman"/>
          <w:i w:val="0"/>
          <w:color w:val="auto"/>
        </w:rPr>
        <w:t>woolen</w:t>
      </w:r>
      <w:proofErr w:type="spellEnd"/>
      <w:r w:rsidRPr="00895C1D">
        <w:rPr>
          <w:rFonts w:ascii="Times New Roman" w:hAnsi="Times New Roman" w:cs="Times New Roman"/>
          <w:i w:val="0"/>
          <w:color w:val="auto"/>
        </w:rPr>
        <w:t xml:space="preserve"> cloths they are wearing and those for personal use carried in luggage or a small bundle weighing 30 pounds or less. ... And if any quantity of cloth of the said type or quality has been carried into the said city, county or district, the carrier shall be held to and must remove and export it from the said city, county and district within three days</w:t>
      </w:r>
      <w:r w:rsidR="00384CBB">
        <w:rPr>
          <w:rFonts w:ascii="Times New Roman" w:hAnsi="Times New Roman" w:cs="Times New Roman"/>
          <w:i w:val="0"/>
          <w:color w:val="auto"/>
        </w:rPr>
        <w:t xml:space="preserve"> </w:t>
      </w:r>
      <w:r w:rsidRPr="00895C1D">
        <w:rPr>
          <w:rFonts w:ascii="Times New Roman" w:hAnsi="Times New Roman" w:cs="Times New Roman"/>
          <w:i w:val="0"/>
          <w:color w:val="auto"/>
        </w:rPr>
        <w:lastRenderedPageBreak/>
        <w:t>of the adoption of the present ordinance under the foresaid penalty for each carrier or carriers and for each violation.</w:t>
      </w:r>
      <w:r>
        <w:rPr>
          <w:rStyle w:val="FootnoteReference"/>
          <w:rFonts w:ascii="Times New Roman" w:hAnsi="Times New Roman" w:cs="Times New Roman"/>
          <w:i w:val="0"/>
          <w:color w:val="auto"/>
        </w:rPr>
        <w:footnoteReference w:id="4"/>
      </w:r>
    </w:p>
    <w:p w:rsidR="00895C1D" w:rsidRDefault="00895C1D" w:rsidP="00384CBB">
      <w:pPr>
        <w:spacing w:line="360" w:lineRule="auto"/>
        <w:jc w:val="both"/>
        <w:rPr>
          <w:rFonts w:ascii="Times New Roman" w:hAnsi="Times New Roman" w:cs="Times New Roman"/>
          <w:sz w:val="24"/>
        </w:rPr>
      </w:pPr>
      <w:r>
        <w:rPr>
          <w:rFonts w:ascii="Times New Roman" w:hAnsi="Times New Roman" w:cs="Times New Roman"/>
          <w:sz w:val="24"/>
        </w:rPr>
        <w:t>With this ordinance comes the seriousness in which the plague should be taken</w:t>
      </w:r>
      <w:r w:rsidR="00D03EDC">
        <w:rPr>
          <w:rFonts w:ascii="Times New Roman" w:hAnsi="Times New Roman" w:cs="Times New Roman"/>
          <w:sz w:val="24"/>
        </w:rPr>
        <w:t>, as although the previous reports were exaggerated, the eventual arrival of the Black Death in Europe is no laughing matter</w:t>
      </w:r>
      <w:r>
        <w:rPr>
          <w:rFonts w:ascii="Times New Roman" w:hAnsi="Times New Roman" w:cs="Times New Roman"/>
          <w:sz w:val="24"/>
        </w:rPr>
        <w:t>. One would almost describe it as panic, as the ordinances elaborate further by imposing penalties on those handling bodies and meat.</w:t>
      </w:r>
      <w:r>
        <w:rPr>
          <w:rStyle w:val="FootnoteReference"/>
          <w:rFonts w:ascii="Times New Roman" w:hAnsi="Times New Roman" w:cs="Times New Roman"/>
          <w:sz w:val="24"/>
        </w:rPr>
        <w:footnoteReference w:id="5"/>
      </w:r>
      <w:r>
        <w:rPr>
          <w:rFonts w:ascii="Times New Roman" w:hAnsi="Times New Roman" w:cs="Times New Roman"/>
          <w:sz w:val="24"/>
        </w:rPr>
        <w:t xml:space="preserve"> </w:t>
      </w:r>
      <w:r w:rsidR="008F4C78">
        <w:rPr>
          <w:rFonts w:ascii="Times New Roman" w:hAnsi="Times New Roman" w:cs="Times New Roman"/>
          <w:sz w:val="24"/>
        </w:rPr>
        <w:t xml:space="preserve">The </w:t>
      </w:r>
      <w:proofErr w:type="spellStart"/>
      <w:r w:rsidR="008F4C78">
        <w:rPr>
          <w:rFonts w:ascii="Times New Roman" w:hAnsi="Times New Roman" w:cs="Times New Roman"/>
          <w:sz w:val="24"/>
        </w:rPr>
        <w:t>Pistoian</w:t>
      </w:r>
      <w:proofErr w:type="spellEnd"/>
      <w:r w:rsidR="008F4C78">
        <w:rPr>
          <w:rFonts w:ascii="Times New Roman" w:hAnsi="Times New Roman" w:cs="Times New Roman"/>
          <w:sz w:val="24"/>
        </w:rPr>
        <w:t xml:space="preserve"> council heard recommendations given</w:t>
      </w:r>
      <w:r w:rsidR="003C01CC">
        <w:rPr>
          <w:rFonts w:ascii="Times New Roman" w:hAnsi="Times New Roman" w:cs="Times New Roman"/>
          <w:sz w:val="24"/>
        </w:rPr>
        <w:t xml:space="preserve"> to them</w:t>
      </w:r>
      <w:r w:rsidR="008F4C78">
        <w:rPr>
          <w:rFonts w:ascii="Times New Roman" w:hAnsi="Times New Roman" w:cs="Times New Roman"/>
          <w:sz w:val="24"/>
        </w:rPr>
        <w:t xml:space="preserve">, and what is interesting to note is that the ordinances are of a sanitary matter. </w:t>
      </w:r>
      <w:r w:rsidR="002133B2">
        <w:rPr>
          <w:rFonts w:ascii="Times New Roman" w:hAnsi="Times New Roman" w:cs="Times New Roman"/>
          <w:sz w:val="24"/>
        </w:rPr>
        <w:t xml:space="preserve">The source displays clearly that the governmental records pertaining to managing the outbreak had the concise aim </w:t>
      </w:r>
      <w:r w:rsidR="008454DE">
        <w:rPr>
          <w:rFonts w:ascii="Times New Roman" w:hAnsi="Times New Roman" w:cs="Times New Roman"/>
          <w:sz w:val="24"/>
        </w:rPr>
        <w:t>of clearing</w:t>
      </w:r>
      <w:r w:rsidR="002133B2">
        <w:rPr>
          <w:rFonts w:ascii="Times New Roman" w:hAnsi="Times New Roman" w:cs="Times New Roman"/>
          <w:sz w:val="24"/>
        </w:rPr>
        <w:t xml:space="preserve"> Italy of ‘bad air’, which they believed was spread by ‘</w:t>
      </w:r>
      <w:proofErr w:type="spellStart"/>
      <w:r w:rsidR="002133B2">
        <w:rPr>
          <w:rFonts w:ascii="Times New Roman" w:hAnsi="Times New Roman" w:cs="Times New Roman"/>
          <w:sz w:val="24"/>
        </w:rPr>
        <w:t>woolen</w:t>
      </w:r>
      <w:proofErr w:type="spellEnd"/>
      <w:r w:rsidR="002133B2">
        <w:rPr>
          <w:rFonts w:ascii="Times New Roman" w:hAnsi="Times New Roman" w:cs="Times New Roman"/>
          <w:sz w:val="24"/>
        </w:rPr>
        <w:t xml:space="preserve"> cloths’ and </w:t>
      </w:r>
      <w:r w:rsidR="008454DE">
        <w:rPr>
          <w:rFonts w:ascii="Times New Roman" w:hAnsi="Times New Roman" w:cs="Times New Roman"/>
          <w:sz w:val="24"/>
        </w:rPr>
        <w:t xml:space="preserve">by </w:t>
      </w:r>
      <w:r w:rsidR="009F6698">
        <w:rPr>
          <w:rFonts w:ascii="Times New Roman" w:hAnsi="Times New Roman" w:cs="Times New Roman"/>
          <w:sz w:val="24"/>
        </w:rPr>
        <w:t>t</w:t>
      </w:r>
      <w:r w:rsidR="002133B2">
        <w:rPr>
          <w:rFonts w:ascii="Times New Roman" w:hAnsi="Times New Roman" w:cs="Times New Roman"/>
          <w:sz w:val="24"/>
        </w:rPr>
        <w:t xml:space="preserve">hose in contact with </w:t>
      </w:r>
      <w:r w:rsidR="009F6698">
        <w:rPr>
          <w:rFonts w:ascii="Times New Roman" w:hAnsi="Times New Roman" w:cs="Times New Roman"/>
          <w:sz w:val="24"/>
        </w:rPr>
        <w:t xml:space="preserve">flesh </w:t>
      </w:r>
      <w:r w:rsidR="002133B2">
        <w:rPr>
          <w:rFonts w:ascii="Times New Roman" w:hAnsi="Times New Roman" w:cs="Times New Roman"/>
          <w:sz w:val="24"/>
        </w:rPr>
        <w:t>decay.</w:t>
      </w:r>
      <w:r w:rsidR="008454DE">
        <w:rPr>
          <w:rStyle w:val="FootnoteReference"/>
          <w:rFonts w:ascii="Times New Roman" w:hAnsi="Times New Roman" w:cs="Times New Roman"/>
          <w:sz w:val="24"/>
        </w:rPr>
        <w:footnoteReference w:id="6"/>
      </w:r>
      <w:r w:rsidR="008454DE">
        <w:rPr>
          <w:rFonts w:ascii="Times New Roman" w:hAnsi="Times New Roman" w:cs="Times New Roman"/>
          <w:sz w:val="24"/>
        </w:rPr>
        <w:t xml:space="preserve"> Even so, </w:t>
      </w:r>
      <w:r w:rsidR="009F6698">
        <w:rPr>
          <w:rFonts w:ascii="Times New Roman" w:hAnsi="Times New Roman" w:cs="Times New Roman"/>
          <w:sz w:val="24"/>
        </w:rPr>
        <w:t>they were not</w:t>
      </w:r>
      <w:r w:rsidR="002133B2">
        <w:rPr>
          <w:rFonts w:ascii="Times New Roman" w:hAnsi="Times New Roman" w:cs="Times New Roman"/>
          <w:sz w:val="24"/>
        </w:rPr>
        <w:t xml:space="preserve"> entirely wrong</w:t>
      </w:r>
      <w:r w:rsidR="008454DE">
        <w:rPr>
          <w:rFonts w:ascii="Times New Roman" w:hAnsi="Times New Roman" w:cs="Times New Roman"/>
          <w:sz w:val="24"/>
        </w:rPr>
        <w:t>—the miniscule bacterium is severely contagious,</w:t>
      </w:r>
      <w:r w:rsidR="008454DE">
        <w:rPr>
          <w:rStyle w:val="FootnoteReference"/>
          <w:rFonts w:ascii="Times New Roman" w:hAnsi="Times New Roman" w:cs="Times New Roman"/>
          <w:sz w:val="24"/>
        </w:rPr>
        <w:footnoteReference w:id="7"/>
      </w:r>
      <w:r w:rsidR="008454DE">
        <w:rPr>
          <w:rFonts w:ascii="Times New Roman" w:hAnsi="Times New Roman" w:cs="Times New Roman"/>
          <w:sz w:val="24"/>
        </w:rPr>
        <w:t xml:space="preserve"> and thus restricting the movement of people</w:t>
      </w:r>
      <w:r w:rsidR="009F6698">
        <w:rPr>
          <w:rFonts w:ascii="Times New Roman" w:hAnsi="Times New Roman" w:cs="Times New Roman"/>
          <w:sz w:val="24"/>
        </w:rPr>
        <w:t xml:space="preserve"> through a collection of decrees</w:t>
      </w:r>
      <w:r w:rsidR="008454DE">
        <w:rPr>
          <w:rFonts w:ascii="Times New Roman" w:hAnsi="Times New Roman" w:cs="Times New Roman"/>
          <w:sz w:val="24"/>
        </w:rPr>
        <w:t xml:space="preserve"> may have contained matters somewhat.</w:t>
      </w:r>
      <w:r w:rsidR="008F4C78">
        <w:rPr>
          <w:rFonts w:ascii="Times New Roman" w:hAnsi="Times New Roman" w:cs="Times New Roman"/>
          <w:sz w:val="24"/>
        </w:rPr>
        <w:t xml:space="preserve"> Deaux elaborates that the medieval perspective </w:t>
      </w:r>
      <w:r w:rsidR="00C622D1">
        <w:rPr>
          <w:rFonts w:ascii="Times New Roman" w:hAnsi="Times New Roman" w:cs="Times New Roman"/>
          <w:sz w:val="24"/>
        </w:rPr>
        <w:t xml:space="preserve">regarding the disease </w:t>
      </w:r>
      <w:r w:rsidR="008F4C78">
        <w:rPr>
          <w:rFonts w:ascii="Times New Roman" w:hAnsi="Times New Roman" w:cs="Times New Roman"/>
          <w:sz w:val="24"/>
        </w:rPr>
        <w:t>was far more enlightened tha</w:t>
      </w:r>
      <w:r w:rsidR="009F6698">
        <w:rPr>
          <w:rFonts w:ascii="Times New Roman" w:hAnsi="Times New Roman" w:cs="Times New Roman"/>
          <w:sz w:val="24"/>
        </w:rPr>
        <w:t>n</w:t>
      </w:r>
      <w:r w:rsidR="008F4C78">
        <w:rPr>
          <w:rFonts w:ascii="Times New Roman" w:hAnsi="Times New Roman" w:cs="Times New Roman"/>
          <w:sz w:val="24"/>
        </w:rPr>
        <w:t xml:space="preserve"> first thought </w:t>
      </w:r>
      <w:r w:rsidR="002133B2">
        <w:rPr>
          <w:rFonts w:ascii="Times New Roman" w:hAnsi="Times New Roman" w:cs="Times New Roman"/>
          <w:sz w:val="24"/>
        </w:rPr>
        <w:t>and that in a historic hindsight</w:t>
      </w:r>
      <w:r w:rsidR="009F6698">
        <w:rPr>
          <w:rFonts w:ascii="Times New Roman" w:hAnsi="Times New Roman" w:cs="Times New Roman"/>
          <w:sz w:val="24"/>
        </w:rPr>
        <w:t xml:space="preserve"> </w:t>
      </w:r>
      <w:r w:rsidR="002133B2">
        <w:rPr>
          <w:rFonts w:ascii="Times New Roman" w:hAnsi="Times New Roman" w:cs="Times New Roman"/>
          <w:sz w:val="24"/>
        </w:rPr>
        <w:t>we often insult their intelligence.</w:t>
      </w:r>
      <w:r w:rsidR="002133B2">
        <w:rPr>
          <w:rStyle w:val="FootnoteReference"/>
          <w:rFonts w:ascii="Times New Roman" w:hAnsi="Times New Roman" w:cs="Times New Roman"/>
          <w:sz w:val="24"/>
        </w:rPr>
        <w:footnoteReference w:id="8"/>
      </w:r>
      <w:r w:rsidR="002133B2">
        <w:rPr>
          <w:rFonts w:ascii="Times New Roman" w:hAnsi="Times New Roman" w:cs="Times New Roman"/>
          <w:sz w:val="24"/>
        </w:rPr>
        <w:t xml:space="preserve"> </w:t>
      </w:r>
      <w:r w:rsidR="008454DE">
        <w:rPr>
          <w:rFonts w:ascii="Times New Roman" w:hAnsi="Times New Roman" w:cs="Times New Roman"/>
          <w:sz w:val="24"/>
        </w:rPr>
        <w:t xml:space="preserve">There are no religious scapegoats within the governmental source, nor remedies pertaining medical miracles that as a modern society, would be considered outlandish. </w:t>
      </w:r>
      <w:r w:rsidR="002133B2">
        <w:rPr>
          <w:rFonts w:ascii="Times New Roman" w:hAnsi="Times New Roman" w:cs="Times New Roman"/>
          <w:sz w:val="24"/>
        </w:rPr>
        <w:t xml:space="preserve">The question is, </w:t>
      </w:r>
      <w:r w:rsidR="00037D3F">
        <w:rPr>
          <w:rFonts w:ascii="Times New Roman" w:hAnsi="Times New Roman" w:cs="Times New Roman"/>
          <w:sz w:val="24"/>
        </w:rPr>
        <w:t>why exactly did the government find themselves issuing such ordinances</w:t>
      </w:r>
      <w:r w:rsidR="002133B2">
        <w:rPr>
          <w:rFonts w:ascii="Times New Roman" w:hAnsi="Times New Roman" w:cs="Times New Roman"/>
          <w:sz w:val="24"/>
        </w:rPr>
        <w:t xml:space="preserve">? Due to how fast the disease spread across Italy, </w:t>
      </w:r>
      <w:r w:rsidR="00037D3F">
        <w:rPr>
          <w:rFonts w:ascii="Times New Roman" w:hAnsi="Times New Roman" w:cs="Times New Roman"/>
          <w:sz w:val="24"/>
        </w:rPr>
        <w:t>the epidemic was creating waves of social chaos across Italy and mainland Europe. Families found themselves abandoning relatives, especially young children, once the afflicted displayed signs of the disease. This time of social upheaval as Shona Wray describes it, went against the fabric of medieval society.</w:t>
      </w:r>
      <w:r w:rsidR="009F6698">
        <w:rPr>
          <w:rStyle w:val="FootnoteReference"/>
          <w:rFonts w:ascii="Times New Roman" w:hAnsi="Times New Roman" w:cs="Times New Roman"/>
          <w:sz w:val="24"/>
        </w:rPr>
        <w:footnoteReference w:id="9"/>
      </w:r>
      <w:r w:rsidR="00037D3F">
        <w:rPr>
          <w:rFonts w:ascii="Times New Roman" w:hAnsi="Times New Roman" w:cs="Times New Roman"/>
          <w:sz w:val="24"/>
        </w:rPr>
        <w:t xml:space="preserve"> Family was the core of many lifestyles, and once this ‘core’ becomes unravelled, so does the traditional attitudes that had been </w:t>
      </w:r>
      <w:r w:rsidR="009F6698">
        <w:rPr>
          <w:rFonts w:ascii="Times New Roman" w:hAnsi="Times New Roman" w:cs="Times New Roman"/>
          <w:sz w:val="24"/>
        </w:rPr>
        <w:t>intertwined within medieval civilisation.</w:t>
      </w:r>
      <w:r w:rsidR="009F6698">
        <w:rPr>
          <w:rStyle w:val="FootnoteReference"/>
          <w:rFonts w:ascii="Times New Roman" w:hAnsi="Times New Roman" w:cs="Times New Roman"/>
          <w:sz w:val="24"/>
        </w:rPr>
        <w:footnoteReference w:id="10"/>
      </w:r>
    </w:p>
    <w:p w:rsidR="00AE5C83" w:rsidRDefault="00AE5C83" w:rsidP="00384CBB">
      <w:pPr>
        <w:spacing w:line="360" w:lineRule="auto"/>
        <w:jc w:val="both"/>
        <w:rPr>
          <w:rFonts w:ascii="Times New Roman" w:hAnsi="Times New Roman" w:cs="Times New Roman"/>
          <w:sz w:val="24"/>
        </w:rPr>
      </w:pPr>
      <w:r>
        <w:rPr>
          <w:rFonts w:ascii="Times New Roman" w:hAnsi="Times New Roman" w:cs="Times New Roman"/>
          <w:sz w:val="24"/>
        </w:rPr>
        <w:tab/>
        <w:t xml:space="preserve">Another popular belief, as picked apart by many medieval historians, is </w:t>
      </w:r>
      <w:r w:rsidR="00FD5369">
        <w:rPr>
          <w:rFonts w:ascii="Times New Roman" w:hAnsi="Times New Roman" w:cs="Times New Roman"/>
          <w:sz w:val="24"/>
        </w:rPr>
        <w:t>that the plague was formed due to astral influences</w:t>
      </w:r>
      <w:r>
        <w:rPr>
          <w:rFonts w:ascii="Times New Roman" w:hAnsi="Times New Roman" w:cs="Times New Roman"/>
          <w:sz w:val="24"/>
        </w:rPr>
        <w:t>.</w:t>
      </w:r>
      <w:r w:rsidR="0003000A">
        <w:rPr>
          <w:rFonts w:ascii="Times New Roman" w:hAnsi="Times New Roman" w:cs="Times New Roman"/>
          <w:sz w:val="24"/>
        </w:rPr>
        <w:t xml:space="preserve"> </w:t>
      </w:r>
      <w:r w:rsidR="00FD5369">
        <w:rPr>
          <w:rFonts w:ascii="Times New Roman" w:hAnsi="Times New Roman" w:cs="Times New Roman"/>
          <w:sz w:val="24"/>
        </w:rPr>
        <w:t>The eruption of Mount Etna during 1333 coincided with the belief that the Black Death was a disaster of global proportions, and served to fuel apocalyptic ideals.</w:t>
      </w:r>
      <w:r w:rsidR="00FD5369">
        <w:rPr>
          <w:rStyle w:val="FootnoteReference"/>
          <w:rFonts w:ascii="Times New Roman" w:hAnsi="Times New Roman" w:cs="Times New Roman"/>
          <w:sz w:val="24"/>
        </w:rPr>
        <w:footnoteReference w:id="11"/>
      </w:r>
      <w:r w:rsidR="00FD5369">
        <w:rPr>
          <w:rFonts w:ascii="Times New Roman" w:hAnsi="Times New Roman" w:cs="Times New Roman"/>
          <w:sz w:val="24"/>
        </w:rPr>
        <w:t xml:space="preserve"> </w:t>
      </w:r>
      <w:r w:rsidR="00EF6BB5">
        <w:rPr>
          <w:rFonts w:ascii="Times New Roman" w:hAnsi="Times New Roman" w:cs="Times New Roman"/>
          <w:sz w:val="24"/>
        </w:rPr>
        <w:t xml:space="preserve">This is another testament to how ideas surrounding the causes of the Black </w:t>
      </w:r>
      <w:r w:rsidR="00EF6BB5">
        <w:rPr>
          <w:rFonts w:ascii="Times New Roman" w:hAnsi="Times New Roman" w:cs="Times New Roman"/>
          <w:sz w:val="24"/>
        </w:rPr>
        <w:lastRenderedPageBreak/>
        <w:t>Death affected the cultural standpoint—many sought to question, delving into philosophical answers.</w:t>
      </w:r>
      <w:r w:rsidR="00EA6B2E">
        <w:rPr>
          <w:rFonts w:ascii="Times New Roman" w:hAnsi="Times New Roman" w:cs="Times New Roman"/>
          <w:sz w:val="24"/>
        </w:rPr>
        <w:t xml:space="preserve"> </w:t>
      </w:r>
      <w:r w:rsidR="007005D5">
        <w:rPr>
          <w:rFonts w:ascii="Times New Roman" w:hAnsi="Times New Roman" w:cs="Times New Roman"/>
          <w:sz w:val="24"/>
        </w:rPr>
        <w:t>Deaux elaborates that t</w:t>
      </w:r>
      <w:r w:rsidR="00EA6B2E">
        <w:rPr>
          <w:rFonts w:ascii="Times New Roman" w:hAnsi="Times New Roman" w:cs="Times New Roman"/>
          <w:sz w:val="24"/>
        </w:rPr>
        <w:t>hese astrological interpretations came from Guy de Chauli</w:t>
      </w:r>
      <w:r w:rsidR="007005D5">
        <w:rPr>
          <w:rFonts w:ascii="Times New Roman" w:hAnsi="Times New Roman" w:cs="Times New Roman"/>
          <w:sz w:val="24"/>
        </w:rPr>
        <w:t>a</w:t>
      </w:r>
      <w:r w:rsidR="00EA6B2E">
        <w:rPr>
          <w:rFonts w:ascii="Times New Roman" w:hAnsi="Times New Roman" w:cs="Times New Roman"/>
          <w:sz w:val="24"/>
        </w:rPr>
        <w:t>c,</w:t>
      </w:r>
      <w:r w:rsidR="00FC4A92">
        <w:rPr>
          <w:rFonts w:ascii="Times New Roman" w:hAnsi="Times New Roman" w:cs="Times New Roman"/>
          <w:sz w:val="24"/>
        </w:rPr>
        <w:t xml:space="preserve"> </w:t>
      </w:r>
      <w:r w:rsidR="007005D5">
        <w:rPr>
          <w:rFonts w:ascii="Times New Roman" w:hAnsi="Times New Roman" w:cs="Times New Roman"/>
          <w:sz w:val="24"/>
        </w:rPr>
        <w:t>whom believed that</w:t>
      </w:r>
      <w:r w:rsidR="00FC4A92">
        <w:rPr>
          <w:rFonts w:ascii="Times New Roman" w:hAnsi="Times New Roman" w:cs="Times New Roman"/>
          <w:sz w:val="24"/>
        </w:rPr>
        <w:t xml:space="preserve"> ‘</w:t>
      </w:r>
      <w:r w:rsidR="007005D5">
        <w:rPr>
          <w:rFonts w:ascii="Times New Roman" w:hAnsi="Times New Roman" w:cs="Times New Roman"/>
          <w:sz w:val="24"/>
        </w:rPr>
        <w:t>celestial influences were so important that very few medical men were able to ignore them.’</w:t>
      </w:r>
      <w:r w:rsidR="007005D5">
        <w:rPr>
          <w:rStyle w:val="FootnoteReference"/>
          <w:rFonts w:ascii="Times New Roman" w:hAnsi="Times New Roman" w:cs="Times New Roman"/>
          <w:sz w:val="24"/>
        </w:rPr>
        <w:footnoteReference w:id="12"/>
      </w:r>
      <w:r w:rsidR="00EA6B2E">
        <w:rPr>
          <w:rFonts w:ascii="Times New Roman" w:hAnsi="Times New Roman" w:cs="Times New Roman"/>
          <w:sz w:val="24"/>
        </w:rPr>
        <w:t xml:space="preserve"> Gale</w:t>
      </w:r>
      <w:r w:rsidR="007005D5">
        <w:rPr>
          <w:rFonts w:ascii="Times New Roman" w:hAnsi="Times New Roman" w:cs="Times New Roman"/>
          <w:sz w:val="24"/>
        </w:rPr>
        <w:t>a</w:t>
      </w:r>
      <w:r w:rsidR="00EA6B2E">
        <w:rPr>
          <w:rFonts w:ascii="Times New Roman" w:hAnsi="Times New Roman" w:cs="Times New Roman"/>
          <w:sz w:val="24"/>
        </w:rPr>
        <w:t>zz</w:t>
      </w:r>
      <w:r w:rsidR="007005D5">
        <w:rPr>
          <w:rFonts w:ascii="Times New Roman" w:hAnsi="Times New Roman" w:cs="Times New Roman"/>
          <w:sz w:val="24"/>
        </w:rPr>
        <w:t>o</w:t>
      </w:r>
      <w:r w:rsidR="00EA6B2E">
        <w:rPr>
          <w:rFonts w:ascii="Times New Roman" w:hAnsi="Times New Roman" w:cs="Times New Roman"/>
          <w:sz w:val="24"/>
        </w:rPr>
        <w:t xml:space="preserve"> de Santa Sofia</w:t>
      </w:r>
      <w:r w:rsidR="007005D5">
        <w:rPr>
          <w:rFonts w:ascii="Times New Roman" w:hAnsi="Times New Roman" w:cs="Times New Roman"/>
          <w:sz w:val="24"/>
        </w:rPr>
        <w:t xml:space="preserve"> was a firm believer that the astronomical atmosphere was the reasoning behind the outbreak of the plague, and these ideologies served to exemplify the myriad of perspectives that were present during the Middle Ages.</w:t>
      </w:r>
      <w:r w:rsidR="007005D5">
        <w:rPr>
          <w:rStyle w:val="FootnoteReference"/>
          <w:rFonts w:ascii="Times New Roman" w:hAnsi="Times New Roman" w:cs="Times New Roman"/>
          <w:sz w:val="24"/>
        </w:rPr>
        <w:footnoteReference w:id="13"/>
      </w:r>
      <w:r w:rsidR="00EA6B2E">
        <w:rPr>
          <w:rFonts w:ascii="Times New Roman" w:hAnsi="Times New Roman" w:cs="Times New Roman"/>
          <w:sz w:val="24"/>
        </w:rPr>
        <w:t xml:space="preserve"> </w:t>
      </w:r>
      <w:r w:rsidR="007005D5">
        <w:rPr>
          <w:rFonts w:ascii="Times New Roman" w:hAnsi="Times New Roman" w:cs="Times New Roman"/>
          <w:sz w:val="24"/>
        </w:rPr>
        <w:t>In terms of analysing how significant the effects of astronomy and the plague had on medieval culture, the astral theories served their own purpose in furthering the advances of medical science. Many doubted the validity of astronomy being the perpetrator of bad luck, and met the criticism of sceptics like the Bishop of Lisieux, Nicole Oresme whom disagreed with the mingling of science and medicine.</w:t>
      </w:r>
      <w:r w:rsidR="007005D5">
        <w:rPr>
          <w:rStyle w:val="FootnoteReference"/>
          <w:rFonts w:ascii="Times New Roman" w:hAnsi="Times New Roman" w:cs="Times New Roman"/>
          <w:sz w:val="24"/>
        </w:rPr>
        <w:footnoteReference w:id="14"/>
      </w:r>
      <w:r w:rsidR="007005D5">
        <w:rPr>
          <w:rFonts w:ascii="Times New Roman" w:hAnsi="Times New Roman" w:cs="Times New Roman"/>
          <w:sz w:val="24"/>
        </w:rPr>
        <w:t xml:space="preserve"> In all, the trials and errors faced by individuals like Guy de Chauli</w:t>
      </w:r>
      <w:r w:rsidR="00027A53">
        <w:rPr>
          <w:rFonts w:ascii="Times New Roman" w:hAnsi="Times New Roman" w:cs="Times New Roman"/>
          <w:sz w:val="24"/>
        </w:rPr>
        <w:t>a</w:t>
      </w:r>
      <w:r w:rsidR="007005D5">
        <w:rPr>
          <w:rFonts w:ascii="Times New Roman" w:hAnsi="Times New Roman" w:cs="Times New Roman"/>
          <w:sz w:val="24"/>
        </w:rPr>
        <w:t xml:space="preserve">c found men of medical expertise attempting other cures and ailments in efforts </w:t>
      </w:r>
      <w:r w:rsidR="00027A53">
        <w:rPr>
          <w:rFonts w:ascii="Times New Roman" w:hAnsi="Times New Roman" w:cs="Times New Roman"/>
          <w:sz w:val="24"/>
        </w:rPr>
        <w:t>to eradicate the pestilence.</w:t>
      </w:r>
      <w:r w:rsidR="00027A53">
        <w:rPr>
          <w:rStyle w:val="FootnoteReference"/>
          <w:rFonts w:ascii="Times New Roman" w:hAnsi="Times New Roman" w:cs="Times New Roman"/>
          <w:sz w:val="24"/>
        </w:rPr>
        <w:footnoteReference w:id="15"/>
      </w:r>
    </w:p>
    <w:p w:rsidR="0003000A" w:rsidRDefault="0003000A" w:rsidP="00384CBB">
      <w:pPr>
        <w:spacing w:line="360" w:lineRule="auto"/>
        <w:jc w:val="both"/>
        <w:rPr>
          <w:rFonts w:ascii="Times New Roman" w:hAnsi="Times New Roman" w:cs="Times New Roman"/>
          <w:sz w:val="24"/>
        </w:rPr>
      </w:pPr>
      <w:r>
        <w:rPr>
          <w:rFonts w:ascii="Times New Roman" w:hAnsi="Times New Roman" w:cs="Times New Roman"/>
          <w:sz w:val="24"/>
        </w:rPr>
        <w:tab/>
        <w:t xml:space="preserve">To </w:t>
      </w:r>
      <w:r w:rsidR="00384CBB">
        <w:rPr>
          <w:rFonts w:ascii="Times New Roman" w:hAnsi="Times New Roman" w:cs="Times New Roman"/>
          <w:sz w:val="24"/>
        </w:rPr>
        <w:t>an</w:t>
      </w:r>
      <w:r>
        <w:rPr>
          <w:rFonts w:ascii="Times New Roman" w:hAnsi="Times New Roman" w:cs="Times New Roman"/>
          <w:sz w:val="24"/>
        </w:rPr>
        <w:t xml:space="preserve"> extent all social classes were affected by the disease, but on different levels. Colin Platt suggests that ‘the plague was never a potent killer of the noble classes’, yet they still felt the fury of the pestilence.</w:t>
      </w:r>
      <w:r>
        <w:rPr>
          <w:rStyle w:val="FootnoteReference"/>
          <w:rFonts w:ascii="Times New Roman" w:hAnsi="Times New Roman" w:cs="Times New Roman"/>
          <w:sz w:val="24"/>
        </w:rPr>
        <w:footnoteReference w:id="16"/>
      </w:r>
      <w:r>
        <w:rPr>
          <w:rFonts w:ascii="Times New Roman" w:hAnsi="Times New Roman" w:cs="Times New Roman"/>
          <w:sz w:val="24"/>
        </w:rPr>
        <w:t xml:space="preserve"> An example of this may be the decline of the Plantagenet dynasty, as the decreasing number of the population along with the conclusion of the Hundred Years War weakened the monarchy of Britain.</w:t>
      </w:r>
      <w:r>
        <w:rPr>
          <w:rStyle w:val="FootnoteReference"/>
          <w:rFonts w:ascii="Times New Roman" w:hAnsi="Times New Roman" w:cs="Times New Roman"/>
          <w:sz w:val="24"/>
        </w:rPr>
        <w:footnoteReference w:id="17"/>
      </w:r>
      <w:r>
        <w:rPr>
          <w:rFonts w:ascii="Times New Roman" w:hAnsi="Times New Roman" w:cs="Times New Roman"/>
          <w:sz w:val="24"/>
        </w:rPr>
        <w:t xml:space="preserve"> Even so, it was largely the lower and rural classes that suffered. </w:t>
      </w:r>
      <w:r w:rsidR="00EB0471">
        <w:rPr>
          <w:rFonts w:ascii="Times New Roman" w:hAnsi="Times New Roman" w:cs="Times New Roman"/>
          <w:sz w:val="24"/>
        </w:rPr>
        <w:t xml:space="preserve">However, </w:t>
      </w:r>
      <w:r w:rsidR="00F8631E">
        <w:rPr>
          <w:rFonts w:ascii="Times New Roman" w:hAnsi="Times New Roman" w:cs="Times New Roman"/>
          <w:sz w:val="24"/>
        </w:rPr>
        <w:t>the rapid decrease in the population did lessen a divide between the noble and the lay classes somewhat. The rigidity of the feudal system was beginning to crumble, as due to the lack of labour, wages rose.</w:t>
      </w:r>
      <w:r w:rsidR="00F8631E">
        <w:rPr>
          <w:rStyle w:val="FootnoteReference"/>
          <w:rFonts w:ascii="Times New Roman" w:hAnsi="Times New Roman" w:cs="Times New Roman"/>
          <w:sz w:val="24"/>
        </w:rPr>
        <w:footnoteReference w:id="18"/>
      </w:r>
      <w:r w:rsidR="00F8631E">
        <w:rPr>
          <w:rFonts w:ascii="Times New Roman" w:hAnsi="Times New Roman" w:cs="Times New Roman"/>
          <w:sz w:val="24"/>
        </w:rPr>
        <w:t xml:space="preserve"> The overall lifestyles of the poorer classes improved, according to Colin Platt, due to the radical improvement of diets.</w:t>
      </w:r>
      <w:r w:rsidR="00F8631E">
        <w:rPr>
          <w:rStyle w:val="FootnoteReference"/>
          <w:rFonts w:ascii="Times New Roman" w:hAnsi="Times New Roman" w:cs="Times New Roman"/>
          <w:sz w:val="24"/>
        </w:rPr>
        <w:footnoteReference w:id="19"/>
      </w:r>
      <w:r w:rsidR="00B3685C">
        <w:rPr>
          <w:rFonts w:ascii="Times New Roman" w:hAnsi="Times New Roman" w:cs="Times New Roman"/>
          <w:sz w:val="24"/>
        </w:rPr>
        <w:t xml:space="preserve">Although the Black Death and various other contagious diseases would continue to ravish medieval civilisations, the pestilence of 1347 improved the standards of the agrarian culture and </w:t>
      </w:r>
      <w:r w:rsidR="00855452">
        <w:rPr>
          <w:rFonts w:ascii="Times New Roman" w:hAnsi="Times New Roman" w:cs="Times New Roman"/>
          <w:sz w:val="24"/>
        </w:rPr>
        <w:t>economical</w:t>
      </w:r>
      <w:r w:rsidR="00B3685C">
        <w:rPr>
          <w:rFonts w:ascii="Times New Roman" w:hAnsi="Times New Roman" w:cs="Times New Roman"/>
          <w:sz w:val="24"/>
        </w:rPr>
        <w:t xml:space="preserve"> industries, as Platt claims.</w:t>
      </w:r>
      <w:r w:rsidR="00855452">
        <w:rPr>
          <w:rFonts w:ascii="Times New Roman" w:hAnsi="Times New Roman" w:cs="Times New Roman"/>
          <w:sz w:val="24"/>
        </w:rPr>
        <w:t xml:space="preserve"> The conditions of housing were enhanced, new opportunities for landowners arose and so although the plague brought hefty morality loses onto towns, the rural landscape was arguably thriving during the post-epidemic period.</w:t>
      </w:r>
      <w:r w:rsidR="00855452">
        <w:rPr>
          <w:rStyle w:val="FootnoteReference"/>
          <w:rFonts w:ascii="Times New Roman" w:hAnsi="Times New Roman" w:cs="Times New Roman"/>
          <w:sz w:val="24"/>
        </w:rPr>
        <w:footnoteReference w:id="20"/>
      </w:r>
      <w:r w:rsidR="00FA3BE9">
        <w:rPr>
          <w:rFonts w:ascii="Times New Roman" w:hAnsi="Times New Roman" w:cs="Times New Roman"/>
          <w:sz w:val="24"/>
        </w:rPr>
        <w:t xml:space="preserve"> </w:t>
      </w:r>
      <w:r w:rsidR="002C61ED">
        <w:rPr>
          <w:rFonts w:ascii="Times New Roman" w:hAnsi="Times New Roman" w:cs="Times New Roman"/>
          <w:sz w:val="24"/>
        </w:rPr>
        <w:lastRenderedPageBreak/>
        <w:t>C</w:t>
      </w:r>
      <w:r w:rsidR="00FA3BE9">
        <w:rPr>
          <w:rFonts w:ascii="Times New Roman" w:hAnsi="Times New Roman" w:cs="Times New Roman"/>
          <w:sz w:val="24"/>
        </w:rPr>
        <w:t>onsidering the reports made by Platt</w:t>
      </w:r>
      <w:r w:rsidR="00764D7B">
        <w:rPr>
          <w:rFonts w:ascii="Times New Roman" w:hAnsi="Times New Roman" w:cs="Times New Roman"/>
          <w:sz w:val="24"/>
        </w:rPr>
        <w:t xml:space="preserve"> </w:t>
      </w:r>
      <w:r w:rsidR="00FA3BE9">
        <w:rPr>
          <w:rFonts w:ascii="Times New Roman" w:hAnsi="Times New Roman" w:cs="Times New Roman"/>
          <w:sz w:val="24"/>
        </w:rPr>
        <w:t xml:space="preserve">it is evident that although it was </w:t>
      </w:r>
      <w:r w:rsidR="00764D7B">
        <w:rPr>
          <w:rFonts w:ascii="Times New Roman" w:hAnsi="Times New Roman" w:cs="Times New Roman"/>
          <w:sz w:val="24"/>
        </w:rPr>
        <w:t>disastrous</w:t>
      </w:r>
      <w:r w:rsidR="00FA3BE9">
        <w:rPr>
          <w:rFonts w:ascii="Times New Roman" w:hAnsi="Times New Roman" w:cs="Times New Roman"/>
          <w:sz w:val="24"/>
        </w:rPr>
        <w:t xml:space="preserve">, the Black Death was also a gateway for </w:t>
      </w:r>
      <w:r w:rsidR="00764D7B">
        <w:rPr>
          <w:rFonts w:ascii="Times New Roman" w:hAnsi="Times New Roman" w:cs="Times New Roman"/>
          <w:sz w:val="24"/>
        </w:rPr>
        <w:t xml:space="preserve">a cultural revolution. Previously marginalised members of societies now found themselves within positions of considerable prosperity in comparison to their statuses prior to the plague. This </w:t>
      </w:r>
      <w:proofErr w:type="gramStart"/>
      <w:r w:rsidR="00764D7B">
        <w:rPr>
          <w:rFonts w:ascii="Times New Roman" w:hAnsi="Times New Roman" w:cs="Times New Roman"/>
          <w:sz w:val="24"/>
        </w:rPr>
        <w:t>in itself is</w:t>
      </w:r>
      <w:proofErr w:type="gramEnd"/>
      <w:r w:rsidR="00764D7B">
        <w:rPr>
          <w:rFonts w:ascii="Times New Roman" w:hAnsi="Times New Roman" w:cs="Times New Roman"/>
          <w:sz w:val="24"/>
        </w:rPr>
        <w:t xml:space="preserve"> a significant feat—cultural norms were disintegrating, with only those from rural and poorer constituencies benefitting from </w:t>
      </w:r>
      <w:r w:rsidR="007E67FA">
        <w:rPr>
          <w:rFonts w:ascii="Times New Roman" w:hAnsi="Times New Roman" w:cs="Times New Roman"/>
          <w:sz w:val="24"/>
        </w:rPr>
        <w:t>the changes that it brought.</w:t>
      </w:r>
    </w:p>
    <w:p w:rsidR="001F545E" w:rsidRDefault="00581634" w:rsidP="001F545E">
      <w:pPr>
        <w:spacing w:line="360" w:lineRule="auto"/>
        <w:ind w:firstLine="720"/>
        <w:rPr>
          <w:rFonts w:ascii="Times New Roman" w:hAnsi="Times New Roman" w:cs="Times New Roman"/>
          <w:sz w:val="24"/>
        </w:rPr>
      </w:pPr>
      <w:r>
        <w:rPr>
          <w:rFonts w:ascii="Times New Roman" w:hAnsi="Times New Roman" w:cs="Times New Roman"/>
          <w:sz w:val="24"/>
        </w:rPr>
        <w:t>Religion within medieval society was an important element to many livelihoods. It would come as no surprise that many would blame the outbreak on the wrath of God as a punishment for the commitment of sinful acts that went against the good of humanity.</w:t>
      </w:r>
      <w:r w:rsidR="00B309EC">
        <w:rPr>
          <w:rStyle w:val="FootnoteReference"/>
          <w:rFonts w:ascii="Times New Roman" w:hAnsi="Times New Roman" w:cs="Times New Roman"/>
          <w:sz w:val="24"/>
        </w:rPr>
        <w:footnoteReference w:id="21"/>
      </w:r>
      <w:r>
        <w:rPr>
          <w:rFonts w:ascii="Times New Roman" w:hAnsi="Times New Roman" w:cs="Times New Roman"/>
          <w:sz w:val="24"/>
        </w:rPr>
        <w:t xml:space="preserve"> </w:t>
      </w:r>
      <w:r w:rsidR="001F545E">
        <w:rPr>
          <w:rFonts w:ascii="Times New Roman" w:hAnsi="Times New Roman" w:cs="Times New Roman"/>
          <w:sz w:val="24"/>
        </w:rPr>
        <w:t xml:space="preserve">The wrath of God was a common factor of what many thought to have been the cause of the outbreak, as Giovanni Boccaccio writing from the </w:t>
      </w:r>
      <w:r w:rsidR="001F545E" w:rsidRPr="00B249A5">
        <w:rPr>
          <w:rFonts w:ascii="Times New Roman" w:hAnsi="Times New Roman" w:cs="Times New Roman"/>
          <w:i/>
          <w:sz w:val="24"/>
        </w:rPr>
        <w:t>Decameron</w:t>
      </w:r>
      <w:r w:rsidR="001F545E">
        <w:rPr>
          <w:rFonts w:ascii="Times New Roman" w:hAnsi="Times New Roman" w:cs="Times New Roman"/>
          <w:sz w:val="24"/>
        </w:rPr>
        <w:t xml:space="preserve"> remembers:</w:t>
      </w:r>
    </w:p>
    <w:p w:rsidR="001F545E" w:rsidRPr="00B309EC" w:rsidRDefault="001F545E" w:rsidP="001F545E">
      <w:pPr>
        <w:pStyle w:val="Quote"/>
        <w:jc w:val="both"/>
        <w:rPr>
          <w:rFonts w:ascii="Times New Roman" w:hAnsi="Times New Roman" w:cs="Times New Roman"/>
          <w:i w:val="0"/>
          <w:color w:val="auto"/>
          <w:sz w:val="24"/>
        </w:rPr>
      </w:pPr>
      <w:r w:rsidRPr="00B309EC">
        <w:rPr>
          <w:rFonts w:ascii="Times New Roman" w:hAnsi="Times New Roman" w:cs="Times New Roman"/>
          <w:i w:val="0"/>
          <w:color w:val="auto"/>
        </w:rPr>
        <w:t>I say, then, that the years of the beatific incarnation of the Son of God had reached the tale of one thousand three hundred and forty eight, when in the illustrious city of Florence, the fairest of all the cities of Italy, there made its appearance that deadly pestilence, which, whether disseminated by the influence of the celestial bodies, or sent upon us mortals by God in His just wrath by way of retribution for our iniquities, had had its origin some years before in the East, whence, after destroying an innumerable multitude of living beings, it had propagated itself without respite from place to place, and so calamitously, had spread into the West.</w:t>
      </w:r>
      <w:r>
        <w:rPr>
          <w:rStyle w:val="FootnoteReference"/>
          <w:rFonts w:ascii="Times New Roman" w:hAnsi="Times New Roman" w:cs="Times New Roman"/>
          <w:i w:val="0"/>
          <w:color w:val="auto"/>
        </w:rPr>
        <w:footnoteReference w:id="22"/>
      </w:r>
    </w:p>
    <w:p w:rsidR="00B309EC" w:rsidRPr="00B309EC" w:rsidRDefault="00581634" w:rsidP="001F545E">
      <w:pPr>
        <w:spacing w:line="360" w:lineRule="auto"/>
        <w:ind w:firstLine="720"/>
        <w:rPr>
          <w:rFonts w:ascii="Times New Roman" w:hAnsi="Times New Roman" w:cs="Times New Roman"/>
          <w:i/>
          <w:sz w:val="24"/>
        </w:rPr>
      </w:pPr>
      <w:r>
        <w:rPr>
          <w:rFonts w:ascii="Times New Roman" w:hAnsi="Times New Roman" w:cs="Times New Roman"/>
          <w:sz w:val="24"/>
        </w:rPr>
        <w:t>St John of Patmos, within the Book of Revelation, stresses that the ‘pestilence’ is one of the many trials issued by the Horsemen of the Apocalypse, following the opening of the seven seals.</w:t>
      </w:r>
      <w:r>
        <w:rPr>
          <w:rStyle w:val="FootnoteReference"/>
          <w:rFonts w:ascii="Times New Roman" w:hAnsi="Times New Roman" w:cs="Times New Roman"/>
          <w:sz w:val="24"/>
        </w:rPr>
        <w:footnoteReference w:id="23"/>
      </w:r>
      <w:r>
        <w:rPr>
          <w:rFonts w:ascii="Times New Roman" w:hAnsi="Times New Roman" w:cs="Times New Roman"/>
          <w:sz w:val="24"/>
        </w:rPr>
        <w:t xml:space="preserve"> The ‘horror and unnaturalness’ as of the apocalyptic vision created by John does create a profound religious vision of the Black Death.</w:t>
      </w:r>
      <w:r>
        <w:rPr>
          <w:rStyle w:val="FootnoteReference"/>
          <w:rFonts w:ascii="Times New Roman" w:hAnsi="Times New Roman" w:cs="Times New Roman"/>
          <w:sz w:val="24"/>
        </w:rPr>
        <w:footnoteReference w:id="24"/>
      </w:r>
      <w:r>
        <w:rPr>
          <w:rFonts w:ascii="Times New Roman" w:hAnsi="Times New Roman" w:cs="Times New Roman"/>
          <w:sz w:val="24"/>
        </w:rPr>
        <w:t xml:space="preserve"> </w:t>
      </w:r>
      <w:r w:rsidR="00666108">
        <w:rPr>
          <w:rFonts w:ascii="Times New Roman" w:hAnsi="Times New Roman" w:cs="Times New Roman"/>
          <w:sz w:val="24"/>
        </w:rPr>
        <w:t xml:space="preserve">It may be these jarring connotations that lead to the formation of extreme religious groups, namely the </w:t>
      </w:r>
      <w:r w:rsidR="009A28C4">
        <w:rPr>
          <w:rFonts w:ascii="Times New Roman" w:hAnsi="Times New Roman" w:cs="Times New Roman"/>
          <w:sz w:val="24"/>
        </w:rPr>
        <w:t>f</w:t>
      </w:r>
      <w:r w:rsidR="00666108">
        <w:rPr>
          <w:rFonts w:ascii="Times New Roman" w:hAnsi="Times New Roman" w:cs="Times New Roman"/>
          <w:sz w:val="24"/>
        </w:rPr>
        <w:t>lagellants. As a symbol of penance, groups of men would be seen in public wearing garb resembling Christ, undergoing painful acts of humiliation as a form of ritualistic atonement.</w:t>
      </w:r>
      <w:r w:rsidR="00666108">
        <w:rPr>
          <w:rStyle w:val="FootnoteReference"/>
          <w:rFonts w:ascii="Times New Roman" w:hAnsi="Times New Roman" w:cs="Times New Roman"/>
          <w:sz w:val="24"/>
        </w:rPr>
        <w:footnoteReference w:id="25"/>
      </w:r>
      <w:r w:rsidR="00233BC0">
        <w:rPr>
          <w:rFonts w:ascii="Times New Roman" w:hAnsi="Times New Roman" w:cs="Times New Roman"/>
          <w:sz w:val="24"/>
        </w:rPr>
        <w:t xml:space="preserve"> </w:t>
      </w:r>
      <w:r w:rsidR="009A28C4">
        <w:rPr>
          <w:rFonts w:ascii="Times New Roman" w:hAnsi="Times New Roman" w:cs="Times New Roman"/>
          <w:sz w:val="24"/>
        </w:rPr>
        <w:t xml:space="preserve">It is thought that the flagellants enacted this upon themselves to release their own fears, and the popularity of the movement quickly spread. However, the flagellants were soon deemed </w:t>
      </w:r>
      <w:r w:rsidR="009A28C4">
        <w:rPr>
          <w:rFonts w:ascii="Times New Roman" w:hAnsi="Times New Roman" w:cs="Times New Roman"/>
          <w:sz w:val="24"/>
        </w:rPr>
        <w:lastRenderedPageBreak/>
        <w:t>heretical by the Catholic Church, and the threats it posed due to its rising popularity caused its denouncement.</w:t>
      </w:r>
      <w:r w:rsidR="009A28C4">
        <w:rPr>
          <w:rStyle w:val="FootnoteReference"/>
          <w:rFonts w:ascii="Times New Roman" w:hAnsi="Times New Roman" w:cs="Times New Roman"/>
          <w:sz w:val="24"/>
        </w:rPr>
        <w:footnoteReference w:id="26"/>
      </w:r>
      <w:r w:rsidR="009A28C4">
        <w:rPr>
          <w:rFonts w:ascii="Times New Roman" w:hAnsi="Times New Roman" w:cs="Times New Roman"/>
          <w:sz w:val="24"/>
        </w:rPr>
        <w:t xml:space="preserve"> </w:t>
      </w:r>
    </w:p>
    <w:p w:rsidR="00651B30" w:rsidRDefault="00FB2A67" w:rsidP="00581634">
      <w:pPr>
        <w:spacing w:line="360" w:lineRule="auto"/>
        <w:ind w:firstLine="720"/>
        <w:jc w:val="both"/>
        <w:rPr>
          <w:rFonts w:ascii="Times New Roman" w:hAnsi="Times New Roman" w:cs="Times New Roman"/>
          <w:sz w:val="24"/>
        </w:rPr>
      </w:pPr>
      <w:r>
        <w:rPr>
          <w:noProof/>
        </w:rPr>
        <mc:AlternateContent>
          <mc:Choice Requires="wps">
            <w:drawing>
              <wp:anchor distT="0" distB="0" distL="114300" distR="114300" simplePos="0" relativeHeight="251663360" behindDoc="1" locked="0" layoutInCell="1" allowOverlap="1" wp14:anchorId="17BA2015" wp14:editId="5A6D91FB">
                <wp:simplePos x="0" y="0"/>
                <wp:positionH relativeFrom="column">
                  <wp:posOffset>2586990</wp:posOffset>
                </wp:positionH>
                <wp:positionV relativeFrom="paragraph">
                  <wp:posOffset>3187065</wp:posOffset>
                </wp:positionV>
                <wp:extent cx="314452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144520" cy="635"/>
                        </a:xfrm>
                        <a:prstGeom prst="rect">
                          <a:avLst/>
                        </a:prstGeom>
                        <a:solidFill>
                          <a:prstClr val="white"/>
                        </a:solidFill>
                        <a:ln>
                          <a:noFill/>
                        </a:ln>
                      </wps:spPr>
                      <wps:txbx>
                        <w:txbxContent>
                          <w:p w:rsidR="00FB2A67" w:rsidRPr="00FB2A67" w:rsidRDefault="00FB2A67" w:rsidP="00FB2A67">
                            <w:pPr>
                              <w:pStyle w:val="Caption"/>
                              <w:rPr>
                                <w:rFonts w:ascii="Times New Roman" w:hAnsi="Times New Roman" w:cs="Times New Roman"/>
                                <w:noProof/>
                                <w:color w:val="auto"/>
                                <w:sz w:val="24"/>
                              </w:rPr>
                            </w:pPr>
                            <w:r w:rsidRPr="00FB2A67">
                              <w:rPr>
                                <w:rFonts w:ascii="Times New Roman" w:hAnsi="Times New Roman" w:cs="Times New Roman"/>
                                <w:color w:val="auto"/>
                              </w:rPr>
                              <w:t>Fi</w:t>
                            </w:r>
                            <w:r>
                              <w:rPr>
                                <w:rFonts w:ascii="Times New Roman" w:hAnsi="Times New Roman" w:cs="Times New Roman"/>
                                <w:color w:val="auto"/>
                              </w:rPr>
                              <w:t xml:space="preserve">g. 1, </w:t>
                            </w:r>
                            <w:r w:rsidRPr="00FB2A67">
                              <w:rPr>
                                <w:rFonts w:ascii="Times New Roman" w:hAnsi="Times New Roman" w:cs="Times New Roman"/>
                                <w:color w:val="auto"/>
                              </w:rPr>
                              <w:t>Image of St. Roch addressing plague victims, T/12/4, British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BA2015" id="_x0000_t202" coordsize="21600,21600" o:spt="202" path="m,l,21600r21600,l21600,xe">
                <v:stroke joinstyle="miter"/>
                <v:path gradientshapeok="t" o:connecttype="rect"/>
              </v:shapetype>
              <v:shape id="Text Box 4" o:spid="_x0000_s1026" type="#_x0000_t202" style="position:absolute;left:0;text-align:left;margin-left:203.7pt;margin-top:250.95pt;width:247.6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" stroked="f">
                <v:textbox style="mso-fit-shape-to-text:t" inset="0,0,0,0">
                  <w:txbxContent>
                    <w:p w:rsidR="00FB2A67" w:rsidRPr="00FB2A67" w:rsidRDefault="00FB2A67" w:rsidP="00FB2A67">
                      <w:pPr>
                        <w:pStyle w:val="Caption"/>
                        <w:rPr>
                          <w:rFonts w:ascii="Times New Roman" w:hAnsi="Times New Roman" w:cs="Times New Roman"/>
                          <w:noProof/>
                          <w:color w:val="auto"/>
                          <w:sz w:val="24"/>
                        </w:rPr>
                      </w:pPr>
                      <w:r w:rsidRPr="00FB2A67">
                        <w:rPr>
                          <w:rFonts w:ascii="Times New Roman" w:hAnsi="Times New Roman" w:cs="Times New Roman"/>
                          <w:color w:val="auto"/>
                        </w:rPr>
                        <w:t>Fi</w:t>
                      </w:r>
                      <w:r>
                        <w:rPr>
                          <w:rFonts w:ascii="Times New Roman" w:hAnsi="Times New Roman" w:cs="Times New Roman"/>
                          <w:color w:val="auto"/>
                        </w:rPr>
                        <w:t xml:space="preserve">g. 1, </w:t>
                      </w:r>
                      <w:r w:rsidRPr="00FB2A67">
                        <w:rPr>
                          <w:rFonts w:ascii="Times New Roman" w:hAnsi="Times New Roman" w:cs="Times New Roman"/>
                          <w:color w:val="auto"/>
                        </w:rPr>
                        <w:t>Image of St. Roch addressing plague victims, T/12/4, British Museum</w:t>
                      </w:r>
                    </w:p>
                  </w:txbxContent>
                </v:textbox>
                <w10:wrap type="tight"/>
              </v:shape>
            </w:pict>
          </mc:Fallback>
        </mc:AlternateContent>
      </w:r>
      <w:r w:rsidR="00581634">
        <w:rPr>
          <w:rFonts w:ascii="Times New Roman" w:hAnsi="Times New Roman" w:cs="Times New Roman"/>
          <w:noProof/>
          <w:sz w:val="24"/>
        </w:rPr>
        <w:drawing>
          <wp:anchor distT="0" distB="0" distL="114300" distR="114300" simplePos="0" relativeHeight="251658240" behindDoc="1" locked="0" layoutInCell="1" allowOverlap="1">
            <wp:simplePos x="0" y="0"/>
            <wp:positionH relativeFrom="margin">
              <wp:align>right</wp:align>
            </wp:positionH>
            <wp:positionV relativeFrom="paragraph">
              <wp:posOffset>834390</wp:posOffset>
            </wp:positionV>
            <wp:extent cx="3144520" cy="2295525"/>
            <wp:effectExtent l="0" t="0" r="0" b="9525"/>
            <wp:wrapTight wrapText="bothSides">
              <wp:wrapPolygon edited="0">
                <wp:start x="0" y="0"/>
                <wp:lineTo x="0" y="21510"/>
                <wp:lineTo x="21460" y="21510"/>
                <wp:lineTo x="214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 roch the plague.jpg"/>
                    <pic:cNvPicPr/>
                  </pic:nvPicPr>
                  <pic:blipFill rotWithShape="1">
                    <a:blip r:embed="rId8">
                      <a:extLst>
                        <a:ext uri="{28A0092B-C50C-407E-A947-70E740481C1C}">
                          <a14:useLocalDpi xmlns:a14="http://schemas.microsoft.com/office/drawing/2010/main" val="0"/>
                        </a:ext>
                      </a:extLst>
                    </a:blip>
                    <a:srcRect l="1829" t="2848" r="3279" b="5812"/>
                    <a:stretch/>
                  </pic:blipFill>
                  <pic:spPr bwMode="auto">
                    <a:xfrm>
                      <a:off x="0" y="0"/>
                      <a:ext cx="3144520" cy="2295525"/>
                    </a:xfrm>
                    <a:prstGeom prst="rect">
                      <a:avLst/>
                    </a:prstGeom>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1634">
        <w:rPr>
          <w:rFonts w:ascii="Times New Roman" w:hAnsi="Times New Roman" w:cs="Times New Roman"/>
          <w:sz w:val="24"/>
        </w:rPr>
        <w:t xml:space="preserve">From yet another religious perspective, the effects of the Black Death within religion can be found within artistic forms. </w:t>
      </w:r>
      <w:r w:rsidR="00651B30">
        <w:rPr>
          <w:rFonts w:ascii="Times New Roman" w:hAnsi="Times New Roman" w:cs="Times New Roman"/>
          <w:sz w:val="24"/>
        </w:rPr>
        <w:t>St. Ro</w:t>
      </w:r>
      <w:r w:rsidR="00D40319">
        <w:rPr>
          <w:rFonts w:ascii="Times New Roman" w:hAnsi="Times New Roman" w:cs="Times New Roman"/>
          <w:sz w:val="24"/>
        </w:rPr>
        <w:t>c</w:t>
      </w:r>
      <w:r w:rsidR="00651B30">
        <w:rPr>
          <w:rFonts w:ascii="Times New Roman" w:hAnsi="Times New Roman" w:cs="Times New Roman"/>
          <w:sz w:val="24"/>
        </w:rPr>
        <w:t>h as pictured is addressing the plague victims,</w:t>
      </w:r>
      <w:r w:rsidR="00651B30">
        <w:rPr>
          <w:rStyle w:val="FootnoteReference"/>
          <w:rFonts w:ascii="Times New Roman" w:hAnsi="Times New Roman" w:cs="Times New Roman"/>
          <w:sz w:val="24"/>
        </w:rPr>
        <w:footnoteReference w:id="27"/>
      </w:r>
      <w:r w:rsidR="00D40319">
        <w:rPr>
          <w:rFonts w:ascii="Times New Roman" w:hAnsi="Times New Roman" w:cs="Times New Roman"/>
          <w:sz w:val="24"/>
        </w:rPr>
        <w:t xml:space="preserve"> as he was believed to have devoted his time to those stricken with the pestilence by curing them with the cross.</w:t>
      </w:r>
      <w:r w:rsidR="00B618FD">
        <w:rPr>
          <w:rStyle w:val="FootnoteReference"/>
          <w:rFonts w:ascii="Times New Roman" w:hAnsi="Times New Roman" w:cs="Times New Roman"/>
          <w:sz w:val="24"/>
        </w:rPr>
        <w:footnoteReference w:id="28"/>
      </w:r>
      <w:r w:rsidR="00B618FD">
        <w:rPr>
          <w:rFonts w:ascii="Times New Roman" w:hAnsi="Times New Roman" w:cs="Times New Roman"/>
          <w:sz w:val="24"/>
        </w:rPr>
        <w:t xml:space="preserve"> Roth acted on the behalf of Christ, visiting homes of those afflicted and provided round the clock care. </w:t>
      </w:r>
      <w:r w:rsidR="00341D22">
        <w:rPr>
          <w:rFonts w:ascii="Times New Roman" w:hAnsi="Times New Roman" w:cs="Times New Roman"/>
          <w:sz w:val="24"/>
        </w:rPr>
        <w:t xml:space="preserve">The affiliation of a saint with the Black Death displays that although Europe was undergoing a ‘religious revolt’ as </w:t>
      </w:r>
      <w:proofErr w:type="spellStart"/>
      <w:r w:rsidR="00341D22">
        <w:rPr>
          <w:rFonts w:ascii="Times New Roman" w:hAnsi="Times New Roman" w:cs="Times New Roman"/>
          <w:sz w:val="24"/>
        </w:rPr>
        <w:t>Coulton</w:t>
      </w:r>
      <w:proofErr w:type="spellEnd"/>
      <w:r w:rsidR="00341D22">
        <w:rPr>
          <w:rFonts w:ascii="Times New Roman" w:hAnsi="Times New Roman" w:cs="Times New Roman"/>
          <w:sz w:val="24"/>
        </w:rPr>
        <w:t xml:space="preserve"> names it, the underlying messages of religion were not altogether lost.</w:t>
      </w:r>
      <w:r w:rsidR="00341D22">
        <w:rPr>
          <w:rStyle w:val="FootnoteReference"/>
          <w:rFonts w:ascii="Times New Roman" w:hAnsi="Times New Roman" w:cs="Times New Roman"/>
          <w:sz w:val="24"/>
        </w:rPr>
        <w:footnoteReference w:id="29"/>
      </w:r>
      <w:r w:rsidR="00341D22">
        <w:rPr>
          <w:rFonts w:ascii="Times New Roman" w:hAnsi="Times New Roman" w:cs="Times New Roman"/>
          <w:sz w:val="24"/>
        </w:rPr>
        <w:t xml:space="preserve"> In </w:t>
      </w:r>
      <w:r w:rsidR="00B309EC">
        <w:rPr>
          <w:rFonts w:ascii="Times New Roman" w:hAnsi="Times New Roman" w:cs="Times New Roman"/>
          <w:sz w:val="24"/>
        </w:rPr>
        <w:t>this</w:t>
      </w:r>
      <w:r w:rsidR="00341D22">
        <w:rPr>
          <w:rFonts w:ascii="Times New Roman" w:hAnsi="Times New Roman" w:cs="Times New Roman"/>
          <w:sz w:val="24"/>
        </w:rPr>
        <w:t xml:space="preserve"> regard, the comfort of religion as displayed within images of St. Roth may provide hope within a dark time of being faced by the sudden and brutal impact of death. Perhaps falling back on religion is a way in which people could find solace, </w:t>
      </w:r>
      <w:r w:rsidR="00666108">
        <w:rPr>
          <w:rFonts w:ascii="Times New Roman" w:hAnsi="Times New Roman" w:cs="Times New Roman"/>
          <w:sz w:val="24"/>
        </w:rPr>
        <w:t>and as evident of the picture provided of St. Roth the victims seem to be leaning towards him, almost yearning for relief</w:t>
      </w:r>
      <w:r w:rsidR="00B309EC">
        <w:rPr>
          <w:rFonts w:ascii="Times New Roman" w:hAnsi="Times New Roman" w:cs="Times New Roman"/>
          <w:sz w:val="24"/>
        </w:rPr>
        <w:t>. It would also be useful to understand how the depiction of St Roth correlates into religious action, rather than the ideals existing on a woodcut and various forms of imagery. The Bishops of Bath and Wells had ordered special processions and prayers to avert the pestilence,</w:t>
      </w:r>
      <w:bookmarkStart w:id="0" w:name="_GoBack"/>
      <w:bookmarkEnd w:id="0"/>
      <w:r w:rsidR="00B309EC">
        <w:rPr>
          <w:rFonts w:ascii="Times New Roman" w:hAnsi="Times New Roman" w:cs="Times New Roman"/>
          <w:sz w:val="24"/>
        </w:rPr>
        <w:t xml:space="preserve"> as the violence of the outbreak required measures of a celestial scale.</w:t>
      </w:r>
      <w:r w:rsidR="00B309EC">
        <w:rPr>
          <w:rStyle w:val="FootnoteReference"/>
          <w:rFonts w:ascii="Times New Roman" w:hAnsi="Times New Roman" w:cs="Times New Roman"/>
          <w:sz w:val="24"/>
        </w:rPr>
        <w:footnoteReference w:id="30"/>
      </w:r>
      <w:r w:rsidR="005D26DF">
        <w:rPr>
          <w:rFonts w:ascii="Times New Roman" w:hAnsi="Times New Roman" w:cs="Times New Roman"/>
          <w:sz w:val="24"/>
        </w:rPr>
        <w:t xml:space="preserve"> </w:t>
      </w:r>
    </w:p>
    <w:p w:rsidR="005D26DF" w:rsidRPr="005D18E9" w:rsidRDefault="005D26DF" w:rsidP="00581634">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To counteract the argument on religion being an overtly comforting resolution to the Black Death, it was also discarded by many. </w:t>
      </w:r>
      <w:r w:rsidR="00F20E96">
        <w:rPr>
          <w:rFonts w:ascii="Times New Roman" w:hAnsi="Times New Roman" w:cs="Times New Roman"/>
          <w:sz w:val="24"/>
        </w:rPr>
        <w:t>People now felt that their actions now had no consequence, ‘for since men were few, they abandoned themselves to sin.’</w:t>
      </w:r>
      <w:r w:rsidR="00F20E96">
        <w:rPr>
          <w:rStyle w:val="FootnoteReference"/>
          <w:rFonts w:ascii="Times New Roman" w:hAnsi="Times New Roman" w:cs="Times New Roman"/>
          <w:sz w:val="24"/>
        </w:rPr>
        <w:footnoteReference w:id="31"/>
      </w:r>
      <w:r w:rsidR="00F20E96">
        <w:rPr>
          <w:rFonts w:ascii="Times New Roman" w:hAnsi="Times New Roman" w:cs="Times New Roman"/>
          <w:sz w:val="24"/>
        </w:rPr>
        <w:t xml:space="preserve"> The disorder of life </w:t>
      </w:r>
      <w:proofErr w:type="gramStart"/>
      <w:r w:rsidR="00F20E96">
        <w:rPr>
          <w:rFonts w:ascii="Times New Roman" w:hAnsi="Times New Roman" w:cs="Times New Roman"/>
          <w:sz w:val="24"/>
        </w:rPr>
        <w:t>as a result of</w:t>
      </w:r>
      <w:proofErr w:type="gramEnd"/>
      <w:r w:rsidR="00F20E96">
        <w:rPr>
          <w:rFonts w:ascii="Times New Roman" w:hAnsi="Times New Roman" w:cs="Times New Roman"/>
          <w:sz w:val="24"/>
        </w:rPr>
        <w:t xml:space="preserve"> the Black Death damaged traditional religious ideals in many respects, and </w:t>
      </w:r>
      <w:proofErr w:type="spellStart"/>
      <w:r w:rsidR="00F20E96">
        <w:rPr>
          <w:rFonts w:ascii="Times New Roman" w:hAnsi="Times New Roman" w:cs="Times New Roman"/>
          <w:sz w:val="24"/>
        </w:rPr>
        <w:lastRenderedPageBreak/>
        <w:t>Coulton</w:t>
      </w:r>
      <w:proofErr w:type="spellEnd"/>
      <w:r w:rsidR="00F20E96">
        <w:rPr>
          <w:rFonts w:ascii="Times New Roman" w:hAnsi="Times New Roman" w:cs="Times New Roman"/>
          <w:sz w:val="24"/>
        </w:rPr>
        <w:t xml:space="preserve"> argues that it gave way to a religious revolt.</w:t>
      </w:r>
      <w:r w:rsidR="00F20E96">
        <w:rPr>
          <w:rStyle w:val="FootnoteReference"/>
          <w:rFonts w:ascii="Times New Roman" w:hAnsi="Times New Roman" w:cs="Times New Roman"/>
          <w:sz w:val="24"/>
        </w:rPr>
        <w:footnoteReference w:id="32"/>
      </w:r>
      <w:r w:rsidR="00F20E96">
        <w:rPr>
          <w:rFonts w:ascii="Times New Roman" w:hAnsi="Times New Roman" w:cs="Times New Roman"/>
          <w:sz w:val="24"/>
        </w:rPr>
        <w:t xml:space="preserve"> </w:t>
      </w:r>
      <w:r w:rsidR="006A25D2">
        <w:rPr>
          <w:rFonts w:ascii="Times New Roman" w:hAnsi="Times New Roman" w:cs="Times New Roman"/>
          <w:sz w:val="24"/>
        </w:rPr>
        <w:t xml:space="preserve">The reasonings behind the revolt as </w:t>
      </w:r>
      <w:proofErr w:type="spellStart"/>
      <w:r w:rsidR="006A25D2">
        <w:rPr>
          <w:rFonts w:ascii="Times New Roman" w:hAnsi="Times New Roman" w:cs="Times New Roman"/>
          <w:sz w:val="24"/>
        </w:rPr>
        <w:t>Coulton</w:t>
      </w:r>
      <w:proofErr w:type="spellEnd"/>
      <w:r w:rsidR="006A25D2">
        <w:rPr>
          <w:rFonts w:ascii="Times New Roman" w:hAnsi="Times New Roman" w:cs="Times New Roman"/>
          <w:sz w:val="24"/>
        </w:rPr>
        <w:t xml:space="preserve"> suggests are numerable, but the distinct divide between the clergy and the laity was one of many that led to the decline of the churches. Due to their exposure to the infected, the mortality rate of the clergy was declining rapidly and so the people whom sought the Church for spiritual guidance found nobody there to support them.</w:t>
      </w:r>
      <w:r w:rsidR="006A25D2">
        <w:rPr>
          <w:rStyle w:val="FootnoteReference"/>
          <w:rFonts w:ascii="Times New Roman" w:hAnsi="Times New Roman" w:cs="Times New Roman"/>
          <w:sz w:val="24"/>
        </w:rPr>
        <w:footnoteReference w:id="33"/>
      </w:r>
      <w:r w:rsidR="006A25D2">
        <w:rPr>
          <w:rFonts w:ascii="Times New Roman" w:hAnsi="Times New Roman" w:cs="Times New Roman"/>
          <w:sz w:val="24"/>
        </w:rPr>
        <w:t xml:space="preserve">  Norman Cantor establishes this by writing that</w:t>
      </w:r>
      <w:r w:rsidR="002100BE">
        <w:rPr>
          <w:rFonts w:ascii="Times New Roman" w:hAnsi="Times New Roman" w:cs="Times New Roman"/>
          <w:sz w:val="24"/>
        </w:rPr>
        <w:t>:</w:t>
      </w:r>
      <w:r w:rsidR="006A25D2">
        <w:rPr>
          <w:rFonts w:ascii="Times New Roman" w:hAnsi="Times New Roman" w:cs="Times New Roman"/>
          <w:sz w:val="24"/>
        </w:rPr>
        <w:t xml:space="preserve"> ‘</w:t>
      </w:r>
      <w:r w:rsidR="002100BE">
        <w:rPr>
          <w:rFonts w:ascii="Times New Roman" w:hAnsi="Times New Roman" w:cs="Times New Roman"/>
          <w:sz w:val="24"/>
        </w:rPr>
        <w:t>I</w:t>
      </w:r>
      <w:r w:rsidR="006A25D2" w:rsidRPr="006A25D2">
        <w:rPr>
          <w:rFonts w:ascii="Times New Roman" w:hAnsi="Times New Roman" w:cs="Times New Roman"/>
          <w:sz w:val="24"/>
        </w:rPr>
        <w:t>ts direct impact on the Church was more in the way of affecting personnel. At least 40 percent of the parish clergy, equal to the mortality rate among the peasants and workers they ministered to, were in the late 1340s carried off.</w:t>
      </w:r>
      <w:r w:rsidR="006A25D2">
        <w:rPr>
          <w:rFonts w:ascii="Times New Roman" w:hAnsi="Times New Roman" w:cs="Times New Roman"/>
          <w:sz w:val="28"/>
        </w:rPr>
        <w:t>’</w:t>
      </w:r>
      <w:r w:rsidR="006A25D2">
        <w:rPr>
          <w:rStyle w:val="FootnoteReference"/>
          <w:rFonts w:ascii="Times New Roman" w:hAnsi="Times New Roman" w:cs="Times New Roman"/>
          <w:sz w:val="28"/>
        </w:rPr>
        <w:footnoteReference w:id="34"/>
      </w:r>
      <w:r w:rsidR="005D18E9">
        <w:rPr>
          <w:rFonts w:ascii="Times New Roman" w:hAnsi="Times New Roman" w:cs="Times New Roman"/>
          <w:sz w:val="28"/>
        </w:rPr>
        <w:t xml:space="preserve"> </w:t>
      </w:r>
      <w:r w:rsidR="005D18E9">
        <w:rPr>
          <w:rFonts w:ascii="Times New Roman" w:hAnsi="Times New Roman" w:cs="Times New Roman"/>
          <w:sz w:val="24"/>
        </w:rPr>
        <w:t>The depletion and the dwindling of clerical members served to create issues—like the flagellants and the sinners—that damaged the image of the Church and what it represented.</w:t>
      </w:r>
      <w:r w:rsidR="007F4638">
        <w:rPr>
          <w:rFonts w:ascii="Times New Roman" w:hAnsi="Times New Roman" w:cs="Times New Roman"/>
          <w:sz w:val="24"/>
        </w:rPr>
        <w:t xml:space="preserve"> Despite this analysation, the Church however was believed to have become wealthier </w:t>
      </w:r>
      <w:r w:rsidR="005B2B42">
        <w:rPr>
          <w:rFonts w:ascii="Times New Roman" w:hAnsi="Times New Roman" w:cs="Times New Roman"/>
          <w:sz w:val="24"/>
        </w:rPr>
        <w:t>because of</w:t>
      </w:r>
      <w:r w:rsidR="007F4638">
        <w:rPr>
          <w:rFonts w:ascii="Times New Roman" w:hAnsi="Times New Roman" w:cs="Times New Roman"/>
          <w:sz w:val="24"/>
        </w:rPr>
        <w:t xml:space="preserve"> the plagu</w:t>
      </w:r>
      <w:r w:rsidR="005B2B42">
        <w:rPr>
          <w:rFonts w:ascii="Times New Roman" w:hAnsi="Times New Roman" w:cs="Times New Roman"/>
          <w:sz w:val="24"/>
        </w:rPr>
        <w:t>e as</w:t>
      </w:r>
      <w:r w:rsidR="007F4638">
        <w:rPr>
          <w:rFonts w:ascii="Times New Roman" w:hAnsi="Times New Roman" w:cs="Times New Roman"/>
          <w:sz w:val="24"/>
        </w:rPr>
        <w:t xml:space="preserve"> </w:t>
      </w:r>
      <w:r w:rsidR="005B2B42">
        <w:rPr>
          <w:rFonts w:ascii="Times New Roman" w:hAnsi="Times New Roman" w:cs="Times New Roman"/>
          <w:sz w:val="24"/>
        </w:rPr>
        <w:t>m</w:t>
      </w:r>
      <w:r w:rsidR="007F4638">
        <w:rPr>
          <w:rFonts w:ascii="Times New Roman" w:hAnsi="Times New Roman" w:cs="Times New Roman"/>
          <w:sz w:val="24"/>
        </w:rPr>
        <w:t xml:space="preserve">any of the </w:t>
      </w:r>
      <w:r w:rsidR="005B2B42">
        <w:rPr>
          <w:rFonts w:ascii="Times New Roman" w:hAnsi="Times New Roman" w:cs="Times New Roman"/>
          <w:sz w:val="24"/>
        </w:rPr>
        <w:t xml:space="preserve">sick and </w:t>
      </w:r>
      <w:r w:rsidR="007F4638">
        <w:rPr>
          <w:rFonts w:ascii="Times New Roman" w:hAnsi="Times New Roman" w:cs="Times New Roman"/>
          <w:sz w:val="24"/>
        </w:rPr>
        <w:t>dying pledged their fortunes to the clerical establishments</w:t>
      </w:r>
      <w:r w:rsidR="005B2B42">
        <w:rPr>
          <w:rFonts w:ascii="Times New Roman" w:hAnsi="Times New Roman" w:cs="Times New Roman"/>
          <w:sz w:val="24"/>
        </w:rPr>
        <w:t>.</w:t>
      </w:r>
      <w:r w:rsidR="005B2B42">
        <w:rPr>
          <w:rStyle w:val="FootnoteReference"/>
          <w:rFonts w:ascii="Times New Roman" w:hAnsi="Times New Roman" w:cs="Times New Roman"/>
          <w:sz w:val="24"/>
        </w:rPr>
        <w:footnoteReference w:id="35"/>
      </w:r>
    </w:p>
    <w:p w:rsidR="009D21A5" w:rsidRDefault="009D21A5" w:rsidP="009D21A5">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fierce reality of dying had the masses questioning religion, but it also caused existential questions regarding the body and the soul. </w:t>
      </w:r>
      <w:r w:rsidR="00EB161C">
        <w:rPr>
          <w:rFonts w:ascii="Times New Roman" w:hAnsi="Times New Roman" w:cs="Times New Roman"/>
          <w:sz w:val="24"/>
        </w:rPr>
        <w:t xml:space="preserve">What exactly happens after one dies? </w:t>
      </w:r>
      <w:r>
        <w:rPr>
          <w:rFonts w:ascii="Times New Roman" w:hAnsi="Times New Roman" w:cs="Times New Roman"/>
          <w:sz w:val="24"/>
        </w:rPr>
        <w:t xml:space="preserve">An excerpt from </w:t>
      </w:r>
      <w:proofErr w:type="spellStart"/>
      <w:r>
        <w:rPr>
          <w:rFonts w:ascii="Times New Roman" w:hAnsi="Times New Roman" w:cs="Times New Roman"/>
          <w:sz w:val="24"/>
        </w:rPr>
        <w:t>Conlee’s</w:t>
      </w:r>
      <w:proofErr w:type="spellEnd"/>
      <w:r>
        <w:rPr>
          <w:rFonts w:ascii="Times New Roman" w:hAnsi="Times New Roman" w:cs="Times New Roman"/>
          <w:sz w:val="24"/>
        </w:rPr>
        <w:t xml:space="preserve"> Middle English </w:t>
      </w:r>
      <w:r w:rsidRPr="00E32F94">
        <w:rPr>
          <w:rFonts w:ascii="Times New Roman" w:hAnsi="Times New Roman" w:cs="Times New Roman"/>
          <w:i/>
          <w:sz w:val="24"/>
        </w:rPr>
        <w:t>Debate Between the Body and Soul</w:t>
      </w:r>
      <w:r>
        <w:rPr>
          <w:rFonts w:ascii="Times New Roman" w:hAnsi="Times New Roman" w:cs="Times New Roman"/>
          <w:sz w:val="24"/>
        </w:rPr>
        <w:t xml:space="preserve"> highlights this moral question:</w:t>
      </w:r>
    </w:p>
    <w:p w:rsidR="009D21A5" w:rsidRDefault="009D21A5" w:rsidP="009D21A5">
      <w:pPr>
        <w:pStyle w:val="Quote"/>
        <w:ind w:left="2880"/>
        <w:jc w:val="left"/>
        <w:rPr>
          <w:rFonts w:ascii="Times New Roman" w:hAnsi="Times New Roman" w:cs="Times New Roman"/>
          <w:i w:val="0"/>
          <w:color w:val="auto"/>
          <w:shd w:val="clear" w:color="auto" w:fill="FFFFFF"/>
        </w:rPr>
      </w:pPr>
      <w:proofErr w:type="spellStart"/>
      <w:r w:rsidRPr="00E32F94">
        <w:rPr>
          <w:rFonts w:ascii="Times New Roman" w:hAnsi="Times New Roman" w:cs="Times New Roman"/>
          <w:i w:val="0"/>
          <w:color w:val="auto"/>
          <w:shd w:val="clear" w:color="auto" w:fill="FFFFFF"/>
        </w:rPr>
        <w:t>Als</w:t>
      </w:r>
      <w:proofErr w:type="spellEnd"/>
      <w:r w:rsidRPr="00E32F94">
        <w:rPr>
          <w:rFonts w:ascii="Times New Roman" w:hAnsi="Times New Roman" w:cs="Times New Roman"/>
          <w:i w:val="0"/>
          <w:color w:val="auto"/>
          <w:shd w:val="clear" w:color="auto" w:fill="FFFFFF"/>
        </w:rPr>
        <w:t xml:space="preserve"> I lay in a </w:t>
      </w:r>
      <w:proofErr w:type="spellStart"/>
      <w:r w:rsidRPr="00E32F94">
        <w:rPr>
          <w:rFonts w:ascii="Times New Roman" w:hAnsi="Times New Roman" w:cs="Times New Roman"/>
          <w:i w:val="0"/>
          <w:color w:val="auto"/>
          <w:shd w:val="clear" w:color="auto" w:fill="FFFFFF"/>
        </w:rPr>
        <w:t>winteris</w:t>
      </w:r>
      <w:proofErr w:type="spellEnd"/>
      <w:r w:rsidRPr="00E32F94">
        <w:rPr>
          <w:rFonts w:ascii="Times New Roman" w:hAnsi="Times New Roman" w:cs="Times New Roman"/>
          <w:i w:val="0"/>
          <w:color w:val="auto"/>
          <w:shd w:val="clear" w:color="auto" w:fill="FFFFFF"/>
        </w:rPr>
        <w:t xml:space="preserve"> </w:t>
      </w:r>
      <w:proofErr w:type="spellStart"/>
      <w:r w:rsidRPr="00E32F94">
        <w:rPr>
          <w:rFonts w:ascii="Times New Roman" w:hAnsi="Times New Roman" w:cs="Times New Roman"/>
          <w:i w:val="0"/>
          <w:color w:val="auto"/>
          <w:shd w:val="clear" w:color="auto" w:fill="FFFFFF"/>
        </w:rPr>
        <w:t>nyt</w:t>
      </w:r>
      <w:proofErr w:type="spellEnd"/>
      <w:r w:rsidRPr="00E32F94">
        <w:rPr>
          <w:rFonts w:ascii="Times New Roman" w:hAnsi="Times New Roman" w:cs="Times New Roman"/>
          <w:i w:val="0"/>
          <w:color w:val="auto"/>
          <w:shd w:val="clear" w:color="auto" w:fill="FFFFFF"/>
        </w:rPr>
        <w:t>,</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In a </w:t>
      </w:r>
      <w:proofErr w:type="spellStart"/>
      <w:r w:rsidRPr="00E32F94">
        <w:rPr>
          <w:rFonts w:ascii="Times New Roman" w:hAnsi="Times New Roman" w:cs="Times New Roman"/>
          <w:i w:val="0"/>
          <w:color w:val="auto"/>
          <w:shd w:val="clear" w:color="auto" w:fill="FFFFFF"/>
        </w:rPr>
        <w:t>droukening</w:t>
      </w:r>
      <w:proofErr w:type="spellEnd"/>
      <w:r w:rsidRPr="00E32F94">
        <w:rPr>
          <w:rFonts w:ascii="Times New Roman" w:hAnsi="Times New Roman" w:cs="Times New Roman"/>
          <w:i w:val="0"/>
          <w:color w:val="auto"/>
          <w:shd w:val="clear" w:color="auto" w:fill="FFFFFF"/>
        </w:rPr>
        <w:t xml:space="preserve"> </w:t>
      </w:r>
      <w:proofErr w:type="spellStart"/>
      <w:r w:rsidRPr="00E32F94">
        <w:rPr>
          <w:rFonts w:ascii="Times New Roman" w:hAnsi="Times New Roman" w:cs="Times New Roman"/>
          <w:i w:val="0"/>
          <w:color w:val="auto"/>
          <w:shd w:val="clear" w:color="auto" w:fill="FFFFFF"/>
        </w:rPr>
        <w:t>bifor</w:t>
      </w:r>
      <w:proofErr w:type="spellEnd"/>
      <w:r w:rsidRPr="00E32F94">
        <w:rPr>
          <w:rFonts w:ascii="Times New Roman" w:hAnsi="Times New Roman" w:cs="Times New Roman"/>
          <w:i w:val="0"/>
          <w:color w:val="auto"/>
          <w:shd w:val="clear" w:color="auto" w:fill="FFFFFF"/>
        </w:rPr>
        <w:t xml:space="preserve"> the day, </w:t>
      </w:r>
      <w:r w:rsidRPr="00E32F94">
        <w:rPr>
          <w:rFonts w:ascii="Times New Roman" w:hAnsi="Times New Roman" w:cs="Times New Roman"/>
          <w:i w:val="0"/>
          <w:color w:val="auto"/>
        </w:rPr>
        <w:br/>
      </w:r>
      <w:proofErr w:type="spellStart"/>
      <w:r w:rsidRPr="00E32F94">
        <w:rPr>
          <w:rFonts w:ascii="Times New Roman" w:hAnsi="Times New Roman" w:cs="Times New Roman"/>
          <w:i w:val="0"/>
          <w:color w:val="auto"/>
          <w:shd w:val="clear" w:color="auto" w:fill="FFFFFF"/>
        </w:rPr>
        <w:t>Vorsothe</w:t>
      </w:r>
      <w:proofErr w:type="spellEnd"/>
      <w:r w:rsidRPr="00E32F94">
        <w:rPr>
          <w:rFonts w:ascii="Times New Roman" w:hAnsi="Times New Roman" w:cs="Times New Roman"/>
          <w:i w:val="0"/>
          <w:color w:val="auto"/>
          <w:shd w:val="clear" w:color="auto" w:fill="FFFFFF"/>
        </w:rPr>
        <w:t xml:space="preserve"> I </w:t>
      </w:r>
      <w:proofErr w:type="spellStart"/>
      <w:r w:rsidRPr="00E32F94">
        <w:rPr>
          <w:rFonts w:ascii="Times New Roman" w:hAnsi="Times New Roman" w:cs="Times New Roman"/>
          <w:i w:val="0"/>
          <w:color w:val="auto"/>
          <w:shd w:val="clear" w:color="auto" w:fill="FFFFFF"/>
        </w:rPr>
        <w:t>saugh</w:t>
      </w:r>
      <w:proofErr w:type="spellEnd"/>
      <w:r w:rsidRPr="00E32F94">
        <w:rPr>
          <w:rFonts w:ascii="Times New Roman" w:hAnsi="Times New Roman" w:cs="Times New Roman"/>
          <w:i w:val="0"/>
          <w:color w:val="auto"/>
          <w:shd w:val="clear" w:color="auto" w:fill="FFFFFF"/>
        </w:rPr>
        <w:t xml:space="preserve"> a </w:t>
      </w:r>
      <w:proofErr w:type="spellStart"/>
      <w:r w:rsidRPr="00E32F94">
        <w:rPr>
          <w:rFonts w:ascii="Times New Roman" w:hAnsi="Times New Roman" w:cs="Times New Roman"/>
          <w:i w:val="0"/>
          <w:color w:val="auto"/>
          <w:shd w:val="clear" w:color="auto" w:fill="FFFFFF"/>
        </w:rPr>
        <w:t>selly</w:t>
      </w:r>
      <w:proofErr w:type="spellEnd"/>
      <w:r w:rsidRPr="00E32F94">
        <w:rPr>
          <w:rFonts w:ascii="Times New Roman" w:hAnsi="Times New Roman" w:cs="Times New Roman"/>
          <w:i w:val="0"/>
          <w:color w:val="auto"/>
          <w:shd w:val="clear" w:color="auto" w:fill="FFFFFF"/>
        </w:rPr>
        <w:t xml:space="preserve"> </w:t>
      </w:r>
      <w:proofErr w:type="spellStart"/>
      <w:r w:rsidRPr="00E32F94">
        <w:rPr>
          <w:rFonts w:ascii="Times New Roman" w:hAnsi="Times New Roman" w:cs="Times New Roman"/>
          <w:i w:val="0"/>
          <w:color w:val="auto"/>
          <w:shd w:val="clear" w:color="auto" w:fill="FFFFFF"/>
        </w:rPr>
        <w:t>syt</w:t>
      </w:r>
      <w:proofErr w:type="spellEnd"/>
      <w:r w:rsidRPr="00E32F94">
        <w:rPr>
          <w:rFonts w:ascii="Times New Roman" w:hAnsi="Times New Roman" w:cs="Times New Roman"/>
          <w:i w:val="0"/>
          <w:color w:val="auto"/>
          <w:shd w:val="clear" w:color="auto" w:fill="FFFFFF"/>
        </w:rPr>
        <w:t>: </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A body on a </w:t>
      </w:r>
      <w:proofErr w:type="spellStart"/>
      <w:r w:rsidRPr="00E32F94">
        <w:rPr>
          <w:rFonts w:ascii="Times New Roman" w:hAnsi="Times New Roman" w:cs="Times New Roman"/>
          <w:i w:val="0"/>
          <w:color w:val="auto"/>
          <w:shd w:val="clear" w:color="auto" w:fill="FFFFFF"/>
        </w:rPr>
        <w:t>bere</w:t>
      </w:r>
      <w:proofErr w:type="spellEnd"/>
      <w:r w:rsidRPr="00E32F94">
        <w:rPr>
          <w:rFonts w:ascii="Times New Roman" w:hAnsi="Times New Roman" w:cs="Times New Roman"/>
          <w:i w:val="0"/>
          <w:color w:val="auto"/>
          <w:shd w:val="clear" w:color="auto" w:fill="FFFFFF"/>
        </w:rPr>
        <w:t xml:space="preserve"> lay</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That </w:t>
      </w:r>
      <w:proofErr w:type="spellStart"/>
      <w:r w:rsidRPr="00E32F94">
        <w:rPr>
          <w:rFonts w:ascii="Times New Roman" w:hAnsi="Times New Roman" w:cs="Times New Roman"/>
          <w:i w:val="0"/>
          <w:color w:val="auto"/>
          <w:shd w:val="clear" w:color="auto" w:fill="FFFFFF"/>
        </w:rPr>
        <w:t>havede</w:t>
      </w:r>
      <w:proofErr w:type="spellEnd"/>
      <w:r w:rsidRPr="00E32F94">
        <w:rPr>
          <w:rFonts w:ascii="Times New Roman" w:hAnsi="Times New Roman" w:cs="Times New Roman"/>
          <w:i w:val="0"/>
          <w:color w:val="auto"/>
          <w:shd w:val="clear" w:color="auto" w:fill="FFFFFF"/>
        </w:rPr>
        <w:t xml:space="preserve"> ben a </w:t>
      </w:r>
      <w:proofErr w:type="spellStart"/>
      <w:r w:rsidRPr="00E32F94">
        <w:rPr>
          <w:rFonts w:ascii="Times New Roman" w:hAnsi="Times New Roman" w:cs="Times New Roman"/>
          <w:i w:val="0"/>
          <w:color w:val="auto"/>
          <w:shd w:val="clear" w:color="auto" w:fill="FFFFFF"/>
        </w:rPr>
        <w:t>mody</w:t>
      </w:r>
      <w:proofErr w:type="spellEnd"/>
      <w:r w:rsidRPr="00E32F94">
        <w:rPr>
          <w:rFonts w:ascii="Times New Roman" w:hAnsi="Times New Roman" w:cs="Times New Roman"/>
          <w:i w:val="0"/>
          <w:color w:val="auto"/>
          <w:shd w:val="clear" w:color="auto" w:fill="FFFFFF"/>
        </w:rPr>
        <w:t xml:space="preserve"> </w:t>
      </w:r>
      <w:proofErr w:type="spellStart"/>
      <w:r w:rsidRPr="00E32F94">
        <w:rPr>
          <w:rFonts w:ascii="Times New Roman" w:hAnsi="Times New Roman" w:cs="Times New Roman"/>
          <w:i w:val="0"/>
          <w:color w:val="auto"/>
          <w:shd w:val="clear" w:color="auto" w:fill="FFFFFF"/>
        </w:rPr>
        <w:t>knyght</w:t>
      </w:r>
      <w:proofErr w:type="spellEnd"/>
      <w:r w:rsidRPr="00E32F94">
        <w:rPr>
          <w:rFonts w:ascii="Times New Roman" w:hAnsi="Times New Roman" w:cs="Times New Roman"/>
          <w:i w:val="0"/>
          <w:color w:val="auto"/>
          <w:shd w:val="clear" w:color="auto" w:fill="FFFFFF"/>
        </w:rPr>
        <w:t>, </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And </w:t>
      </w:r>
      <w:proofErr w:type="spellStart"/>
      <w:r w:rsidRPr="00E32F94">
        <w:rPr>
          <w:rFonts w:ascii="Times New Roman" w:hAnsi="Times New Roman" w:cs="Times New Roman"/>
          <w:i w:val="0"/>
          <w:color w:val="auto"/>
          <w:shd w:val="clear" w:color="auto" w:fill="FFFFFF"/>
        </w:rPr>
        <w:t>lutel</w:t>
      </w:r>
      <w:proofErr w:type="spellEnd"/>
      <w:r w:rsidRPr="00E32F94">
        <w:rPr>
          <w:rFonts w:ascii="Times New Roman" w:hAnsi="Times New Roman" w:cs="Times New Roman"/>
          <w:i w:val="0"/>
          <w:color w:val="auto"/>
          <w:shd w:val="clear" w:color="auto" w:fill="FFFFFF"/>
        </w:rPr>
        <w:t xml:space="preserve"> served God to pay; </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Loren he </w:t>
      </w:r>
      <w:proofErr w:type="spellStart"/>
      <w:r w:rsidRPr="00E32F94">
        <w:rPr>
          <w:rFonts w:ascii="Times New Roman" w:hAnsi="Times New Roman" w:cs="Times New Roman"/>
          <w:i w:val="0"/>
          <w:color w:val="auto"/>
          <w:shd w:val="clear" w:color="auto" w:fill="FFFFFF"/>
        </w:rPr>
        <w:t>haved</w:t>
      </w:r>
      <w:proofErr w:type="spellEnd"/>
      <w:r w:rsidRPr="00E32F94">
        <w:rPr>
          <w:rFonts w:ascii="Times New Roman" w:hAnsi="Times New Roman" w:cs="Times New Roman"/>
          <w:i w:val="0"/>
          <w:color w:val="auto"/>
          <w:shd w:val="clear" w:color="auto" w:fill="FFFFFF"/>
        </w:rPr>
        <w:t xml:space="preserve"> the lives </w:t>
      </w:r>
      <w:proofErr w:type="spellStart"/>
      <w:r w:rsidRPr="00E32F94">
        <w:rPr>
          <w:rFonts w:ascii="Times New Roman" w:hAnsi="Times New Roman" w:cs="Times New Roman"/>
          <w:i w:val="0"/>
          <w:color w:val="auto"/>
          <w:shd w:val="clear" w:color="auto" w:fill="FFFFFF"/>
        </w:rPr>
        <w:t>lyght</w:t>
      </w:r>
      <w:proofErr w:type="spellEnd"/>
      <w:r w:rsidRPr="00E32F94">
        <w:rPr>
          <w:rFonts w:ascii="Times New Roman" w:hAnsi="Times New Roman" w:cs="Times New Roman"/>
          <w:i w:val="0"/>
          <w:color w:val="auto"/>
          <w:shd w:val="clear" w:color="auto" w:fill="FFFFFF"/>
        </w:rPr>
        <w:t>, </w:t>
      </w:r>
      <w:r w:rsidRPr="00E32F94">
        <w:rPr>
          <w:rFonts w:ascii="Times New Roman" w:hAnsi="Times New Roman" w:cs="Times New Roman"/>
          <w:i w:val="0"/>
          <w:color w:val="auto"/>
        </w:rPr>
        <w:br/>
      </w:r>
      <w:r w:rsidRPr="00E32F94">
        <w:rPr>
          <w:rFonts w:ascii="Times New Roman" w:hAnsi="Times New Roman" w:cs="Times New Roman"/>
          <w:i w:val="0"/>
          <w:color w:val="auto"/>
          <w:shd w:val="clear" w:color="auto" w:fill="FFFFFF"/>
        </w:rPr>
        <w:t xml:space="preserve">The </w:t>
      </w:r>
      <w:proofErr w:type="spellStart"/>
      <w:r w:rsidRPr="00E32F94">
        <w:rPr>
          <w:rFonts w:ascii="Times New Roman" w:hAnsi="Times New Roman" w:cs="Times New Roman"/>
          <w:i w:val="0"/>
          <w:color w:val="auto"/>
          <w:shd w:val="clear" w:color="auto" w:fill="FFFFFF"/>
        </w:rPr>
        <w:t>gost</w:t>
      </w:r>
      <w:proofErr w:type="spellEnd"/>
      <w:r w:rsidRPr="00E32F94">
        <w:rPr>
          <w:rFonts w:ascii="Times New Roman" w:hAnsi="Times New Roman" w:cs="Times New Roman"/>
          <w:i w:val="0"/>
          <w:color w:val="auto"/>
          <w:shd w:val="clear" w:color="auto" w:fill="FFFFFF"/>
        </w:rPr>
        <w:t xml:space="preserve"> was </w:t>
      </w:r>
      <w:proofErr w:type="spellStart"/>
      <w:r w:rsidRPr="00E32F94">
        <w:rPr>
          <w:rFonts w:ascii="Times New Roman" w:hAnsi="Times New Roman" w:cs="Times New Roman"/>
          <w:i w:val="0"/>
          <w:color w:val="auto"/>
          <w:shd w:val="clear" w:color="auto" w:fill="FFFFFF"/>
        </w:rPr>
        <w:t>oute</w:t>
      </w:r>
      <w:proofErr w:type="spellEnd"/>
      <w:r w:rsidRPr="00E32F94">
        <w:rPr>
          <w:rFonts w:ascii="Times New Roman" w:hAnsi="Times New Roman" w:cs="Times New Roman"/>
          <w:i w:val="0"/>
          <w:color w:val="auto"/>
          <w:shd w:val="clear" w:color="auto" w:fill="FFFFFF"/>
        </w:rPr>
        <w:t xml:space="preserve"> and </w:t>
      </w:r>
      <w:proofErr w:type="spellStart"/>
      <w:r w:rsidRPr="00E32F94">
        <w:rPr>
          <w:rFonts w:ascii="Times New Roman" w:hAnsi="Times New Roman" w:cs="Times New Roman"/>
          <w:i w:val="0"/>
          <w:color w:val="auto"/>
          <w:shd w:val="clear" w:color="auto" w:fill="FFFFFF"/>
        </w:rPr>
        <w:t>scholde</w:t>
      </w:r>
      <w:proofErr w:type="spellEnd"/>
      <w:r w:rsidRPr="00E32F94">
        <w:rPr>
          <w:rFonts w:ascii="Times New Roman" w:hAnsi="Times New Roman" w:cs="Times New Roman"/>
          <w:i w:val="0"/>
          <w:color w:val="auto"/>
          <w:shd w:val="clear" w:color="auto" w:fill="FFFFFF"/>
        </w:rPr>
        <w:t xml:space="preserve"> away.</w:t>
      </w:r>
      <w:r>
        <w:rPr>
          <w:rStyle w:val="FootnoteReference"/>
          <w:rFonts w:ascii="Times New Roman" w:hAnsi="Times New Roman" w:cs="Times New Roman"/>
          <w:i w:val="0"/>
          <w:color w:val="auto"/>
          <w:shd w:val="clear" w:color="auto" w:fill="FFFFFF"/>
        </w:rPr>
        <w:footnoteReference w:id="36"/>
      </w:r>
    </w:p>
    <w:p w:rsidR="009D21A5" w:rsidRPr="00E32F94" w:rsidRDefault="009D21A5" w:rsidP="009D21A5">
      <w:pPr>
        <w:spacing w:line="360" w:lineRule="auto"/>
        <w:jc w:val="both"/>
        <w:rPr>
          <w:rFonts w:ascii="Times New Roman" w:hAnsi="Times New Roman" w:cs="Times New Roman"/>
          <w:sz w:val="24"/>
        </w:rPr>
      </w:pPr>
      <w:r w:rsidRPr="00E32F94">
        <w:rPr>
          <w:rFonts w:ascii="Times New Roman" w:hAnsi="Times New Roman" w:cs="Times New Roman"/>
          <w:sz w:val="24"/>
        </w:rPr>
        <w:t xml:space="preserve">The poem </w:t>
      </w:r>
      <w:r>
        <w:rPr>
          <w:rFonts w:ascii="Times New Roman" w:hAnsi="Times New Roman" w:cs="Times New Roman"/>
          <w:sz w:val="24"/>
        </w:rPr>
        <w:t xml:space="preserve">describes the battle a knight </w:t>
      </w:r>
      <w:r w:rsidR="00EB161C">
        <w:rPr>
          <w:rFonts w:ascii="Times New Roman" w:hAnsi="Times New Roman" w:cs="Times New Roman"/>
          <w:sz w:val="24"/>
        </w:rPr>
        <w:t>is experiencing</w:t>
      </w:r>
      <w:r>
        <w:rPr>
          <w:rFonts w:ascii="Times New Roman" w:hAnsi="Times New Roman" w:cs="Times New Roman"/>
          <w:sz w:val="24"/>
        </w:rPr>
        <w:t xml:space="preserve"> between his body and soul, </w:t>
      </w:r>
      <w:r w:rsidR="00EB161C">
        <w:rPr>
          <w:rFonts w:ascii="Times New Roman" w:hAnsi="Times New Roman" w:cs="Times New Roman"/>
          <w:sz w:val="24"/>
        </w:rPr>
        <w:t xml:space="preserve">as the knight’s soul had become lost with his inability to please God. This </w:t>
      </w:r>
      <w:r>
        <w:rPr>
          <w:rFonts w:ascii="Times New Roman" w:hAnsi="Times New Roman" w:cs="Times New Roman"/>
          <w:sz w:val="24"/>
        </w:rPr>
        <w:t>holds a moral message that coincides with the Catholic theological beliefs of the soul being vital counterparts of an individual.</w:t>
      </w:r>
      <w:r>
        <w:rPr>
          <w:rStyle w:val="FootnoteReference"/>
          <w:rFonts w:ascii="Times New Roman" w:hAnsi="Times New Roman" w:cs="Times New Roman"/>
          <w:sz w:val="24"/>
        </w:rPr>
        <w:footnoteReference w:id="37"/>
      </w:r>
      <w:r>
        <w:rPr>
          <w:rFonts w:ascii="Times New Roman" w:hAnsi="Times New Roman" w:cs="Times New Roman"/>
          <w:sz w:val="24"/>
        </w:rPr>
        <w:t xml:space="preserve"> Hence, writings that depict an internal struggle of this nature serves to illuminate </w:t>
      </w:r>
      <w:r>
        <w:rPr>
          <w:rFonts w:ascii="Times New Roman" w:hAnsi="Times New Roman" w:cs="Times New Roman"/>
          <w:sz w:val="24"/>
        </w:rPr>
        <w:lastRenderedPageBreak/>
        <w:t>just how deeply the medieval civilisation had been affected by the changes that the Black Death wrought, and how these changes would be found intertwining within genres of literature that followed the traumatic period.</w:t>
      </w:r>
    </w:p>
    <w:p w:rsidR="0026490A" w:rsidRPr="002C7429" w:rsidRDefault="002C7429" w:rsidP="009D21A5">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Christendom was not the only religion afflicted by the pestilence, as </w:t>
      </w:r>
      <w:r w:rsidR="00C13C83">
        <w:rPr>
          <w:rFonts w:ascii="Times New Roman" w:hAnsi="Times New Roman" w:cs="Times New Roman"/>
          <w:sz w:val="24"/>
        </w:rPr>
        <w:t xml:space="preserve">followers of Judaism found themselves becoming labelled culprits of the disease. Confessions from Jews were extorted and sent forward to other towns in a bid to further persecutions, and an example of this comes from the torture of a Jew named Agimet. The Latin translation of the confession of Agimet of Geneva in 1348 describes that </w:t>
      </w:r>
      <w:r w:rsidR="00C13C83" w:rsidRPr="00C13C83">
        <w:rPr>
          <w:rFonts w:ascii="Times New Roman" w:hAnsi="Times New Roman" w:cs="Times New Roman"/>
          <w:color w:val="000000"/>
          <w:sz w:val="24"/>
          <w:szCs w:val="24"/>
        </w:rPr>
        <w:t>Agimet “confesses further that he put some of this poison into the public fountain of the city of Toulouse”</w:t>
      </w:r>
      <w:r w:rsidR="00C13C83">
        <w:rPr>
          <w:rFonts w:ascii="Times New Roman" w:hAnsi="Times New Roman" w:cs="Times New Roman"/>
          <w:color w:val="000000"/>
          <w:sz w:val="24"/>
          <w:szCs w:val="24"/>
        </w:rPr>
        <w:t>, and thus caused its citizens to become stricken with the pestilence.</w:t>
      </w:r>
      <w:r w:rsidR="00C13C83">
        <w:rPr>
          <w:rStyle w:val="FootnoteReference"/>
          <w:rFonts w:ascii="Times New Roman" w:hAnsi="Times New Roman" w:cs="Times New Roman"/>
          <w:color w:val="000000"/>
          <w:sz w:val="24"/>
          <w:szCs w:val="24"/>
        </w:rPr>
        <w:footnoteReference w:id="38"/>
      </w:r>
      <w:r w:rsidR="00C13C83">
        <w:rPr>
          <w:rFonts w:ascii="Times New Roman" w:hAnsi="Times New Roman" w:cs="Times New Roman"/>
          <w:sz w:val="24"/>
        </w:rPr>
        <w:t xml:space="preserve">In Switzerland, Jews were burnt </w:t>
      </w:r>
      <w:proofErr w:type="gramStart"/>
      <w:r w:rsidR="00C13C83">
        <w:rPr>
          <w:rFonts w:ascii="Times New Roman" w:hAnsi="Times New Roman" w:cs="Times New Roman"/>
          <w:sz w:val="24"/>
        </w:rPr>
        <w:t>as a result</w:t>
      </w:r>
      <w:r w:rsidR="000A6C44">
        <w:rPr>
          <w:rFonts w:ascii="Times New Roman" w:hAnsi="Times New Roman" w:cs="Times New Roman"/>
          <w:sz w:val="24"/>
        </w:rPr>
        <w:t xml:space="preserve"> of</w:t>
      </w:r>
      <w:proofErr w:type="gramEnd"/>
      <w:r w:rsidR="000A6C44">
        <w:rPr>
          <w:rFonts w:ascii="Times New Roman" w:hAnsi="Times New Roman" w:cs="Times New Roman"/>
          <w:sz w:val="24"/>
        </w:rPr>
        <w:t xml:space="preserve"> such confessions</w:t>
      </w:r>
      <w:r w:rsidR="00C13C83">
        <w:rPr>
          <w:rFonts w:ascii="Times New Roman" w:hAnsi="Times New Roman" w:cs="Times New Roman"/>
          <w:sz w:val="24"/>
        </w:rPr>
        <w:t xml:space="preserve"> and </w:t>
      </w:r>
      <w:r w:rsidR="00B87584">
        <w:rPr>
          <w:rFonts w:ascii="Times New Roman" w:hAnsi="Times New Roman" w:cs="Times New Roman"/>
          <w:sz w:val="24"/>
        </w:rPr>
        <w:t>this</w:t>
      </w:r>
      <w:r w:rsidR="00C13C83">
        <w:rPr>
          <w:rFonts w:ascii="Times New Roman" w:hAnsi="Times New Roman" w:cs="Times New Roman"/>
          <w:sz w:val="24"/>
        </w:rPr>
        <w:t xml:space="preserve"> encouraged mobs across Europe to also burn Jews within </w:t>
      </w:r>
      <w:r w:rsidR="00E744A1">
        <w:rPr>
          <w:rFonts w:ascii="Times New Roman" w:hAnsi="Times New Roman" w:cs="Times New Roman"/>
          <w:sz w:val="24"/>
        </w:rPr>
        <w:t>their own</w:t>
      </w:r>
      <w:r w:rsidR="00C13C83">
        <w:rPr>
          <w:rFonts w:ascii="Times New Roman" w:hAnsi="Times New Roman" w:cs="Times New Roman"/>
          <w:sz w:val="24"/>
        </w:rPr>
        <w:t xml:space="preserve"> communities. </w:t>
      </w:r>
      <w:r w:rsidR="000A6C44">
        <w:rPr>
          <w:rFonts w:ascii="Times New Roman" w:hAnsi="Times New Roman" w:cs="Times New Roman"/>
          <w:sz w:val="24"/>
        </w:rPr>
        <w:t xml:space="preserve">Many were rounded up and executed as a collective, </w:t>
      </w:r>
      <w:r w:rsidR="00B87584">
        <w:rPr>
          <w:rFonts w:ascii="Times New Roman" w:hAnsi="Times New Roman" w:cs="Times New Roman"/>
          <w:sz w:val="24"/>
        </w:rPr>
        <w:t>often</w:t>
      </w:r>
      <w:r w:rsidR="00FA15E7">
        <w:rPr>
          <w:rFonts w:ascii="Times New Roman" w:hAnsi="Times New Roman" w:cs="Times New Roman"/>
          <w:sz w:val="24"/>
        </w:rPr>
        <w:t xml:space="preserve"> as an act of public display</w:t>
      </w:r>
      <w:r w:rsidR="00B87584">
        <w:rPr>
          <w:rFonts w:ascii="Times New Roman" w:hAnsi="Times New Roman" w:cs="Times New Roman"/>
          <w:sz w:val="24"/>
        </w:rPr>
        <w:t>s</w:t>
      </w:r>
      <w:r w:rsidR="00FA15E7">
        <w:rPr>
          <w:rFonts w:ascii="Times New Roman" w:hAnsi="Times New Roman" w:cs="Times New Roman"/>
          <w:sz w:val="24"/>
        </w:rPr>
        <w:t>.</w:t>
      </w:r>
      <w:r w:rsidR="00FA15E7">
        <w:rPr>
          <w:rStyle w:val="FootnoteReference"/>
          <w:rFonts w:ascii="Times New Roman" w:hAnsi="Times New Roman" w:cs="Times New Roman"/>
          <w:sz w:val="24"/>
        </w:rPr>
        <w:footnoteReference w:id="39"/>
      </w:r>
    </w:p>
    <w:p w:rsidR="002B7F99" w:rsidRDefault="006B29E3" w:rsidP="00D40319">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61312" behindDoc="1" locked="0" layoutInCell="1" allowOverlap="1" wp14:anchorId="4E12964F" wp14:editId="3A1D27B8">
                <wp:simplePos x="0" y="0"/>
                <wp:positionH relativeFrom="column">
                  <wp:posOffset>2886075</wp:posOffset>
                </wp:positionH>
                <wp:positionV relativeFrom="paragraph">
                  <wp:posOffset>3400425</wp:posOffset>
                </wp:positionV>
                <wp:extent cx="3086100" cy="571500"/>
                <wp:effectExtent l="0" t="0" r="0" b="0"/>
                <wp:wrapTight wrapText="bothSides">
                  <wp:wrapPolygon edited="0">
                    <wp:start x="0" y="0"/>
                    <wp:lineTo x="0" y="20880"/>
                    <wp:lineTo x="21467" y="20880"/>
                    <wp:lineTo x="21467"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086100" cy="571500"/>
                        </a:xfrm>
                        <a:prstGeom prst="rect">
                          <a:avLst/>
                        </a:prstGeom>
                        <a:solidFill>
                          <a:prstClr val="white"/>
                        </a:solidFill>
                        <a:ln>
                          <a:noFill/>
                        </a:ln>
                      </wps:spPr>
                      <wps:txbx>
                        <w:txbxContent>
                          <w:p w:rsidR="002B7F99" w:rsidRPr="00EB161C" w:rsidRDefault="002B7F99" w:rsidP="002B7F99">
                            <w:pPr>
                              <w:pStyle w:val="Caption"/>
                              <w:rPr>
                                <w:rFonts w:ascii="Times New Roman" w:hAnsi="Times New Roman" w:cs="Times New Roman"/>
                                <w:noProof/>
                              </w:rPr>
                            </w:pPr>
                            <w:r w:rsidRPr="00EB161C">
                              <w:rPr>
                                <w:rFonts w:ascii="Times New Roman" w:hAnsi="Times New Roman" w:cs="Times New Roman"/>
                              </w:rPr>
                              <w:t xml:space="preserve">Figure </w:t>
                            </w:r>
                            <w:r w:rsidR="001D1C1F">
                              <w:rPr>
                                <w:rFonts w:ascii="Times New Roman" w:hAnsi="Times New Roman" w:cs="Times New Roman"/>
                              </w:rPr>
                              <w:t xml:space="preserve">2: </w:t>
                            </w:r>
                            <w:r w:rsidRPr="00EB161C">
                              <w:rPr>
                                <w:rFonts w:ascii="Times New Roman" w:hAnsi="Times New Roman" w:cs="Times New Roman"/>
                              </w:rPr>
                              <w:t xml:space="preserve"> </w:t>
                            </w:r>
                            <w:proofErr w:type="spellStart"/>
                            <w:r w:rsidRPr="00EB161C">
                              <w:rPr>
                                <w:rFonts w:ascii="Times New Roman" w:hAnsi="Times New Roman" w:cs="Times New Roman"/>
                              </w:rPr>
                              <w:t>Danse</w:t>
                            </w:r>
                            <w:proofErr w:type="spellEnd"/>
                            <w:r w:rsidRPr="00EB161C">
                              <w:rPr>
                                <w:rFonts w:ascii="Times New Roman" w:hAnsi="Times New Roman" w:cs="Times New Roman"/>
                              </w:rPr>
                              <w:t xml:space="preserve"> Macabre</w:t>
                            </w:r>
                            <w:r w:rsidR="001D1C1F">
                              <w:rPr>
                                <w:rFonts w:ascii="Times New Roman" w:hAnsi="Times New Roman" w:cs="Times New Roman"/>
                              </w:rPr>
                              <w:t xml:space="preserve"> </w:t>
                            </w:r>
                            <w:r w:rsidRPr="00EB161C">
                              <w:rPr>
                                <w:rFonts w:ascii="Times New Roman" w:hAnsi="Times New Roman" w:cs="Times New Roman"/>
                              </w:rPr>
                              <w:t xml:space="preserve">illustration is from ‘la </w:t>
                            </w:r>
                            <w:proofErr w:type="spellStart"/>
                            <w:r w:rsidRPr="00EB161C">
                              <w:rPr>
                                <w:rFonts w:ascii="Times New Roman" w:hAnsi="Times New Roman" w:cs="Times New Roman"/>
                              </w:rPr>
                              <w:t>Danse</w:t>
                            </w:r>
                            <w:proofErr w:type="spellEnd"/>
                            <w:r w:rsidRPr="00EB161C">
                              <w:rPr>
                                <w:rFonts w:ascii="Times New Roman" w:hAnsi="Times New Roman" w:cs="Times New Roman"/>
                              </w:rPr>
                              <w:t xml:space="preserve"> </w:t>
                            </w:r>
                            <w:r w:rsidR="001D1C1F" w:rsidRPr="00EB161C">
                              <w:rPr>
                                <w:rFonts w:ascii="Times New Roman" w:hAnsi="Times New Roman" w:cs="Times New Roman"/>
                              </w:rPr>
                              <w:t>Macabr</w:t>
                            </w:r>
                            <w:r w:rsidR="001D1C1F">
                              <w:rPr>
                                <w:rFonts w:ascii="Times New Roman" w:hAnsi="Times New Roman" w:cs="Times New Roman"/>
                              </w:rPr>
                              <w:t>e’</w:t>
                            </w:r>
                            <w:r w:rsidR="001D1C1F" w:rsidRPr="00EB161C">
                              <w:rPr>
                                <w:rFonts w:ascii="Times New Roman" w:hAnsi="Times New Roman" w:cs="Times New Roman"/>
                              </w:rPr>
                              <w:t>, Lambeth</w:t>
                            </w:r>
                            <w:r w:rsidRPr="00EB161C">
                              <w:rPr>
                                <w:rFonts w:ascii="Times New Roman" w:hAnsi="Times New Roman" w:cs="Times New Roman"/>
                              </w:rPr>
                              <w:t xml:space="preserve"> Palace </w:t>
                            </w:r>
                            <w:r w:rsidR="001D1C1F">
                              <w:rPr>
                                <w:rFonts w:ascii="Times New Roman" w:hAnsi="Times New Roman" w:cs="Times New Roman"/>
                              </w:rPr>
                              <w:t>Library,</w:t>
                            </w:r>
                            <w:r w:rsidRPr="00EB161C">
                              <w:rPr>
                                <w:rFonts w:ascii="Times New Roman" w:hAnsi="Times New Roman" w:cs="Times New Roman"/>
                              </w:rPr>
                              <w:t xml:space="preserve"> MS 279.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2964F" id="Text Box 3" o:spid="_x0000_s1027" type="#_x0000_t202" style="position:absolute;left:0;text-align:left;margin-left:227.25pt;margin-top:267.75pt;width:243pt;height: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" stroked="f">
                <v:textbox inset="0,0,0,0">
                  <w:txbxContent>
                    <w:p w:rsidR="002B7F99" w:rsidRPr="00EB161C" w:rsidRDefault="002B7F99" w:rsidP="002B7F99">
                      <w:pPr>
                        <w:pStyle w:val="Caption"/>
                        <w:rPr>
                          <w:rFonts w:ascii="Times New Roman" w:hAnsi="Times New Roman" w:cs="Times New Roman"/>
                          <w:noProof/>
                        </w:rPr>
                      </w:pPr>
                      <w:r w:rsidRPr="00EB161C">
                        <w:rPr>
                          <w:rFonts w:ascii="Times New Roman" w:hAnsi="Times New Roman" w:cs="Times New Roman"/>
                        </w:rPr>
                        <w:t xml:space="preserve">Figure </w:t>
                      </w:r>
                      <w:r w:rsidR="001D1C1F">
                        <w:rPr>
                          <w:rFonts w:ascii="Times New Roman" w:hAnsi="Times New Roman" w:cs="Times New Roman"/>
                        </w:rPr>
                        <w:t xml:space="preserve">2: </w:t>
                      </w:r>
                      <w:r w:rsidRPr="00EB161C">
                        <w:rPr>
                          <w:rFonts w:ascii="Times New Roman" w:hAnsi="Times New Roman" w:cs="Times New Roman"/>
                        </w:rPr>
                        <w:t xml:space="preserve"> </w:t>
                      </w:r>
                      <w:proofErr w:type="spellStart"/>
                      <w:r w:rsidRPr="00EB161C">
                        <w:rPr>
                          <w:rFonts w:ascii="Times New Roman" w:hAnsi="Times New Roman" w:cs="Times New Roman"/>
                        </w:rPr>
                        <w:t>Danse</w:t>
                      </w:r>
                      <w:proofErr w:type="spellEnd"/>
                      <w:r w:rsidRPr="00EB161C">
                        <w:rPr>
                          <w:rFonts w:ascii="Times New Roman" w:hAnsi="Times New Roman" w:cs="Times New Roman"/>
                        </w:rPr>
                        <w:t xml:space="preserve"> Macabre</w:t>
                      </w:r>
                      <w:r w:rsidR="001D1C1F">
                        <w:rPr>
                          <w:rFonts w:ascii="Times New Roman" w:hAnsi="Times New Roman" w:cs="Times New Roman"/>
                        </w:rPr>
                        <w:t xml:space="preserve"> </w:t>
                      </w:r>
                      <w:r w:rsidRPr="00EB161C">
                        <w:rPr>
                          <w:rFonts w:ascii="Times New Roman" w:hAnsi="Times New Roman" w:cs="Times New Roman"/>
                        </w:rPr>
                        <w:t xml:space="preserve">illustration is from ‘la </w:t>
                      </w:r>
                      <w:proofErr w:type="spellStart"/>
                      <w:r w:rsidRPr="00EB161C">
                        <w:rPr>
                          <w:rFonts w:ascii="Times New Roman" w:hAnsi="Times New Roman" w:cs="Times New Roman"/>
                        </w:rPr>
                        <w:t>Danse</w:t>
                      </w:r>
                      <w:proofErr w:type="spellEnd"/>
                      <w:r w:rsidRPr="00EB161C">
                        <w:rPr>
                          <w:rFonts w:ascii="Times New Roman" w:hAnsi="Times New Roman" w:cs="Times New Roman"/>
                        </w:rPr>
                        <w:t xml:space="preserve"> </w:t>
                      </w:r>
                      <w:r w:rsidR="001D1C1F" w:rsidRPr="00EB161C">
                        <w:rPr>
                          <w:rFonts w:ascii="Times New Roman" w:hAnsi="Times New Roman" w:cs="Times New Roman"/>
                        </w:rPr>
                        <w:t>Macabr</w:t>
                      </w:r>
                      <w:r w:rsidR="001D1C1F">
                        <w:rPr>
                          <w:rFonts w:ascii="Times New Roman" w:hAnsi="Times New Roman" w:cs="Times New Roman"/>
                        </w:rPr>
                        <w:t>e’</w:t>
                      </w:r>
                      <w:r w:rsidR="001D1C1F" w:rsidRPr="00EB161C">
                        <w:rPr>
                          <w:rFonts w:ascii="Times New Roman" w:hAnsi="Times New Roman" w:cs="Times New Roman"/>
                        </w:rPr>
                        <w:t>, Lambeth</w:t>
                      </w:r>
                      <w:r w:rsidRPr="00EB161C">
                        <w:rPr>
                          <w:rFonts w:ascii="Times New Roman" w:hAnsi="Times New Roman" w:cs="Times New Roman"/>
                        </w:rPr>
                        <w:t xml:space="preserve"> Palace </w:t>
                      </w:r>
                      <w:r w:rsidR="001D1C1F">
                        <w:rPr>
                          <w:rFonts w:ascii="Times New Roman" w:hAnsi="Times New Roman" w:cs="Times New Roman"/>
                        </w:rPr>
                        <w:t>Library,</w:t>
                      </w:r>
                      <w:r w:rsidRPr="00EB161C">
                        <w:rPr>
                          <w:rFonts w:ascii="Times New Roman" w:hAnsi="Times New Roman" w:cs="Times New Roman"/>
                        </w:rPr>
                        <w:t xml:space="preserve"> MS 279.</w:t>
                      </w:r>
                    </w:p>
                  </w:txbxContent>
                </v:textbox>
                <w10:wrap type="tight"/>
              </v:shape>
            </w:pict>
          </mc:Fallback>
        </mc:AlternateContent>
      </w:r>
      <w:r>
        <w:rPr>
          <w:noProof/>
        </w:rPr>
        <w:drawing>
          <wp:anchor distT="0" distB="0" distL="114300" distR="114300" simplePos="0" relativeHeight="251659264" behindDoc="1" locked="0" layoutInCell="1" allowOverlap="1">
            <wp:simplePos x="0" y="0"/>
            <wp:positionH relativeFrom="column">
              <wp:posOffset>2724150</wp:posOffset>
            </wp:positionH>
            <wp:positionV relativeFrom="paragraph">
              <wp:posOffset>1041400</wp:posOffset>
            </wp:positionV>
            <wp:extent cx="3371850" cy="2295525"/>
            <wp:effectExtent l="0" t="0" r="0" b="9525"/>
            <wp:wrapTight wrapText="bothSides">
              <wp:wrapPolygon edited="0">
                <wp:start x="0" y="0"/>
                <wp:lineTo x="0" y="21510"/>
                <wp:lineTo x="21478" y="21510"/>
                <wp:lineTo x="21478" y="0"/>
                <wp:lineTo x="0" y="0"/>
              </wp:wrapPolygon>
            </wp:wrapTight>
            <wp:docPr id="2" name="Picture 2" descr="http://www.lambethpalacelibrary.org/files/ms_279_f_1v-2_versio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ambethpalacelibrary.org/files/ms_279_f_1v-2_version3.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71850" cy="2295525"/>
                    </a:xfrm>
                    <a:prstGeom prst="rect">
                      <a:avLst/>
                    </a:prstGeom>
                    <a:noFill/>
                    <a:ln>
                      <a:noFill/>
                    </a:ln>
                  </pic:spPr>
                </pic:pic>
              </a:graphicData>
            </a:graphic>
            <wp14:sizeRelH relativeFrom="page">
              <wp14:pctWidth>0</wp14:pctWidth>
            </wp14:sizeRelH>
            <wp14:sizeRelV relativeFrom="page">
              <wp14:pctHeight>0</wp14:pctHeight>
            </wp14:sizeRelV>
          </wp:anchor>
        </w:drawing>
      </w:r>
      <w:r w:rsidR="00230767">
        <w:rPr>
          <w:rFonts w:ascii="Times New Roman" w:hAnsi="Times New Roman" w:cs="Times New Roman"/>
          <w:sz w:val="24"/>
        </w:rPr>
        <w:tab/>
        <w:t xml:space="preserve">A </w:t>
      </w:r>
      <w:r w:rsidR="0056597C">
        <w:rPr>
          <w:rFonts w:ascii="Times New Roman" w:hAnsi="Times New Roman" w:cs="Times New Roman"/>
          <w:sz w:val="24"/>
        </w:rPr>
        <w:t xml:space="preserve">significant </w:t>
      </w:r>
      <w:r w:rsidR="00230767">
        <w:rPr>
          <w:rFonts w:ascii="Times New Roman" w:hAnsi="Times New Roman" w:cs="Times New Roman"/>
          <w:sz w:val="24"/>
        </w:rPr>
        <w:t xml:space="preserve">social shift came in the form of fashion statements, this being the accessory of mourning rings. These were symbols of remembrance for lost loved ones, often having Latin scriptures scrolling along the outskirts of the ring. Although these rings were commemorative, they were also </w:t>
      </w:r>
      <w:r w:rsidR="00D40319">
        <w:rPr>
          <w:rFonts w:ascii="Times New Roman" w:hAnsi="Times New Roman" w:cs="Times New Roman"/>
          <w:sz w:val="24"/>
        </w:rPr>
        <w:t xml:space="preserve">significant </w:t>
      </w:r>
      <w:r w:rsidR="00230767">
        <w:rPr>
          <w:rFonts w:ascii="Times New Roman" w:hAnsi="Times New Roman" w:cs="Times New Roman"/>
          <w:sz w:val="24"/>
        </w:rPr>
        <w:t xml:space="preserve">reminders as </w:t>
      </w:r>
      <w:proofErr w:type="spellStart"/>
      <w:r w:rsidR="00230767">
        <w:rPr>
          <w:rFonts w:ascii="Times New Roman" w:hAnsi="Times New Roman" w:cs="Times New Roman"/>
          <w:sz w:val="24"/>
        </w:rPr>
        <w:t>Rhianydd</w:t>
      </w:r>
      <w:proofErr w:type="spellEnd"/>
      <w:r w:rsidR="00230767">
        <w:rPr>
          <w:rFonts w:ascii="Times New Roman" w:hAnsi="Times New Roman" w:cs="Times New Roman"/>
          <w:sz w:val="24"/>
        </w:rPr>
        <w:t xml:space="preserve"> </w:t>
      </w:r>
      <w:proofErr w:type="spellStart"/>
      <w:r w:rsidR="00230767">
        <w:rPr>
          <w:rFonts w:ascii="Times New Roman" w:hAnsi="Times New Roman" w:cs="Times New Roman"/>
          <w:sz w:val="24"/>
        </w:rPr>
        <w:t>Biebrach</w:t>
      </w:r>
      <w:proofErr w:type="spellEnd"/>
      <w:r w:rsidR="00230767">
        <w:rPr>
          <w:rFonts w:ascii="Times New Roman" w:hAnsi="Times New Roman" w:cs="Times New Roman"/>
          <w:sz w:val="24"/>
        </w:rPr>
        <w:t xml:space="preserve"> writes.</w:t>
      </w:r>
      <w:r w:rsidR="00230767">
        <w:rPr>
          <w:rStyle w:val="FootnoteReference"/>
          <w:rFonts w:ascii="Times New Roman" w:hAnsi="Times New Roman" w:cs="Times New Roman"/>
          <w:sz w:val="24"/>
        </w:rPr>
        <w:footnoteReference w:id="40"/>
      </w:r>
      <w:r w:rsidR="00230767">
        <w:rPr>
          <w:rFonts w:ascii="Times New Roman" w:hAnsi="Times New Roman" w:cs="Times New Roman"/>
          <w:sz w:val="24"/>
        </w:rPr>
        <w:t xml:space="preserve"> </w:t>
      </w:r>
      <w:r w:rsidR="0056597C">
        <w:rPr>
          <w:rFonts w:ascii="Times New Roman" w:hAnsi="Times New Roman" w:cs="Times New Roman"/>
          <w:sz w:val="24"/>
        </w:rPr>
        <w:t xml:space="preserve">The reminders refer </w:t>
      </w:r>
      <w:r w:rsidR="00230767">
        <w:rPr>
          <w:rFonts w:ascii="Times New Roman" w:hAnsi="Times New Roman" w:cs="Times New Roman"/>
          <w:sz w:val="24"/>
        </w:rPr>
        <w:t xml:space="preserve">to the inherent medieval belief of ‘mementos </w:t>
      </w:r>
      <w:proofErr w:type="spellStart"/>
      <w:r w:rsidR="00230767">
        <w:rPr>
          <w:rFonts w:ascii="Times New Roman" w:hAnsi="Times New Roman" w:cs="Times New Roman"/>
          <w:sz w:val="24"/>
        </w:rPr>
        <w:t>mori</w:t>
      </w:r>
      <w:proofErr w:type="spellEnd"/>
      <w:r w:rsidR="00230767">
        <w:rPr>
          <w:rFonts w:ascii="Times New Roman" w:hAnsi="Times New Roman" w:cs="Times New Roman"/>
          <w:sz w:val="24"/>
        </w:rPr>
        <w:t>’, and the importance of remembering the inevitable end to ones’ own mortality.</w:t>
      </w:r>
      <w:r w:rsidR="0056597C">
        <w:rPr>
          <w:rStyle w:val="FootnoteReference"/>
          <w:rFonts w:ascii="Times New Roman" w:hAnsi="Times New Roman" w:cs="Times New Roman"/>
          <w:sz w:val="24"/>
        </w:rPr>
        <w:footnoteReference w:id="41"/>
      </w:r>
      <w:r w:rsidR="0056597C">
        <w:rPr>
          <w:rFonts w:ascii="Times New Roman" w:hAnsi="Times New Roman" w:cs="Times New Roman"/>
          <w:sz w:val="24"/>
        </w:rPr>
        <w:t xml:space="preserve"> The consequences of the Black Death introduced </w:t>
      </w:r>
      <w:r w:rsidR="00E32F94">
        <w:rPr>
          <w:rFonts w:ascii="Times New Roman" w:hAnsi="Times New Roman" w:cs="Times New Roman"/>
          <w:sz w:val="24"/>
        </w:rPr>
        <w:t>many other</w:t>
      </w:r>
      <w:r w:rsidR="0056597C">
        <w:rPr>
          <w:rFonts w:ascii="Times New Roman" w:hAnsi="Times New Roman" w:cs="Times New Roman"/>
          <w:sz w:val="24"/>
        </w:rPr>
        <w:t xml:space="preserve"> significant changes to society</w:t>
      </w:r>
      <w:r w:rsidR="00E32F94">
        <w:rPr>
          <w:rFonts w:ascii="Times New Roman" w:hAnsi="Times New Roman" w:cs="Times New Roman"/>
          <w:sz w:val="24"/>
        </w:rPr>
        <w:t xml:space="preserve"> unrelated to fashion</w:t>
      </w:r>
      <w:r w:rsidR="0056597C">
        <w:rPr>
          <w:rFonts w:ascii="Times New Roman" w:hAnsi="Times New Roman" w:cs="Times New Roman"/>
          <w:sz w:val="24"/>
        </w:rPr>
        <w:t>, and this may be seen within artistic</w:t>
      </w:r>
      <w:r w:rsidR="00E32F94">
        <w:rPr>
          <w:rFonts w:ascii="Times New Roman" w:hAnsi="Times New Roman" w:cs="Times New Roman"/>
          <w:sz w:val="24"/>
        </w:rPr>
        <w:t xml:space="preserve"> depictions</w:t>
      </w:r>
      <w:r w:rsidR="0056597C">
        <w:rPr>
          <w:rFonts w:ascii="Times New Roman" w:hAnsi="Times New Roman" w:cs="Times New Roman"/>
          <w:sz w:val="24"/>
        </w:rPr>
        <w:t xml:space="preserve"> and written sources. The </w:t>
      </w:r>
      <w:proofErr w:type="spellStart"/>
      <w:r w:rsidR="0056597C" w:rsidRPr="0056597C">
        <w:rPr>
          <w:rFonts w:ascii="Times New Roman" w:hAnsi="Times New Roman" w:cs="Times New Roman"/>
          <w:i/>
          <w:sz w:val="24"/>
        </w:rPr>
        <w:t>Danse</w:t>
      </w:r>
      <w:proofErr w:type="spellEnd"/>
      <w:r w:rsidR="0056597C" w:rsidRPr="0056597C">
        <w:rPr>
          <w:rFonts w:ascii="Times New Roman" w:hAnsi="Times New Roman" w:cs="Times New Roman"/>
          <w:i/>
          <w:sz w:val="24"/>
        </w:rPr>
        <w:t xml:space="preserve"> Macabre</w:t>
      </w:r>
      <w:r w:rsidR="0056597C">
        <w:rPr>
          <w:rFonts w:ascii="Times New Roman" w:hAnsi="Times New Roman" w:cs="Times New Roman"/>
          <w:sz w:val="24"/>
        </w:rPr>
        <w:t xml:space="preserve"> is one of the many genres of allegorical art that stemmed from the period, and it displays clearly the effects of what death had on the </w:t>
      </w:r>
      <w:r w:rsidR="0056597C">
        <w:rPr>
          <w:rFonts w:ascii="Times New Roman" w:hAnsi="Times New Roman" w:cs="Times New Roman"/>
          <w:sz w:val="24"/>
        </w:rPr>
        <w:lastRenderedPageBreak/>
        <w:t>population.</w:t>
      </w:r>
      <w:r w:rsidR="002B7F99">
        <w:rPr>
          <w:rFonts w:ascii="Times New Roman" w:hAnsi="Times New Roman" w:cs="Times New Roman"/>
          <w:sz w:val="24"/>
        </w:rPr>
        <w:t xml:space="preserve"> The </w:t>
      </w:r>
      <w:proofErr w:type="spellStart"/>
      <w:r w:rsidR="002B7F99" w:rsidRPr="002B7F99">
        <w:rPr>
          <w:rFonts w:ascii="Times New Roman" w:hAnsi="Times New Roman" w:cs="Times New Roman"/>
          <w:i/>
          <w:sz w:val="24"/>
        </w:rPr>
        <w:t>Danse</w:t>
      </w:r>
      <w:proofErr w:type="spellEnd"/>
      <w:r w:rsidR="002B7F99" w:rsidRPr="002B7F99">
        <w:rPr>
          <w:rFonts w:ascii="Times New Roman" w:hAnsi="Times New Roman" w:cs="Times New Roman"/>
          <w:i/>
          <w:sz w:val="24"/>
        </w:rPr>
        <w:t xml:space="preserve"> Macabre</w:t>
      </w:r>
      <w:r w:rsidR="002B7F99">
        <w:rPr>
          <w:rFonts w:ascii="Times New Roman" w:hAnsi="Times New Roman" w:cs="Times New Roman"/>
          <w:sz w:val="24"/>
        </w:rPr>
        <w:t xml:space="preserve"> served to highlight how death is altogether an equaliser, and this is certainly evident when one considers how the Black Death impacted the all spheres of the social classes. The images, as mentioned, serve to provide reminders</w:t>
      </w:r>
      <w:r w:rsidR="00A03D70">
        <w:rPr>
          <w:rFonts w:ascii="Times New Roman" w:hAnsi="Times New Roman" w:cs="Times New Roman"/>
          <w:sz w:val="24"/>
        </w:rPr>
        <w:t xml:space="preserve">, but </w:t>
      </w:r>
      <w:r w:rsidR="002B7F99">
        <w:rPr>
          <w:rFonts w:ascii="Times New Roman" w:hAnsi="Times New Roman" w:cs="Times New Roman"/>
          <w:sz w:val="24"/>
        </w:rPr>
        <w:t>they also come as threats.</w:t>
      </w:r>
      <w:r w:rsidR="002B7F99">
        <w:rPr>
          <w:rStyle w:val="FootnoteReference"/>
          <w:rFonts w:ascii="Times New Roman" w:hAnsi="Times New Roman" w:cs="Times New Roman"/>
          <w:sz w:val="24"/>
        </w:rPr>
        <w:footnoteReference w:id="42"/>
      </w:r>
      <w:r w:rsidR="002B7F99">
        <w:rPr>
          <w:rFonts w:ascii="Times New Roman" w:hAnsi="Times New Roman" w:cs="Times New Roman"/>
          <w:sz w:val="24"/>
        </w:rPr>
        <w:t xml:space="preserve"> When gazing upon the </w:t>
      </w:r>
      <w:proofErr w:type="spellStart"/>
      <w:r w:rsidR="002B7F99" w:rsidRPr="002B7F99">
        <w:rPr>
          <w:rFonts w:ascii="Times New Roman" w:hAnsi="Times New Roman" w:cs="Times New Roman"/>
          <w:i/>
          <w:sz w:val="24"/>
        </w:rPr>
        <w:t>Danse</w:t>
      </w:r>
      <w:proofErr w:type="spellEnd"/>
      <w:r w:rsidR="002B7F99" w:rsidRPr="002B7F99">
        <w:rPr>
          <w:rFonts w:ascii="Times New Roman" w:hAnsi="Times New Roman" w:cs="Times New Roman"/>
          <w:i/>
          <w:sz w:val="24"/>
        </w:rPr>
        <w:t xml:space="preserve"> Macabre</w:t>
      </w:r>
      <w:r w:rsidR="002B7F99">
        <w:rPr>
          <w:rFonts w:ascii="Times New Roman" w:hAnsi="Times New Roman" w:cs="Times New Roman"/>
          <w:sz w:val="24"/>
        </w:rPr>
        <w:t>, it may have been specifically designed to heed a warning to those who lead sinful lives. They are portraits designed to make one reflect on their actions and how mistakes could be rectified.</w:t>
      </w:r>
      <w:r w:rsidR="002B7F99">
        <w:rPr>
          <w:rStyle w:val="FootnoteReference"/>
          <w:rFonts w:ascii="Times New Roman" w:hAnsi="Times New Roman" w:cs="Times New Roman"/>
          <w:sz w:val="24"/>
        </w:rPr>
        <w:footnoteReference w:id="43"/>
      </w:r>
    </w:p>
    <w:p w:rsidR="000A6C44" w:rsidRDefault="00243084" w:rsidP="00243084">
      <w:pPr>
        <w:spacing w:line="360" w:lineRule="auto"/>
        <w:jc w:val="both"/>
        <w:rPr>
          <w:rFonts w:ascii="Times New Roman" w:hAnsi="Times New Roman" w:cs="Times New Roman"/>
          <w:sz w:val="24"/>
        </w:rPr>
      </w:pPr>
      <w:r>
        <w:rPr>
          <w:rFonts w:ascii="Times New Roman" w:hAnsi="Times New Roman" w:cs="Times New Roman"/>
          <w:sz w:val="24"/>
        </w:rPr>
        <w:tab/>
        <w:t xml:space="preserve">In conclusion, it is apparent that the Black Death paved the way for many social, agricultural and religious changes. The effects of the plague brought upon a new era of consciousness, as seen within prose and imagery that stemmed from the period. Individuals were questioning the fragility of humanity, and the devastation of the population losses led to a social revolution of the peasant and lay classes. </w:t>
      </w:r>
      <w:r w:rsidR="00442320">
        <w:rPr>
          <w:rFonts w:ascii="Times New Roman" w:hAnsi="Times New Roman" w:cs="Times New Roman"/>
          <w:sz w:val="24"/>
        </w:rPr>
        <w:t xml:space="preserve">It also opened the floodgates towards understanding disease and how to control an infection that spread with such viciousness. However, the effects that arose from the Black Death were not altogether positive. The burning of the Jews and the infliction of pain upon the bodies of those seeking atonement rids the historian of rose-tinted glasses, making one see the reality of death and destruction, and the </w:t>
      </w:r>
      <w:r w:rsidR="00E01D73">
        <w:rPr>
          <w:rFonts w:ascii="Times New Roman" w:hAnsi="Times New Roman" w:cs="Times New Roman"/>
          <w:sz w:val="24"/>
        </w:rPr>
        <w:t xml:space="preserve">sheer </w:t>
      </w:r>
      <w:r w:rsidR="00442320">
        <w:rPr>
          <w:rFonts w:ascii="Times New Roman" w:hAnsi="Times New Roman" w:cs="Times New Roman"/>
          <w:sz w:val="24"/>
        </w:rPr>
        <w:t>desperation it left in its wake.</w:t>
      </w:r>
    </w:p>
    <w:p w:rsidR="00F512C5" w:rsidRDefault="00F512C5" w:rsidP="00243084">
      <w:pPr>
        <w:spacing w:line="360" w:lineRule="auto"/>
        <w:jc w:val="both"/>
        <w:rPr>
          <w:rFonts w:ascii="Times New Roman" w:hAnsi="Times New Roman" w:cs="Times New Roman"/>
          <w:sz w:val="24"/>
        </w:rPr>
      </w:pPr>
    </w:p>
    <w:p w:rsidR="00F512C5" w:rsidRDefault="00F512C5" w:rsidP="006B29E3">
      <w:pPr>
        <w:spacing w:line="360" w:lineRule="auto"/>
        <w:jc w:val="center"/>
        <w:rPr>
          <w:rFonts w:ascii="Times New Roman" w:hAnsi="Times New Roman" w:cs="Times New Roman"/>
          <w:b/>
          <w:sz w:val="24"/>
          <w:u w:val="single"/>
        </w:rPr>
      </w:pPr>
      <w:r w:rsidRPr="00F512C5">
        <w:rPr>
          <w:rFonts w:ascii="Times New Roman" w:hAnsi="Times New Roman" w:cs="Times New Roman"/>
          <w:b/>
          <w:sz w:val="24"/>
          <w:u w:val="single"/>
        </w:rPr>
        <w:t>Bibliography</w:t>
      </w:r>
    </w:p>
    <w:p w:rsidR="00F512C5" w:rsidRDefault="00F512C5" w:rsidP="00F512C5">
      <w:pPr>
        <w:pStyle w:val="ListParagraph"/>
        <w:numPr>
          <w:ilvl w:val="0"/>
          <w:numId w:val="1"/>
        </w:numPr>
        <w:spacing w:line="360" w:lineRule="auto"/>
        <w:rPr>
          <w:rFonts w:ascii="Times New Roman" w:hAnsi="Times New Roman" w:cs="Times New Roman"/>
          <w:b/>
          <w:sz w:val="24"/>
          <w:u w:val="single"/>
        </w:rPr>
      </w:pPr>
      <w:r>
        <w:rPr>
          <w:rFonts w:ascii="Times New Roman" w:hAnsi="Times New Roman" w:cs="Times New Roman"/>
          <w:b/>
          <w:sz w:val="24"/>
          <w:u w:val="single"/>
        </w:rPr>
        <w:t>Primary Sources</w:t>
      </w:r>
    </w:p>
    <w:p w:rsidR="00111591" w:rsidRPr="00FB2A67" w:rsidRDefault="001D1C1F" w:rsidP="00FB2A67">
      <w:pPr>
        <w:rPr>
          <w:rFonts w:ascii="Times New Roman" w:hAnsi="Times New Roman" w:cs="Times New Roman"/>
          <w:sz w:val="24"/>
          <w:szCs w:val="24"/>
        </w:rPr>
      </w:pPr>
      <w:r w:rsidRPr="00FB2A67">
        <w:rPr>
          <w:rFonts w:ascii="Times New Roman" w:hAnsi="Times New Roman" w:cs="Times New Roman"/>
          <w:sz w:val="24"/>
          <w:szCs w:val="24"/>
        </w:rPr>
        <w:t xml:space="preserve">Fig 1: Image of St. Roch addressing plague victims, </w:t>
      </w:r>
      <w:r w:rsidR="00676860" w:rsidRPr="00FB2A67">
        <w:rPr>
          <w:rFonts w:ascii="Times New Roman" w:hAnsi="Times New Roman" w:cs="Times New Roman"/>
          <w:sz w:val="24"/>
          <w:szCs w:val="24"/>
        </w:rPr>
        <w:t>T/12/4</w:t>
      </w:r>
      <w:r w:rsidR="00676860" w:rsidRPr="00FB2A67">
        <w:rPr>
          <w:rFonts w:ascii="Times New Roman" w:hAnsi="Times New Roman" w:cs="Times New Roman"/>
          <w:sz w:val="24"/>
          <w:szCs w:val="24"/>
        </w:rPr>
        <w:t xml:space="preserve">, </w:t>
      </w:r>
      <w:r w:rsidRPr="00FB2A67">
        <w:rPr>
          <w:rFonts w:ascii="Times New Roman" w:hAnsi="Times New Roman" w:cs="Times New Roman"/>
          <w:sz w:val="24"/>
          <w:szCs w:val="24"/>
        </w:rPr>
        <w:t>British Museum</w:t>
      </w:r>
      <w:r w:rsidR="00676860" w:rsidRPr="00FB2A67">
        <w:rPr>
          <w:rFonts w:ascii="Times New Roman" w:hAnsi="Times New Roman" w:cs="Times New Roman"/>
          <w:sz w:val="24"/>
          <w:szCs w:val="24"/>
        </w:rPr>
        <w:t xml:space="preserve">, Surrey. </w:t>
      </w:r>
    </w:p>
    <w:p w:rsidR="001D1C1F" w:rsidRPr="00FB2A67" w:rsidRDefault="001D1C1F" w:rsidP="00FB2A67">
      <w:pPr>
        <w:rPr>
          <w:rFonts w:ascii="Times New Roman" w:hAnsi="Times New Roman" w:cs="Times New Roman"/>
          <w:sz w:val="24"/>
          <w:szCs w:val="24"/>
        </w:rPr>
      </w:pPr>
      <w:r w:rsidRPr="00FB2A67">
        <w:rPr>
          <w:rFonts w:ascii="Times New Roman" w:hAnsi="Times New Roman" w:cs="Times New Roman"/>
          <w:sz w:val="24"/>
          <w:szCs w:val="24"/>
        </w:rPr>
        <w:t xml:space="preserve">Fig 2: </w:t>
      </w:r>
      <w:proofErr w:type="spellStart"/>
      <w:r w:rsidRPr="00FB2A67">
        <w:rPr>
          <w:rFonts w:ascii="Times New Roman" w:hAnsi="Times New Roman" w:cs="Times New Roman"/>
          <w:sz w:val="24"/>
          <w:szCs w:val="24"/>
        </w:rPr>
        <w:t>Danse</w:t>
      </w:r>
      <w:proofErr w:type="spellEnd"/>
      <w:r w:rsidRPr="00FB2A67">
        <w:rPr>
          <w:rFonts w:ascii="Times New Roman" w:hAnsi="Times New Roman" w:cs="Times New Roman"/>
          <w:sz w:val="24"/>
          <w:szCs w:val="24"/>
        </w:rPr>
        <w:t xml:space="preserve"> Macabre illustration from ‘la </w:t>
      </w:r>
      <w:proofErr w:type="spellStart"/>
      <w:r w:rsidRPr="00FB2A67">
        <w:rPr>
          <w:rFonts w:ascii="Times New Roman" w:hAnsi="Times New Roman" w:cs="Times New Roman"/>
          <w:sz w:val="24"/>
          <w:szCs w:val="24"/>
        </w:rPr>
        <w:t>Danse</w:t>
      </w:r>
      <w:proofErr w:type="spellEnd"/>
      <w:r w:rsidRPr="00FB2A67">
        <w:rPr>
          <w:rFonts w:ascii="Times New Roman" w:hAnsi="Times New Roman" w:cs="Times New Roman"/>
          <w:sz w:val="24"/>
          <w:szCs w:val="24"/>
        </w:rPr>
        <w:t xml:space="preserve"> Macabre</w:t>
      </w:r>
      <w:r w:rsidRPr="00FB2A67">
        <w:rPr>
          <w:rFonts w:ascii="Times New Roman" w:hAnsi="Times New Roman" w:cs="Times New Roman"/>
          <w:sz w:val="24"/>
          <w:szCs w:val="24"/>
        </w:rPr>
        <w:t>’</w:t>
      </w:r>
      <w:r w:rsidRPr="00FB2A67">
        <w:rPr>
          <w:rFonts w:ascii="Times New Roman" w:hAnsi="Times New Roman" w:cs="Times New Roman"/>
          <w:sz w:val="24"/>
          <w:szCs w:val="24"/>
        </w:rPr>
        <w:t>, Lambeth Palace Library, MS 279.</w:t>
      </w:r>
    </w:p>
    <w:p w:rsidR="00111591" w:rsidRPr="00FB2A67" w:rsidRDefault="00676860" w:rsidP="00FB2A67">
      <w:pPr>
        <w:rPr>
          <w:rStyle w:val="hbodytext"/>
          <w:rFonts w:ascii="Times New Roman" w:hAnsi="Times New Roman" w:cs="Times New Roman"/>
          <w:iCs/>
          <w:color w:val="000000"/>
          <w:sz w:val="24"/>
          <w:szCs w:val="24"/>
        </w:rPr>
      </w:pPr>
      <w:r w:rsidRPr="00FB2A67">
        <w:rPr>
          <w:rFonts w:ascii="Times New Roman" w:hAnsi="Times New Roman" w:cs="Times New Roman"/>
          <w:sz w:val="24"/>
          <w:szCs w:val="24"/>
        </w:rPr>
        <w:t xml:space="preserve">Boccaccio’s </w:t>
      </w:r>
      <w:r w:rsidR="00111591" w:rsidRPr="00FB2A67">
        <w:rPr>
          <w:rStyle w:val="hbodytext"/>
          <w:rFonts w:ascii="Times New Roman" w:hAnsi="Times New Roman" w:cs="Times New Roman"/>
          <w:i/>
          <w:iCs/>
          <w:color w:val="000000"/>
          <w:sz w:val="24"/>
          <w:szCs w:val="24"/>
        </w:rPr>
        <w:t>The Decameron</w:t>
      </w:r>
      <w:r w:rsidR="00111591" w:rsidRPr="00FB2A67">
        <w:rPr>
          <w:rStyle w:val="hbodytext"/>
          <w:rFonts w:ascii="Times New Roman" w:hAnsi="Times New Roman" w:cs="Times New Roman"/>
          <w:iCs/>
          <w:color w:val="000000"/>
          <w:sz w:val="24"/>
          <w:szCs w:val="24"/>
        </w:rPr>
        <w:t>,</w:t>
      </w:r>
      <w:r w:rsidRPr="00FB2A67">
        <w:rPr>
          <w:rStyle w:val="hbodytext"/>
          <w:rFonts w:ascii="Times New Roman" w:hAnsi="Times New Roman" w:cs="Times New Roman"/>
          <w:iCs/>
          <w:color w:val="000000"/>
          <w:sz w:val="24"/>
          <w:szCs w:val="24"/>
        </w:rPr>
        <w:t xml:space="preserve"> </w:t>
      </w:r>
      <w:r w:rsidR="00111591" w:rsidRPr="00FB2A67">
        <w:rPr>
          <w:rStyle w:val="hbodytext"/>
          <w:rFonts w:ascii="Times New Roman" w:hAnsi="Times New Roman" w:cs="Times New Roman"/>
          <w:iCs/>
          <w:color w:val="000000"/>
          <w:sz w:val="24"/>
          <w:szCs w:val="24"/>
        </w:rPr>
        <w:t>trans</w:t>
      </w:r>
      <w:r w:rsidRPr="00FB2A67">
        <w:rPr>
          <w:rStyle w:val="hbodytext"/>
          <w:rFonts w:ascii="Times New Roman" w:hAnsi="Times New Roman" w:cs="Times New Roman"/>
          <w:iCs/>
          <w:color w:val="000000"/>
          <w:sz w:val="24"/>
          <w:szCs w:val="24"/>
        </w:rPr>
        <w:t>lated by M. Riggs</w:t>
      </w:r>
      <w:r w:rsidR="00111591" w:rsidRPr="00FB2A67">
        <w:rPr>
          <w:rStyle w:val="hbodytext"/>
          <w:rFonts w:ascii="Times New Roman" w:hAnsi="Times New Roman" w:cs="Times New Roman"/>
          <w:iCs/>
          <w:color w:val="000000"/>
          <w:sz w:val="24"/>
          <w:szCs w:val="24"/>
        </w:rPr>
        <w:t xml:space="preserve"> (London: David Campbell, 1921)</w:t>
      </w:r>
      <w:r w:rsidR="00FB2A67" w:rsidRPr="00FB2A67">
        <w:rPr>
          <w:rStyle w:val="hbodytext"/>
          <w:rFonts w:ascii="Times New Roman" w:hAnsi="Times New Roman" w:cs="Times New Roman"/>
          <w:iCs/>
          <w:color w:val="000000"/>
          <w:sz w:val="24"/>
          <w:szCs w:val="24"/>
        </w:rPr>
        <w:t>.</w:t>
      </w:r>
    </w:p>
    <w:p w:rsidR="006B29E3" w:rsidRDefault="00FB2A67" w:rsidP="006B29E3">
      <w:pPr>
        <w:rPr>
          <w:rFonts w:ascii="Times New Roman" w:hAnsi="Times New Roman" w:cs="Times New Roman"/>
          <w:sz w:val="24"/>
          <w:szCs w:val="24"/>
        </w:rPr>
      </w:pPr>
      <w:r w:rsidRPr="00FB2A67">
        <w:rPr>
          <w:rFonts w:ascii="Times New Roman" w:hAnsi="Times New Roman" w:cs="Times New Roman"/>
          <w:sz w:val="24"/>
          <w:szCs w:val="24"/>
        </w:rPr>
        <w:t xml:space="preserve">Fordham University, ‘Pistoia’ (1994), [online]. Available at: </w:t>
      </w:r>
      <w:hyperlink r:id="rId10" w:history="1">
        <w:r w:rsidRPr="00FB2A67">
          <w:rPr>
            <w:rStyle w:val="Hyperlink"/>
            <w:rFonts w:ascii="Times New Roman" w:hAnsi="Times New Roman" w:cs="Times New Roman"/>
            <w:sz w:val="24"/>
            <w:szCs w:val="24"/>
          </w:rPr>
          <w:t>https://sourcebooks.fordham.edu/med/pistoia.asp</w:t>
        </w:r>
      </w:hyperlink>
      <w:r w:rsidRPr="00FB2A67">
        <w:rPr>
          <w:rFonts w:ascii="Times New Roman" w:hAnsi="Times New Roman" w:cs="Times New Roman"/>
          <w:sz w:val="24"/>
          <w:szCs w:val="24"/>
        </w:rPr>
        <w:t>. (Accessed: 5 Dec 2017).</w:t>
      </w:r>
      <w:r w:rsidR="006B29E3" w:rsidRPr="006B29E3">
        <w:rPr>
          <w:rFonts w:ascii="Times New Roman" w:hAnsi="Times New Roman" w:cs="Times New Roman"/>
          <w:sz w:val="24"/>
          <w:szCs w:val="24"/>
        </w:rPr>
        <w:t xml:space="preserve"> </w:t>
      </w:r>
    </w:p>
    <w:p w:rsidR="006B29E3" w:rsidRPr="00FB2A67" w:rsidRDefault="006B29E3" w:rsidP="006B29E3">
      <w:pPr>
        <w:rPr>
          <w:rFonts w:ascii="Times New Roman" w:hAnsi="Times New Roman" w:cs="Times New Roman"/>
          <w:sz w:val="24"/>
          <w:szCs w:val="24"/>
        </w:rPr>
      </w:pPr>
      <w:r w:rsidRPr="00FB2A67">
        <w:rPr>
          <w:rFonts w:ascii="Times New Roman" w:hAnsi="Times New Roman" w:cs="Times New Roman"/>
          <w:sz w:val="24"/>
          <w:szCs w:val="24"/>
        </w:rPr>
        <w:t xml:space="preserve">J. Marcus, </w:t>
      </w:r>
      <w:r w:rsidRPr="00FB2A67">
        <w:rPr>
          <w:rFonts w:ascii="Times New Roman" w:hAnsi="Times New Roman" w:cs="Times New Roman"/>
          <w:i/>
          <w:sz w:val="24"/>
          <w:szCs w:val="24"/>
        </w:rPr>
        <w:t>The Jew in the Medieval World: A Sourcebook</w:t>
      </w:r>
      <w:r w:rsidRPr="00FB2A67">
        <w:rPr>
          <w:rFonts w:ascii="Times New Roman" w:hAnsi="Times New Roman" w:cs="Times New Roman"/>
          <w:sz w:val="24"/>
          <w:szCs w:val="24"/>
        </w:rPr>
        <w:t xml:space="preserve"> (New York: JPS, 1938), pp. 43-48</w:t>
      </w:r>
    </w:p>
    <w:p w:rsidR="00111591" w:rsidRPr="00FB2A67" w:rsidRDefault="00111591" w:rsidP="00FB2A67">
      <w:pPr>
        <w:rPr>
          <w:rFonts w:ascii="Times New Roman" w:hAnsi="Times New Roman" w:cs="Times New Roman"/>
          <w:sz w:val="24"/>
          <w:szCs w:val="24"/>
        </w:rPr>
      </w:pPr>
    </w:p>
    <w:p w:rsidR="00F512C5" w:rsidRPr="00F512C5" w:rsidRDefault="00F512C5" w:rsidP="00F512C5">
      <w:pPr>
        <w:pStyle w:val="ListParagraph"/>
        <w:numPr>
          <w:ilvl w:val="0"/>
          <w:numId w:val="1"/>
        </w:numPr>
        <w:spacing w:line="360" w:lineRule="auto"/>
        <w:rPr>
          <w:rFonts w:ascii="Times New Roman" w:hAnsi="Times New Roman" w:cs="Times New Roman"/>
          <w:b/>
          <w:sz w:val="24"/>
          <w:u w:val="single"/>
        </w:rPr>
      </w:pPr>
      <w:r w:rsidRPr="00F512C5">
        <w:rPr>
          <w:rFonts w:ascii="Times New Roman" w:hAnsi="Times New Roman" w:cs="Times New Roman"/>
          <w:b/>
          <w:sz w:val="24"/>
          <w:u w:val="single"/>
        </w:rPr>
        <w:t xml:space="preserve">Secondary Sources </w:t>
      </w:r>
    </w:p>
    <w:p w:rsidR="00F512C5" w:rsidRDefault="00664AD2" w:rsidP="00F512C5">
      <w:pPr>
        <w:spacing w:line="360" w:lineRule="auto"/>
        <w:rPr>
          <w:rFonts w:ascii="Times New Roman" w:hAnsi="Times New Roman" w:cs="Times New Roman"/>
          <w:sz w:val="24"/>
        </w:rPr>
      </w:pPr>
      <w:proofErr w:type="spellStart"/>
      <w:r>
        <w:rPr>
          <w:rFonts w:ascii="Times New Roman" w:hAnsi="Times New Roman" w:cs="Times New Roman"/>
          <w:sz w:val="24"/>
        </w:rPr>
        <w:lastRenderedPageBreak/>
        <w:t>Coulton</w:t>
      </w:r>
      <w:proofErr w:type="spellEnd"/>
      <w:r>
        <w:rPr>
          <w:rFonts w:ascii="Times New Roman" w:hAnsi="Times New Roman" w:cs="Times New Roman"/>
          <w:sz w:val="24"/>
        </w:rPr>
        <w:t xml:space="preserve">, </w:t>
      </w:r>
      <w:r w:rsidR="00111591">
        <w:rPr>
          <w:rFonts w:ascii="Times New Roman" w:hAnsi="Times New Roman" w:cs="Times New Roman"/>
          <w:sz w:val="24"/>
        </w:rPr>
        <w:t xml:space="preserve">G.G., </w:t>
      </w:r>
      <w:r w:rsidR="00111591" w:rsidRPr="00111591">
        <w:rPr>
          <w:rFonts w:ascii="Times New Roman" w:hAnsi="Times New Roman" w:cs="Times New Roman"/>
          <w:i/>
          <w:sz w:val="24"/>
        </w:rPr>
        <w:t>The Black Death</w:t>
      </w:r>
      <w:r w:rsidR="00111591">
        <w:rPr>
          <w:rFonts w:ascii="Times New Roman" w:hAnsi="Times New Roman" w:cs="Times New Roman"/>
          <w:sz w:val="24"/>
        </w:rPr>
        <w:t xml:space="preserve"> (London: Ernest Benn Limited, </w:t>
      </w:r>
      <w:r w:rsidR="001F73DE">
        <w:rPr>
          <w:rFonts w:ascii="Times New Roman" w:hAnsi="Times New Roman" w:cs="Times New Roman"/>
          <w:sz w:val="24"/>
        </w:rPr>
        <w:t>1919</w:t>
      </w:r>
      <w:r w:rsidR="00111591">
        <w:rPr>
          <w:rFonts w:ascii="Times New Roman" w:hAnsi="Times New Roman" w:cs="Times New Roman"/>
          <w:sz w:val="24"/>
        </w:rPr>
        <w:t>).</w:t>
      </w:r>
    </w:p>
    <w:p w:rsidR="006B29E3" w:rsidRPr="00FB2A67" w:rsidRDefault="006B29E3" w:rsidP="006B29E3">
      <w:pPr>
        <w:spacing w:line="360" w:lineRule="auto"/>
        <w:rPr>
          <w:rFonts w:ascii="Times New Roman" w:hAnsi="Times New Roman" w:cs="Times New Roman"/>
          <w:sz w:val="24"/>
          <w:szCs w:val="24"/>
          <w:shd w:val="clear" w:color="auto" w:fill="FFFFFF"/>
        </w:rPr>
      </w:pPr>
      <w:r w:rsidRPr="00FB2A67">
        <w:rPr>
          <w:rFonts w:ascii="Times New Roman" w:hAnsi="Times New Roman" w:cs="Times New Roman"/>
          <w:sz w:val="24"/>
          <w:szCs w:val="24"/>
        </w:rPr>
        <w:t xml:space="preserve">Cohn, S., The Black Death and the Burning of the Jews, </w:t>
      </w:r>
      <w:r w:rsidRPr="00FB2A67">
        <w:rPr>
          <w:rStyle w:val="Emphasis"/>
          <w:rFonts w:ascii="Times New Roman" w:hAnsi="Times New Roman" w:cs="Times New Roman"/>
          <w:i w:val="0"/>
          <w:color w:val="2A2A2A"/>
          <w:sz w:val="24"/>
          <w:szCs w:val="24"/>
          <w:bdr w:val="none" w:sz="0" w:space="0" w:color="auto" w:frame="1"/>
          <w:shd w:val="clear" w:color="auto" w:fill="FFFFFF"/>
        </w:rPr>
        <w:t>Past &amp; Present</w:t>
      </w:r>
      <w:r w:rsidRPr="00FB2A67">
        <w:rPr>
          <w:rFonts w:ascii="Times New Roman" w:hAnsi="Times New Roman" w:cs="Times New Roman"/>
          <w:sz w:val="24"/>
          <w:szCs w:val="24"/>
          <w:shd w:val="clear" w:color="auto" w:fill="FFFFFF"/>
        </w:rPr>
        <w:t xml:space="preserve">, vol. 196, Issue 1, 2007, </w:t>
      </w:r>
      <w:r>
        <w:rPr>
          <w:rFonts w:ascii="Times New Roman" w:hAnsi="Times New Roman" w:cs="Times New Roman"/>
          <w:sz w:val="24"/>
          <w:szCs w:val="24"/>
          <w:shd w:val="clear" w:color="auto" w:fill="FFFFFF"/>
        </w:rPr>
        <w:t>pp.</w:t>
      </w:r>
      <w:r w:rsidRPr="00FB2A67">
        <w:rPr>
          <w:rFonts w:ascii="Times New Roman" w:hAnsi="Times New Roman" w:cs="Times New Roman"/>
          <w:sz w:val="24"/>
          <w:szCs w:val="24"/>
          <w:shd w:val="clear" w:color="auto" w:fill="FFFFFF"/>
        </w:rPr>
        <w:t xml:space="preserve"> 3–36</w:t>
      </w:r>
    </w:p>
    <w:p w:rsidR="00825BA6" w:rsidRPr="00825BA6" w:rsidRDefault="00111591" w:rsidP="00825BA6">
      <w:pPr>
        <w:spacing w:line="360" w:lineRule="auto"/>
        <w:rPr>
          <w:rFonts w:ascii="Times New Roman" w:hAnsi="Times New Roman" w:cs="Times New Roman"/>
          <w:sz w:val="24"/>
        </w:rPr>
      </w:pPr>
      <w:r>
        <w:rPr>
          <w:rFonts w:ascii="Times New Roman" w:hAnsi="Times New Roman" w:cs="Times New Roman"/>
          <w:sz w:val="24"/>
        </w:rPr>
        <w:t>Deaux</w:t>
      </w:r>
      <w:r w:rsidR="00664AD2">
        <w:rPr>
          <w:rFonts w:ascii="Times New Roman" w:hAnsi="Times New Roman" w:cs="Times New Roman"/>
          <w:sz w:val="24"/>
        </w:rPr>
        <w:t xml:space="preserve">, G., </w:t>
      </w:r>
      <w:r w:rsidRPr="00111591">
        <w:rPr>
          <w:rFonts w:ascii="Times New Roman" w:hAnsi="Times New Roman" w:cs="Times New Roman"/>
          <w:i/>
          <w:sz w:val="24"/>
        </w:rPr>
        <w:t>The Black Death 1347</w:t>
      </w:r>
      <w:r>
        <w:rPr>
          <w:rFonts w:ascii="Times New Roman" w:hAnsi="Times New Roman" w:cs="Times New Roman"/>
          <w:sz w:val="24"/>
        </w:rPr>
        <w:t xml:space="preserve"> (London: Hamish Hamilton, 1969).</w:t>
      </w:r>
    </w:p>
    <w:p w:rsidR="00825BA6" w:rsidRDefault="00825BA6" w:rsidP="00825BA6">
      <w:pPr>
        <w:pStyle w:val="NoSpacing"/>
        <w:rPr>
          <w:rFonts w:ascii="Times New Roman" w:hAnsi="Times New Roman" w:cs="Times New Roman"/>
          <w:sz w:val="24"/>
          <w:szCs w:val="24"/>
        </w:rPr>
      </w:pPr>
      <w:r w:rsidRPr="00676860">
        <w:rPr>
          <w:rFonts w:ascii="Times New Roman" w:hAnsi="Times New Roman" w:cs="Times New Roman"/>
          <w:sz w:val="24"/>
          <w:szCs w:val="24"/>
        </w:rPr>
        <w:t xml:space="preserve">Emily Rebekah Huber, ‘Death, Dying, and the Culture of the Macabre in the Late Middle Ages’, Robbins Library, </w:t>
      </w:r>
      <w:r w:rsidRPr="00676860">
        <w:rPr>
          <w:rStyle w:val="FootnoteReference"/>
          <w:rFonts w:ascii="Times New Roman" w:hAnsi="Times New Roman" w:cs="Times New Roman"/>
          <w:sz w:val="24"/>
          <w:szCs w:val="24"/>
        </w:rPr>
        <w:t xml:space="preserve">, </w:t>
      </w:r>
      <w:r w:rsidRPr="00676860">
        <w:rPr>
          <w:rFonts w:ascii="Times New Roman" w:hAnsi="Times New Roman" w:cs="Times New Roman"/>
          <w:sz w:val="24"/>
          <w:szCs w:val="24"/>
        </w:rPr>
        <w:t xml:space="preserve">[online]. Available at: </w:t>
      </w:r>
      <w:hyperlink r:id="rId11" w:history="1">
        <w:r w:rsidRPr="00676860">
          <w:rPr>
            <w:rStyle w:val="Hyperlink"/>
            <w:rFonts w:ascii="Times New Roman" w:hAnsi="Times New Roman" w:cs="Times New Roman"/>
            <w:sz w:val="24"/>
            <w:szCs w:val="24"/>
          </w:rPr>
          <w:t>https://www.library.rochester.edu/robbins/death</w:t>
        </w:r>
      </w:hyperlink>
      <w:r w:rsidRPr="00676860">
        <w:rPr>
          <w:rFonts w:ascii="Times New Roman" w:hAnsi="Times New Roman" w:cs="Times New Roman"/>
          <w:sz w:val="24"/>
          <w:szCs w:val="24"/>
        </w:rPr>
        <w:t>. (Accessed 5 Dec 2017).</w:t>
      </w:r>
    </w:p>
    <w:p w:rsidR="00825BA6" w:rsidRPr="00676860" w:rsidRDefault="00825BA6" w:rsidP="00825BA6">
      <w:pPr>
        <w:pStyle w:val="NoSpacing"/>
        <w:rPr>
          <w:rFonts w:ascii="Times New Roman" w:hAnsi="Times New Roman" w:cs="Times New Roman"/>
          <w:sz w:val="24"/>
          <w:szCs w:val="24"/>
        </w:rPr>
      </w:pPr>
    </w:p>
    <w:p w:rsidR="006B29E3" w:rsidRPr="00FB2A67" w:rsidRDefault="006B29E3" w:rsidP="006B29E3">
      <w:pPr>
        <w:pStyle w:val="NoSpacing"/>
        <w:rPr>
          <w:rStyle w:val="Hyperlink"/>
          <w:rFonts w:ascii="Times New Roman" w:hAnsi="Times New Roman" w:cs="Times New Roman"/>
          <w:color w:val="auto"/>
          <w:sz w:val="24"/>
          <w:szCs w:val="24"/>
          <w:u w:val="none"/>
        </w:rPr>
      </w:pPr>
      <w:r w:rsidRPr="00FB2A67">
        <w:rPr>
          <w:rFonts w:ascii="Times New Roman" w:hAnsi="Times New Roman" w:cs="Times New Roman"/>
          <w:sz w:val="24"/>
          <w:szCs w:val="24"/>
        </w:rPr>
        <w:t xml:space="preserve">G. Cleary, ‘St. Roch’, The Catholic </w:t>
      </w:r>
      <w:proofErr w:type="spellStart"/>
      <w:r w:rsidRPr="00FB2A67">
        <w:rPr>
          <w:rFonts w:ascii="Times New Roman" w:hAnsi="Times New Roman" w:cs="Times New Roman"/>
          <w:sz w:val="24"/>
          <w:szCs w:val="24"/>
        </w:rPr>
        <w:t>Encylopedia</w:t>
      </w:r>
      <w:proofErr w:type="spellEnd"/>
      <w:r w:rsidRPr="00FB2A67">
        <w:rPr>
          <w:rFonts w:ascii="Times New Roman" w:hAnsi="Times New Roman" w:cs="Times New Roman"/>
          <w:sz w:val="24"/>
          <w:szCs w:val="24"/>
        </w:rPr>
        <w:t xml:space="preserve">, [online]. Available at: </w:t>
      </w:r>
      <w:hyperlink r:id="rId12" w:history="1">
        <w:r w:rsidRPr="00FB2A67">
          <w:rPr>
            <w:rStyle w:val="Hyperlink"/>
            <w:rFonts w:ascii="Times New Roman" w:hAnsi="Times New Roman" w:cs="Times New Roman"/>
            <w:sz w:val="24"/>
            <w:szCs w:val="24"/>
          </w:rPr>
          <w:t>http://www.newadvent.org/cathen/13100c.htm</w:t>
        </w:r>
      </w:hyperlink>
      <w:r w:rsidRPr="00FB2A67">
        <w:rPr>
          <w:rStyle w:val="Hyperlink"/>
          <w:rFonts w:ascii="Times New Roman" w:hAnsi="Times New Roman" w:cs="Times New Roman"/>
          <w:sz w:val="24"/>
          <w:szCs w:val="24"/>
        </w:rPr>
        <w:t xml:space="preserve">. </w:t>
      </w:r>
      <w:r w:rsidRPr="00FB2A67">
        <w:rPr>
          <w:rStyle w:val="Hyperlink"/>
          <w:rFonts w:ascii="Times New Roman" w:hAnsi="Times New Roman" w:cs="Times New Roman"/>
          <w:color w:val="auto"/>
          <w:sz w:val="24"/>
          <w:szCs w:val="24"/>
          <w:u w:val="none"/>
        </w:rPr>
        <w:t>(Accessed: 4 Dec 2017).</w:t>
      </w:r>
    </w:p>
    <w:p w:rsidR="00111591" w:rsidRPr="00FB2A67" w:rsidRDefault="00111591" w:rsidP="00F512C5">
      <w:pPr>
        <w:spacing w:line="360" w:lineRule="auto"/>
        <w:rPr>
          <w:rFonts w:ascii="Times New Roman" w:hAnsi="Times New Roman" w:cs="Times New Roman"/>
          <w:sz w:val="24"/>
          <w:szCs w:val="24"/>
        </w:rPr>
      </w:pPr>
      <w:r w:rsidRPr="00FB2A67">
        <w:rPr>
          <w:rFonts w:ascii="Times New Roman" w:hAnsi="Times New Roman" w:cs="Times New Roman"/>
          <w:sz w:val="24"/>
          <w:szCs w:val="24"/>
        </w:rPr>
        <w:t>Platt</w:t>
      </w:r>
      <w:r w:rsidR="00664AD2" w:rsidRPr="00FB2A67">
        <w:rPr>
          <w:rFonts w:ascii="Times New Roman" w:hAnsi="Times New Roman" w:cs="Times New Roman"/>
          <w:sz w:val="24"/>
          <w:szCs w:val="24"/>
        </w:rPr>
        <w:t>, C.</w:t>
      </w:r>
      <w:r w:rsidRPr="00FB2A67">
        <w:rPr>
          <w:rFonts w:ascii="Times New Roman" w:hAnsi="Times New Roman" w:cs="Times New Roman"/>
          <w:sz w:val="24"/>
          <w:szCs w:val="24"/>
        </w:rPr>
        <w:t xml:space="preserve">, </w:t>
      </w:r>
      <w:r w:rsidRPr="00FB2A67">
        <w:rPr>
          <w:rFonts w:ascii="Times New Roman" w:hAnsi="Times New Roman" w:cs="Times New Roman"/>
          <w:i/>
          <w:sz w:val="24"/>
          <w:szCs w:val="24"/>
        </w:rPr>
        <w:t>King Death: The Black Death and its Aftermath</w:t>
      </w:r>
      <w:r w:rsidRPr="00FB2A67">
        <w:rPr>
          <w:rFonts w:ascii="Times New Roman" w:hAnsi="Times New Roman" w:cs="Times New Roman"/>
          <w:sz w:val="24"/>
          <w:szCs w:val="24"/>
        </w:rPr>
        <w:t xml:space="preserve"> (London: UCL Press Limited, 1997).</w:t>
      </w:r>
    </w:p>
    <w:p w:rsidR="00825BA6" w:rsidRPr="00FB2A67" w:rsidRDefault="00825BA6" w:rsidP="00825BA6">
      <w:pPr>
        <w:spacing w:line="360" w:lineRule="auto"/>
        <w:rPr>
          <w:rFonts w:ascii="Times New Roman" w:hAnsi="Times New Roman" w:cs="Times New Roman"/>
          <w:sz w:val="24"/>
          <w:szCs w:val="24"/>
        </w:rPr>
      </w:pPr>
      <w:r w:rsidRPr="00FB2A67">
        <w:rPr>
          <w:rFonts w:ascii="Times New Roman" w:hAnsi="Times New Roman" w:cs="Times New Roman"/>
          <w:sz w:val="24"/>
          <w:szCs w:val="24"/>
        </w:rPr>
        <w:t xml:space="preserve">Jim Dale, ‘Normans and the Plantagenets’, Chevening (2017), [online]. Available at: </w:t>
      </w:r>
      <w:hyperlink r:id="rId13" w:history="1">
        <w:r w:rsidRPr="00FB2A67">
          <w:rPr>
            <w:rStyle w:val="Hyperlink"/>
            <w:rFonts w:ascii="Times New Roman" w:hAnsi="Times New Roman" w:cs="Times New Roman"/>
            <w:sz w:val="24"/>
            <w:szCs w:val="24"/>
          </w:rPr>
          <w:t>http://www.chevening.org/schol</w:t>
        </w:r>
        <w:r w:rsidRPr="00FB2A67">
          <w:rPr>
            <w:rStyle w:val="Hyperlink"/>
            <w:rFonts w:ascii="Times New Roman" w:hAnsi="Times New Roman" w:cs="Times New Roman"/>
            <w:sz w:val="24"/>
            <w:szCs w:val="24"/>
          </w:rPr>
          <w:t>a</w:t>
        </w:r>
        <w:r w:rsidRPr="00FB2A67">
          <w:rPr>
            <w:rStyle w:val="Hyperlink"/>
            <w:rFonts w:ascii="Times New Roman" w:hAnsi="Times New Roman" w:cs="Times New Roman"/>
            <w:sz w:val="24"/>
            <w:szCs w:val="24"/>
          </w:rPr>
          <w:t>rs/blog/2017/the-normans-and-plantagenets</w:t>
        </w:r>
      </w:hyperlink>
      <w:r w:rsidRPr="00FB2A67">
        <w:rPr>
          <w:rFonts w:ascii="Times New Roman" w:hAnsi="Times New Roman" w:cs="Times New Roman"/>
          <w:sz w:val="24"/>
          <w:szCs w:val="24"/>
        </w:rPr>
        <w:t>. (Accessed: 4 Dec 2017).</w:t>
      </w:r>
    </w:p>
    <w:p w:rsidR="00825BA6" w:rsidRDefault="00825BA6" w:rsidP="00825BA6">
      <w:pPr>
        <w:pStyle w:val="FootnoteText"/>
        <w:rPr>
          <w:rFonts w:ascii="Times New Roman" w:hAnsi="Times New Roman" w:cs="Times New Roman"/>
          <w:sz w:val="24"/>
          <w:szCs w:val="24"/>
        </w:rPr>
      </w:pPr>
      <w:r w:rsidRPr="00FB2A67">
        <w:rPr>
          <w:rFonts w:ascii="Times New Roman" w:hAnsi="Times New Roman" w:cs="Times New Roman"/>
          <w:sz w:val="24"/>
          <w:szCs w:val="24"/>
        </w:rPr>
        <w:t xml:space="preserve">Louisa Woodville, ‘The Black Death’, Khan Academy (2014), [online]. Available at: </w:t>
      </w:r>
      <w:hyperlink r:id="rId14" w:history="1">
        <w:r w:rsidRPr="00FB2A67">
          <w:rPr>
            <w:rStyle w:val="Hyperlink"/>
            <w:rFonts w:ascii="Times New Roman" w:hAnsi="Times New Roman" w:cs="Times New Roman"/>
            <w:sz w:val="24"/>
            <w:szCs w:val="24"/>
          </w:rPr>
          <w:t>https://www.khanacademy.org/humanities/renaissance-reformation/late-gothic-italy/beginners-guide-late-gothic/a/the-black-death</w:t>
        </w:r>
      </w:hyperlink>
      <w:r w:rsidRPr="00FB2A67">
        <w:rPr>
          <w:rFonts w:ascii="Times New Roman" w:hAnsi="Times New Roman" w:cs="Times New Roman"/>
          <w:sz w:val="24"/>
          <w:szCs w:val="24"/>
        </w:rPr>
        <w:t>. (Accessed 5 Dec 2017).</w:t>
      </w:r>
    </w:p>
    <w:p w:rsidR="00825BA6" w:rsidRPr="00FB2A67" w:rsidRDefault="00825BA6" w:rsidP="00825BA6">
      <w:pPr>
        <w:pStyle w:val="FootnoteText"/>
        <w:rPr>
          <w:rFonts w:ascii="Times New Roman" w:hAnsi="Times New Roman" w:cs="Times New Roman"/>
          <w:sz w:val="24"/>
          <w:szCs w:val="24"/>
        </w:rPr>
      </w:pPr>
    </w:p>
    <w:p w:rsidR="00825BA6" w:rsidRPr="00FB2A67" w:rsidRDefault="00825BA6" w:rsidP="00825BA6">
      <w:pPr>
        <w:spacing w:line="360" w:lineRule="auto"/>
        <w:rPr>
          <w:rFonts w:ascii="Times New Roman" w:hAnsi="Times New Roman" w:cs="Times New Roman"/>
          <w:sz w:val="24"/>
          <w:szCs w:val="24"/>
        </w:rPr>
      </w:pPr>
      <w:r w:rsidRPr="00FB2A67">
        <w:rPr>
          <w:rFonts w:ascii="Times New Roman" w:hAnsi="Times New Roman" w:cs="Times New Roman"/>
          <w:sz w:val="24"/>
          <w:szCs w:val="24"/>
        </w:rPr>
        <w:t xml:space="preserve">Lenski, R.,  </w:t>
      </w:r>
      <w:hyperlink r:id="rId15" w:history="1">
        <w:r w:rsidRPr="00FB2A67">
          <w:rPr>
            <w:rStyle w:val="Hyperlink"/>
            <w:rFonts w:ascii="Times New Roman" w:hAnsi="Times New Roman" w:cs="Times New Roman"/>
            <w:i/>
            <w:iCs/>
            <w:color w:val="auto"/>
            <w:sz w:val="24"/>
            <w:szCs w:val="24"/>
            <w:u w:val="none"/>
          </w:rPr>
          <w:t>The Interpretation of St. John's Revelation</w:t>
        </w:r>
      </w:hyperlink>
      <w:r w:rsidRPr="00FB2A67">
        <w:rPr>
          <w:rFonts w:ascii="Times New Roman" w:hAnsi="Times New Roman" w:cs="Times New Roman"/>
          <w:sz w:val="24"/>
          <w:szCs w:val="24"/>
        </w:rPr>
        <w:t xml:space="preserve"> (Minnesota: Augsburg Fortress Publishers, 2008)</w:t>
      </w:r>
      <w:r>
        <w:rPr>
          <w:rFonts w:ascii="Times New Roman" w:hAnsi="Times New Roman" w:cs="Times New Roman"/>
          <w:sz w:val="24"/>
          <w:szCs w:val="24"/>
        </w:rPr>
        <w:t>.</w:t>
      </w:r>
    </w:p>
    <w:p w:rsidR="00825BA6" w:rsidRPr="00FB2A67" w:rsidRDefault="00825BA6" w:rsidP="00825BA6">
      <w:pPr>
        <w:spacing w:line="360" w:lineRule="auto"/>
        <w:rPr>
          <w:rFonts w:ascii="Times New Roman" w:hAnsi="Times New Roman" w:cs="Times New Roman"/>
          <w:sz w:val="24"/>
          <w:szCs w:val="24"/>
        </w:rPr>
      </w:pPr>
      <w:r w:rsidRPr="00FB2A67">
        <w:rPr>
          <w:rFonts w:ascii="Times New Roman" w:hAnsi="Times New Roman" w:cs="Times New Roman"/>
          <w:color w:val="000000"/>
          <w:sz w:val="24"/>
          <w:szCs w:val="24"/>
        </w:rPr>
        <w:t xml:space="preserve">Marks, G., </w:t>
      </w:r>
      <w:r w:rsidRPr="00FB2A67">
        <w:rPr>
          <w:rFonts w:ascii="Times New Roman" w:hAnsi="Times New Roman" w:cs="Times New Roman"/>
          <w:i/>
          <w:color w:val="000000"/>
          <w:sz w:val="24"/>
          <w:szCs w:val="24"/>
        </w:rPr>
        <w:t xml:space="preserve">The Medieval Plague; the Black Death of the Middle Ages </w:t>
      </w:r>
      <w:r w:rsidRPr="00FB2A67">
        <w:rPr>
          <w:rFonts w:ascii="Times New Roman" w:hAnsi="Times New Roman" w:cs="Times New Roman"/>
          <w:color w:val="000000"/>
          <w:sz w:val="24"/>
          <w:szCs w:val="24"/>
        </w:rPr>
        <w:t>(New York: Doubleday, 1971).</w:t>
      </w:r>
      <w:r w:rsidRPr="00FB2A67">
        <w:rPr>
          <w:rFonts w:ascii="Times New Roman" w:hAnsi="Times New Roman" w:cs="Times New Roman"/>
          <w:sz w:val="24"/>
          <w:szCs w:val="24"/>
        </w:rPr>
        <w:t xml:space="preserve"> </w:t>
      </w:r>
    </w:p>
    <w:p w:rsidR="00825BA6" w:rsidRDefault="00825BA6" w:rsidP="00825BA6">
      <w:pPr>
        <w:pStyle w:val="FootnoteText"/>
        <w:rPr>
          <w:rFonts w:ascii="Times New Roman" w:hAnsi="Times New Roman" w:cs="Times New Roman"/>
          <w:sz w:val="24"/>
          <w:szCs w:val="24"/>
        </w:rPr>
      </w:pPr>
      <w:r w:rsidRPr="00FB2A67">
        <w:rPr>
          <w:rFonts w:ascii="Times New Roman" w:hAnsi="Times New Roman" w:cs="Times New Roman"/>
          <w:i/>
          <w:sz w:val="24"/>
          <w:szCs w:val="24"/>
        </w:rPr>
        <w:t>Medieval England as Viewed by Contemporaries</w:t>
      </w:r>
      <w:r w:rsidRPr="00FB2A67">
        <w:rPr>
          <w:rFonts w:ascii="Times New Roman" w:hAnsi="Times New Roman" w:cs="Times New Roman"/>
          <w:sz w:val="24"/>
          <w:szCs w:val="24"/>
        </w:rPr>
        <w:t xml:space="preserve">, ed. W. O. Hassall, (New York: </w:t>
      </w:r>
      <w:proofErr w:type="spellStart"/>
      <w:r w:rsidRPr="00FB2A67">
        <w:rPr>
          <w:rFonts w:ascii="Times New Roman" w:hAnsi="Times New Roman" w:cs="Times New Roman"/>
          <w:sz w:val="24"/>
          <w:szCs w:val="24"/>
        </w:rPr>
        <w:t>Torchbooks</w:t>
      </w:r>
      <w:proofErr w:type="spellEnd"/>
      <w:r w:rsidRPr="00FB2A67">
        <w:rPr>
          <w:rFonts w:ascii="Times New Roman" w:hAnsi="Times New Roman" w:cs="Times New Roman"/>
          <w:sz w:val="24"/>
          <w:szCs w:val="24"/>
        </w:rPr>
        <w:t xml:space="preserve">, 1965). </w:t>
      </w:r>
    </w:p>
    <w:p w:rsidR="00825BA6" w:rsidRDefault="00825BA6" w:rsidP="00825BA6">
      <w:pPr>
        <w:pStyle w:val="FootnoteText"/>
        <w:rPr>
          <w:rFonts w:ascii="Times New Roman" w:hAnsi="Times New Roman" w:cs="Times New Roman"/>
          <w:sz w:val="24"/>
          <w:szCs w:val="24"/>
        </w:rPr>
      </w:pPr>
    </w:p>
    <w:p w:rsidR="00664AD2" w:rsidRPr="00FB2A67" w:rsidRDefault="00676860" w:rsidP="00F512C5">
      <w:pPr>
        <w:spacing w:line="360" w:lineRule="auto"/>
        <w:rPr>
          <w:rFonts w:ascii="Times New Roman" w:hAnsi="Times New Roman" w:cs="Times New Roman"/>
          <w:sz w:val="24"/>
          <w:szCs w:val="24"/>
        </w:rPr>
      </w:pPr>
      <w:r w:rsidRPr="00FB2A67">
        <w:rPr>
          <w:rFonts w:ascii="Times New Roman" w:hAnsi="Times New Roman" w:cs="Times New Roman"/>
          <w:sz w:val="24"/>
          <w:szCs w:val="24"/>
        </w:rPr>
        <w:t>N.</w:t>
      </w:r>
      <w:r w:rsidR="00664AD2" w:rsidRPr="00FB2A67">
        <w:rPr>
          <w:rFonts w:ascii="Times New Roman" w:hAnsi="Times New Roman" w:cs="Times New Roman"/>
          <w:sz w:val="24"/>
          <w:szCs w:val="24"/>
        </w:rPr>
        <w:t xml:space="preserve"> Cantor, </w:t>
      </w:r>
      <w:r w:rsidR="00664AD2" w:rsidRPr="00FB2A67">
        <w:rPr>
          <w:rFonts w:ascii="Times New Roman" w:hAnsi="Times New Roman" w:cs="Times New Roman"/>
          <w:i/>
          <w:sz w:val="24"/>
          <w:szCs w:val="24"/>
        </w:rPr>
        <w:t>In the Wake of the Plague</w:t>
      </w:r>
      <w:r w:rsidR="00664AD2" w:rsidRPr="00FB2A67">
        <w:rPr>
          <w:rFonts w:ascii="Times New Roman" w:hAnsi="Times New Roman" w:cs="Times New Roman"/>
          <w:sz w:val="24"/>
          <w:szCs w:val="24"/>
        </w:rPr>
        <w:t xml:space="preserve"> (New York: Free Press, 2002</w:t>
      </w:r>
      <w:r w:rsidR="00FB2A67" w:rsidRPr="00FB2A67">
        <w:rPr>
          <w:rFonts w:ascii="Times New Roman" w:hAnsi="Times New Roman" w:cs="Times New Roman"/>
          <w:sz w:val="24"/>
          <w:szCs w:val="24"/>
        </w:rPr>
        <w:t>).</w:t>
      </w:r>
    </w:p>
    <w:p w:rsidR="006B29E3" w:rsidRPr="006B29E3" w:rsidRDefault="00825BA6" w:rsidP="002C61ED">
      <w:pPr>
        <w:spacing w:line="360" w:lineRule="auto"/>
        <w:rPr>
          <w:rFonts w:ascii="Times New Roman" w:hAnsi="Times New Roman" w:cs="Times New Roman"/>
          <w:sz w:val="24"/>
          <w:szCs w:val="24"/>
        </w:rPr>
      </w:pPr>
      <w:proofErr w:type="spellStart"/>
      <w:r w:rsidRPr="00FB2A67">
        <w:rPr>
          <w:rFonts w:ascii="Times New Roman" w:hAnsi="Times New Roman" w:cs="Times New Roman"/>
          <w:sz w:val="24"/>
          <w:szCs w:val="24"/>
        </w:rPr>
        <w:t>Rhianydd</w:t>
      </w:r>
      <w:proofErr w:type="spellEnd"/>
      <w:r w:rsidRPr="00FB2A67">
        <w:rPr>
          <w:rFonts w:ascii="Times New Roman" w:hAnsi="Times New Roman" w:cs="Times New Roman"/>
          <w:sz w:val="24"/>
          <w:szCs w:val="24"/>
        </w:rPr>
        <w:t xml:space="preserve"> </w:t>
      </w:r>
      <w:proofErr w:type="spellStart"/>
      <w:r w:rsidRPr="00FB2A67">
        <w:rPr>
          <w:rFonts w:ascii="Times New Roman" w:hAnsi="Times New Roman" w:cs="Times New Roman"/>
          <w:sz w:val="24"/>
          <w:szCs w:val="24"/>
        </w:rPr>
        <w:t>Briebrach</w:t>
      </w:r>
      <w:proofErr w:type="spellEnd"/>
      <w:r w:rsidRPr="00FB2A67">
        <w:rPr>
          <w:rFonts w:ascii="Times New Roman" w:hAnsi="Times New Roman" w:cs="Times New Roman"/>
          <w:sz w:val="24"/>
          <w:szCs w:val="24"/>
        </w:rPr>
        <w:t xml:space="preserve">, ‘Mourning Rings’, National Museum of Wales (2017). Available at: </w:t>
      </w:r>
      <w:hyperlink r:id="rId16" w:history="1">
        <w:r w:rsidRPr="00FB2A67">
          <w:rPr>
            <w:rStyle w:val="Hyperlink"/>
            <w:rFonts w:ascii="Times New Roman" w:hAnsi="Times New Roman" w:cs="Times New Roman"/>
            <w:sz w:val="24"/>
            <w:szCs w:val="24"/>
          </w:rPr>
          <w:t>https://museum.wales/articles/2017-05-09/Mourning-Rings/</w:t>
        </w:r>
      </w:hyperlink>
      <w:r w:rsidRPr="00FB2A67">
        <w:rPr>
          <w:rFonts w:ascii="Times New Roman" w:hAnsi="Times New Roman" w:cs="Times New Roman"/>
          <w:sz w:val="24"/>
          <w:szCs w:val="24"/>
        </w:rPr>
        <w:t>. (Accessed: 4 Dec 2017).</w:t>
      </w:r>
    </w:p>
    <w:p w:rsidR="00825BA6" w:rsidRPr="00FB2A67" w:rsidRDefault="00825BA6" w:rsidP="00825BA6">
      <w:pPr>
        <w:spacing w:line="360" w:lineRule="auto"/>
        <w:rPr>
          <w:rFonts w:ascii="Times New Roman" w:hAnsi="Times New Roman" w:cs="Times New Roman"/>
          <w:sz w:val="24"/>
          <w:szCs w:val="24"/>
        </w:rPr>
      </w:pPr>
      <w:r w:rsidRPr="00FB2A67">
        <w:rPr>
          <w:rFonts w:ascii="Times New Roman" w:hAnsi="Times New Roman" w:cs="Times New Roman"/>
          <w:sz w:val="24"/>
          <w:szCs w:val="24"/>
        </w:rPr>
        <w:t xml:space="preserve">Shona Kelly Wray, ‘Children during the Black Death’, Children and Youth in History, [online]. Available at: </w:t>
      </w:r>
      <w:hyperlink r:id="rId17" w:history="1">
        <w:r w:rsidRPr="00FB2A67">
          <w:rPr>
            <w:rStyle w:val="Hyperlink"/>
            <w:rFonts w:ascii="Times New Roman" w:hAnsi="Times New Roman" w:cs="Times New Roman"/>
            <w:sz w:val="24"/>
            <w:szCs w:val="24"/>
          </w:rPr>
          <w:t>http://chnm.gmu.edu/cyh/items/show/167</w:t>
        </w:r>
      </w:hyperlink>
      <w:r w:rsidRPr="00FB2A67">
        <w:rPr>
          <w:rFonts w:ascii="Times New Roman" w:hAnsi="Times New Roman" w:cs="Times New Roman"/>
          <w:sz w:val="24"/>
          <w:szCs w:val="24"/>
        </w:rPr>
        <w:t>. (Accessed: 5 Dec 2017).</w:t>
      </w:r>
    </w:p>
    <w:p w:rsidR="006071EF" w:rsidRPr="00FB2A67" w:rsidRDefault="006071EF" w:rsidP="006071EF">
      <w:pPr>
        <w:spacing w:line="360" w:lineRule="auto"/>
        <w:rPr>
          <w:rFonts w:ascii="Times New Roman" w:hAnsi="Times New Roman" w:cs="Times New Roman"/>
          <w:sz w:val="24"/>
          <w:szCs w:val="24"/>
        </w:rPr>
      </w:pPr>
      <w:r w:rsidRPr="00FB2A67">
        <w:rPr>
          <w:rFonts w:ascii="Times New Roman" w:hAnsi="Times New Roman" w:cs="Times New Roman"/>
          <w:sz w:val="24"/>
          <w:szCs w:val="24"/>
        </w:rPr>
        <w:t xml:space="preserve">Tate, ‘Mementos Mori’, [online]. Available at: </w:t>
      </w:r>
      <w:hyperlink r:id="rId18" w:history="1">
        <w:r w:rsidRPr="00FB2A67">
          <w:rPr>
            <w:rStyle w:val="Hyperlink"/>
            <w:rFonts w:ascii="Times New Roman" w:hAnsi="Times New Roman" w:cs="Times New Roman"/>
            <w:sz w:val="24"/>
            <w:szCs w:val="24"/>
          </w:rPr>
          <w:t>http://www.tate.org.uk/art/art-terms/m/memento-mori</w:t>
        </w:r>
      </w:hyperlink>
      <w:r w:rsidRPr="00FB2A67">
        <w:rPr>
          <w:rFonts w:ascii="Times New Roman" w:hAnsi="Times New Roman" w:cs="Times New Roman"/>
          <w:sz w:val="24"/>
          <w:szCs w:val="24"/>
        </w:rPr>
        <w:t xml:space="preserve">. (Accessed: </w:t>
      </w:r>
      <w:r w:rsidR="00676860" w:rsidRPr="00FB2A67">
        <w:rPr>
          <w:rFonts w:ascii="Times New Roman" w:hAnsi="Times New Roman" w:cs="Times New Roman"/>
          <w:sz w:val="24"/>
          <w:szCs w:val="24"/>
        </w:rPr>
        <w:t>2 Dec</w:t>
      </w:r>
      <w:r w:rsidRPr="00FB2A67">
        <w:rPr>
          <w:rFonts w:ascii="Times New Roman" w:hAnsi="Times New Roman" w:cs="Times New Roman"/>
          <w:sz w:val="24"/>
          <w:szCs w:val="24"/>
        </w:rPr>
        <w:t xml:space="preserve"> 2017)</w:t>
      </w:r>
    </w:p>
    <w:p w:rsidR="006071EF" w:rsidRPr="00FB2A67" w:rsidRDefault="00FB2A67" w:rsidP="006071EF">
      <w:pPr>
        <w:pStyle w:val="FootnoteText"/>
        <w:rPr>
          <w:rFonts w:ascii="Times New Roman" w:hAnsi="Times New Roman" w:cs="Times New Roman"/>
          <w:sz w:val="24"/>
          <w:szCs w:val="24"/>
        </w:rPr>
      </w:pPr>
      <w:proofErr w:type="spellStart"/>
      <w:r w:rsidRPr="00FB2A67">
        <w:rPr>
          <w:rFonts w:ascii="Times New Roman" w:hAnsi="Times New Roman" w:cs="Times New Roman"/>
          <w:sz w:val="24"/>
          <w:szCs w:val="24"/>
        </w:rPr>
        <w:lastRenderedPageBreak/>
        <w:t>Zenter</w:t>
      </w:r>
      <w:proofErr w:type="spellEnd"/>
      <w:r w:rsidRPr="00FB2A67">
        <w:rPr>
          <w:rFonts w:ascii="Times New Roman" w:hAnsi="Times New Roman" w:cs="Times New Roman"/>
          <w:sz w:val="24"/>
          <w:szCs w:val="24"/>
        </w:rPr>
        <w:t>, M</w:t>
      </w:r>
      <w:r w:rsidR="006071EF" w:rsidRPr="00FB2A67">
        <w:rPr>
          <w:rFonts w:ascii="Times New Roman" w:hAnsi="Times New Roman" w:cs="Times New Roman"/>
          <w:sz w:val="24"/>
          <w:szCs w:val="24"/>
        </w:rPr>
        <w:t xml:space="preserve">., The Black Death and Its Impact on the Church and Popular Religion, unpublished (BA) thesis, </w:t>
      </w:r>
      <w:r w:rsidR="001D1C1F" w:rsidRPr="00FB2A67">
        <w:rPr>
          <w:rFonts w:ascii="Times New Roman" w:hAnsi="Times New Roman" w:cs="Times New Roman"/>
          <w:sz w:val="24"/>
          <w:szCs w:val="24"/>
        </w:rPr>
        <w:t>University of Mississippi, April 2015.</w:t>
      </w:r>
    </w:p>
    <w:p w:rsidR="006071EF" w:rsidRPr="00FB2A67" w:rsidRDefault="006071EF" w:rsidP="00664AD2">
      <w:pPr>
        <w:pStyle w:val="FootnoteText"/>
        <w:rPr>
          <w:rFonts w:ascii="Times New Roman" w:hAnsi="Times New Roman" w:cs="Times New Roman"/>
          <w:sz w:val="24"/>
          <w:szCs w:val="24"/>
        </w:rPr>
      </w:pPr>
    </w:p>
    <w:p w:rsidR="00FB2A67" w:rsidRPr="00FB2A67" w:rsidRDefault="00FB2A67" w:rsidP="00FB2A67">
      <w:pPr>
        <w:pStyle w:val="NoSpacing"/>
        <w:rPr>
          <w:rFonts w:ascii="Times New Roman" w:hAnsi="Times New Roman" w:cs="Times New Roman"/>
          <w:sz w:val="24"/>
          <w:szCs w:val="24"/>
        </w:rPr>
      </w:pPr>
    </w:p>
    <w:p w:rsidR="00825BA6" w:rsidRPr="00676860" w:rsidRDefault="00825BA6">
      <w:pPr>
        <w:pStyle w:val="NoSpacing"/>
        <w:rPr>
          <w:rFonts w:ascii="Times New Roman" w:hAnsi="Times New Roman" w:cs="Times New Roman"/>
          <w:sz w:val="24"/>
          <w:szCs w:val="24"/>
        </w:rPr>
      </w:pPr>
    </w:p>
    <w:sectPr w:rsidR="00825BA6" w:rsidRPr="0067686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674" w:rsidRDefault="00F66674" w:rsidP="00651B30">
      <w:pPr>
        <w:spacing w:after="0" w:line="240" w:lineRule="auto"/>
      </w:pPr>
      <w:r>
        <w:separator/>
      </w:r>
    </w:p>
  </w:endnote>
  <w:endnote w:type="continuationSeparator" w:id="0">
    <w:p w:rsidR="00F66674" w:rsidRDefault="00F66674" w:rsidP="00651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083750740"/>
      <w:docPartObj>
        <w:docPartGallery w:val="Page Numbers (Bottom of Page)"/>
        <w:docPartUnique/>
      </w:docPartObj>
    </w:sdtPr>
    <w:sdtEndPr>
      <w:rPr>
        <w:noProof/>
      </w:rPr>
    </w:sdtEndPr>
    <w:sdtContent>
      <w:p w:rsidR="00E92A1D" w:rsidRPr="00E92A1D" w:rsidRDefault="00E92A1D">
        <w:pPr>
          <w:pStyle w:val="Footer"/>
          <w:rPr>
            <w:rFonts w:ascii="Times New Roman" w:hAnsi="Times New Roman" w:cs="Times New Roman"/>
          </w:rPr>
        </w:pPr>
        <w:r w:rsidRPr="00E92A1D">
          <w:rPr>
            <w:rFonts w:ascii="Times New Roman" w:hAnsi="Times New Roman" w:cs="Times New Roman"/>
          </w:rPr>
          <w:fldChar w:fldCharType="begin"/>
        </w:r>
        <w:r w:rsidRPr="00E92A1D">
          <w:rPr>
            <w:rFonts w:ascii="Times New Roman" w:hAnsi="Times New Roman" w:cs="Times New Roman"/>
          </w:rPr>
          <w:instrText xml:space="preserve"> PAGE   \* MERGEFORMAT </w:instrText>
        </w:r>
        <w:r w:rsidRPr="00E92A1D">
          <w:rPr>
            <w:rFonts w:ascii="Times New Roman" w:hAnsi="Times New Roman" w:cs="Times New Roman"/>
          </w:rPr>
          <w:fldChar w:fldCharType="separate"/>
        </w:r>
        <w:r>
          <w:rPr>
            <w:rFonts w:ascii="Times New Roman" w:hAnsi="Times New Roman" w:cs="Times New Roman"/>
            <w:noProof/>
          </w:rPr>
          <w:t>10</w:t>
        </w:r>
        <w:r w:rsidRPr="00E92A1D">
          <w:rPr>
            <w:rFonts w:ascii="Times New Roman" w:hAnsi="Times New Roman" w:cs="Times New Roman"/>
            <w:noProof/>
          </w:rPr>
          <w:fldChar w:fldCharType="end"/>
        </w:r>
      </w:p>
    </w:sdtContent>
  </w:sdt>
  <w:p w:rsidR="00E92A1D" w:rsidRPr="00E92A1D" w:rsidRDefault="00E92A1D">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674" w:rsidRDefault="00F66674" w:rsidP="00651B30">
      <w:pPr>
        <w:spacing w:after="0" w:line="240" w:lineRule="auto"/>
      </w:pPr>
      <w:r>
        <w:separator/>
      </w:r>
    </w:p>
  </w:footnote>
  <w:footnote w:type="continuationSeparator" w:id="0">
    <w:p w:rsidR="00F66674" w:rsidRDefault="00F66674" w:rsidP="00651B30">
      <w:pPr>
        <w:spacing w:after="0" w:line="240" w:lineRule="auto"/>
      </w:pPr>
      <w:r>
        <w:continuationSeparator/>
      </w:r>
    </w:p>
  </w:footnote>
  <w:footnote w:id="1">
    <w:p w:rsidR="00325BF1" w:rsidRPr="00FB2A67" w:rsidRDefault="00325BF1" w:rsidP="00FB2A67">
      <w:pPr>
        <w:pStyle w:val="NoSpacing"/>
        <w:rPr>
          <w:rFonts w:ascii="Times New Roman" w:hAnsi="Times New Roman" w:cs="Times New Roman"/>
          <w:sz w:val="20"/>
          <w:szCs w:val="20"/>
        </w:rPr>
      </w:pPr>
      <w:r w:rsidRPr="00FB2A67">
        <w:rPr>
          <w:rStyle w:val="FootnoteReference"/>
          <w:rFonts w:ascii="Times New Roman" w:hAnsi="Times New Roman" w:cs="Times New Roman"/>
          <w:sz w:val="20"/>
          <w:szCs w:val="20"/>
        </w:rPr>
        <w:footnoteRef/>
      </w:r>
      <w:r w:rsidRPr="00FB2A67">
        <w:rPr>
          <w:rFonts w:ascii="Times New Roman" w:hAnsi="Times New Roman" w:cs="Times New Roman"/>
          <w:sz w:val="20"/>
          <w:szCs w:val="20"/>
        </w:rPr>
        <w:t xml:space="preserve"> </w:t>
      </w:r>
      <w:r w:rsidR="00FB2A67" w:rsidRPr="00FB2A67">
        <w:rPr>
          <w:rFonts w:ascii="Times New Roman" w:hAnsi="Times New Roman" w:cs="Times New Roman"/>
          <w:sz w:val="20"/>
          <w:szCs w:val="20"/>
        </w:rPr>
        <w:t>G</w:t>
      </w:r>
      <w:r w:rsidR="00FB2A67" w:rsidRPr="00FB2A67">
        <w:rPr>
          <w:rFonts w:ascii="Times New Roman" w:hAnsi="Times New Roman" w:cs="Times New Roman"/>
          <w:sz w:val="20"/>
          <w:szCs w:val="20"/>
        </w:rPr>
        <w:t xml:space="preserve">. </w:t>
      </w:r>
      <w:r w:rsidR="00FB2A67" w:rsidRPr="00FB2A67">
        <w:rPr>
          <w:rFonts w:ascii="Times New Roman" w:hAnsi="Times New Roman" w:cs="Times New Roman"/>
          <w:sz w:val="20"/>
          <w:szCs w:val="20"/>
        </w:rPr>
        <w:t>Deaux,</w:t>
      </w:r>
      <w:r w:rsidR="00FB2A67" w:rsidRPr="00FB2A67">
        <w:rPr>
          <w:rFonts w:ascii="Times New Roman" w:hAnsi="Times New Roman" w:cs="Times New Roman"/>
          <w:sz w:val="20"/>
          <w:szCs w:val="20"/>
        </w:rPr>
        <w:t xml:space="preserve"> </w:t>
      </w:r>
      <w:r w:rsidR="00FB2A67" w:rsidRPr="00FB2A67">
        <w:rPr>
          <w:rFonts w:ascii="Times New Roman" w:hAnsi="Times New Roman" w:cs="Times New Roman"/>
          <w:i/>
          <w:sz w:val="20"/>
          <w:szCs w:val="20"/>
        </w:rPr>
        <w:t>The Black Death 1347</w:t>
      </w:r>
      <w:r w:rsidR="00FB2A67" w:rsidRPr="00FB2A67">
        <w:rPr>
          <w:rFonts w:ascii="Times New Roman" w:hAnsi="Times New Roman" w:cs="Times New Roman"/>
          <w:sz w:val="20"/>
          <w:szCs w:val="20"/>
        </w:rPr>
        <w:t xml:space="preserve"> (London: Hamish Hamilton, 1969)</w:t>
      </w:r>
      <w:r w:rsidRPr="00FB2A67">
        <w:rPr>
          <w:rFonts w:ascii="Times New Roman" w:hAnsi="Times New Roman" w:cs="Times New Roman"/>
          <w:sz w:val="20"/>
          <w:szCs w:val="20"/>
        </w:rPr>
        <w:t>, p</w:t>
      </w:r>
      <w:r w:rsidR="00BB0380" w:rsidRPr="00FB2A67">
        <w:rPr>
          <w:rFonts w:ascii="Times New Roman" w:hAnsi="Times New Roman" w:cs="Times New Roman"/>
          <w:sz w:val="20"/>
          <w:szCs w:val="20"/>
        </w:rPr>
        <w:t>p. 1-2</w:t>
      </w:r>
    </w:p>
  </w:footnote>
  <w:footnote w:id="2">
    <w:p w:rsidR="00BB0380" w:rsidRPr="00FB2A67" w:rsidRDefault="00BB0380" w:rsidP="00FB2A67">
      <w:pPr>
        <w:pStyle w:val="NoSpacing"/>
        <w:rPr>
          <w:rFonts w:ascii="Times New Roman" w:hAnsi="Times New Roman" w:cs="Times New Roman"/>
          <w:sz w:val="20"/>
          <w:szCs w:val="20"/>
        </w:rPr>
      </w:pPr>
      <w:r w:rsidRPr="00FB2A67">
        <w:rPr>
          <w:rStyle w:val="FootnoteReference"/>
          <w:rFonts w:ascii="Times New Roman" w:hAnsi="Times New Roman" w:cs="Times New Roman"/>
          <w:sz w:val="20"/>
          <w:szCs w:val="20"/>
        </w:rPr>
        <w:footnoteRef/>
      </w:r>
      <w:r w:rsidRPr="00FB2A67">
        <w:rPr>
          <w:rFonts w:ascii="Times New Roman" w:hAnsi="Times New Roman" w:cs="Times New Roman"/>
          <w:sz w:val="20"/>
          <w:szCs w:val="20"/>
        </w:rPr>
        <w:t xml:space="preserve"> Ibid.</w:t>
      </w:r>
    </w:p>
  </w:footnote>
  <w:footnote w:id="3">
    <w:p w:rsidR="00BB0380" w:rsidRDefault="00BB0380" w:rsidP="00FB2A67">
      <w:pPr>
        <w:pStyle w:val="NoSpacing"/>
      </w:pPr>
      <w:r w:rsidRPr="00FB2A67">
        <w:rPr>
          <w:rStyle w:val="FootnoteReference"/>
          <w:rFonts w:ascii="Times New Roman" w:hAnsi="Times New Roman" w:cs="Times New Roman"/>
          <w:sz w:val="20"/>
          <w:szCs w:val="20"/>
        </w:rPr>
        <w:footnoteRef/>
      </w:r>
      <w:r w:rsidRPr="00FB2A67">
        <w:rPr>
          <w:rFonts w:ascii="Times New Roman" w:hAnsi="Times New Roman" w:cs="Times New Roman"/>
          <w:sz w:val="20"/>
          <w:szCs w:val="20"/>
        </w:rPr>
        <w:t xml:space="preserve"> </w:t>
      </w:r>
      <w:r w:rsidR="006B29E3">
        <w:rPr>
          <w:rFonts w:ascii="Times New Roman" w:hAnsi="Times New Roman" w:cs="Times New Roman"/>
          <w:sz w:val="20"/>
          <w:szCs w:val="20"/>
        </w:rPr>
        <w:t>I</w:t>
      </w:r>
      <w:r w:rsidRPr="00FB2A67">
        <w:rPr>
          <w:rFonts w:ascii="Times New Roman" w:hAnsi="Times New Roman" w:cs="Times New Roman"/>
          <w:sz w:val="20"/>
          <w:szCs w:val="20"/>
        </w:rPr>
        <w:t>bid</w:t>
      </w:r>
      <w:r w:rsidR="006B29E3">
        <w:rPr>
          <w:rFonts w:ascii="Times New Roman" w:hAnsi="Times New Roman" w:cs="Times New Roman"/>
          <w:sz w:val="20"/>
          <w:szCs w:val="20"/>
        </w:rPr>
        <w:t>.</w:t>
      </w:r>
    </w:p>
  </w:footnote>
  <w:footnote w:id="4">
    <w:p w:rsidR="00895C1D" w:rsidRPr="002C61ED" w:rsidRDefault="00895C1D"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FB2A67" w:rsidRPr="002C61ED">
        <w:rPr>
          <w:rFonts w:ascii="Times New Roman" w:hAnsi="Times New Roman" w:cs="Times New Roman"/>
          <w:sz w:val="20"/>
          <w:szCs w:val="24"/>
        </w:rPr>
        <w:t xml:space="preserve">Fordham University, ‘Pistoia’ (1994), [online]. Available at: </w:t>
      </w:r>
      <w:hyperlink r:id="rId1" w:history="1">
        <w:r w:rsidR="00FB2A67" w:rsidRPr="002C61ED">
          <w:rPr>
            <w:rStyle w:val="Hyperlink"/>
            <w:rFonts w:ascii="Times New Roman" w:hAnsi="Times New Roman" w:cs="Times New Roman"/>
            <w:sz w:val="20"/>
            <w:szCs w:val="24"/>
          </w:rPr>
          <w:t>https://sourcebooks.fordham.edu/med/pistoia.asp</w:t>
        </w:r>
      </w:hyperlink>
      <w:r w:rsidR="00FB2A67" w:rsidRPr="002C61ED">
        <w:rPr>
          <w:rFonts w:ascii="Times New Roman" w:hAnsi="Times New Roman" w:cs="Times New Roman"/>
          <w:sz w:val="20"/>
          <w:szCs w:val="24"/>
        </w:rPr>
        <w:t>.</w:t>
      </w:r>
    </w:p>
  </w:footnote>
  <w:footnote w:id="5">
    <w:p w:rsidR="00895C1D" w:rsidRPr="002C61ED" w:rsidRDefault="00895C1D"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FB2A67" w:rsidRPr="002C61ED">
        <w:rPr>
          <w:rFonts w:ascii="Times New Roman" w:hAnsi="Times New Roman" w:cs="Times New Roman"/>
          <w:sz w:val="20"/>
          <w:szCs w:val="24"/>
        </w:rPr>
        <w:t xml:space="preserve">Ibid. </w:t>
      </w:r>
    </w:p>
  </w:footnote>
  <w:footnote w:id="6">
    <w:p w:rsidR="008454DE" w:rsidRPr="002C61ED" w:rsidRDefault="008454DE"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2C61ED" w:rsidRPr="002C61ED">
        <w:rPr>
          <w:rFonts w:ascii="Times New Roman" w:hAnsi="Times New Roman" w:cs="Times New Roman"/>
          <w:sz w:val="20"/>
          <w:szCs w:val="24"/>
        </w:rPr>
        <w:t xml:space="preserve">Shona Kelly Wray, ‘Children during the Black Death’, Children and Youth in History, [online]. Available at: </w:t>
      </w:r>
      <w:hyperlink r:id="rId2" w:history="1">
        <w:r w:rsidR="002C61ED" w:rsidRPr="002C61ED">
          <w:rPr>
            <w:rStyle w:val="Hyperlink"/>
            <w:rFonts w:ascii="Times New Roman" w:hAnsi="Times New Roman" w:cs="Times New Roman"/>
            <w:sz w:val="20"/>
            <w:szCs w:val="24"/>
          </w:rPr>
          <w:t>http://chnm.gmu.edu/cyh/items/show/167</w:t>
        </w:r>
      </w:hyperlink>
    </w:p>
  </w:footnote>
  <w:footnote w:id="7">
    <w:p w:rsidR="008454DE" w:rsidRPr="002C61ED" w:rsidRDefault="008454DE"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676860" w:rsidRPr="002C61ED">
        <w:rPr>
          <w:rFonts w:ascii="Times New Roman" w:hAnsi="Times New Roman" w:cs="Times New Roman"/>
          <w:color w:val="000000"/>
          <w:sz w:val="20"/>
          <w:szCs w:val="24"/>
        </w:rPr>
        <w:t>G. Marks,</w:t>
      </w:r>
      <w:r w:rsidR="00676860" w:rsidRPr="002C61ED">
        <w:rPr>
          <w:rFonts w:ascii="Times New Roman" w:hAnsi="Times New Roman" w:cs="Times New Roman"/>
          <w:color w:val="000000"/>
          <w:sz w:val="20"/>
          <w:szCs w:val="24"/>
        </w:rPr>
        <w:t xml:space="preserve"> </w:t>
      </w:r>
      <w:r w:rsidR="00676860" w:rsidRPr="002C61ED">
        <w:rPr>
          <w:rFonts w:ascii="Times New Roman" w:hAnsi="Times New Roman" w:cs="Times New Roman"/>
          <w:i/>
          <w:color w:val="000000"/>
          <w:sz w:val="20"/>
          <w:szCs w:val="24"/>
        </w:rPr>
        <w:t xml:space="preserve">The Medieval Plague; the Black Death of the Middle Ages </w:t>
      </w:r>
      <w:r w:rsidR="00676860" w:rsidRPr="002C61ED">
        <w:rPr>
          <w:rFonts w:ascii="Times New Roman" w:hAnsi="Times New Roman" w:cs="Times New Roman"/>
          <w:color w:val="000000"/>
          <w:sz w:val="20"/>
          <w:szCs w:val="24"/>
        </w:rPr>
        <w:t>(New York: Doubleday, 1971)</w:t>
      </w:r>
      <w:r w:rsidR="00676860" w:rsidRPr="002C61ED">
        <w:rPr>
          <w:rFonts w:ascii="Times New Roman" w:hAnsi="Times New Roman" w:cs="Times New Roman"/>
          <w:color w:val="000000"/>
          <w:sz w:val="20"/>
          <w:szCs w:val="24"/>
        </w:rPr>
        <w:t>, pp. 56-64</w:t>
      </w:r>
    </w:p>
  </w:footnote>
  <w:footnote w:id="8">
    <w:p w:rsidR="002133B2" w:rsidRPr="002C61ED" w:rsidRDefault="002133B2"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FB2A67" w:rsidRPr="002C61ED">
        <w:rPr>
          <w:rFonts w:ascii="Times New Roman" w:hAnsi="Times New Roman" w:cs="Times New Roman"/>
          <w:sz w:val="20"/>
          <w:szCs w:val="24"/>
        </w:rPr>
        <w:t xml:space="preserve">G. Deaux, </w:t>
      </w:r>
      <w:r w:rsidR="00FB2A67" w:rsidRPr="002C61ED">
        <w:rPr>
          <w:rFonts w:ascii="Times New Roman" w:hAnsi="Times New Roman" w:cs="Times New Roman"/>
          <w:i/>
          <w:sz w:val="20"/>
          <w:szCs w:val="24"/>
        </w:rPr>
        <w:t>The Black Death 1347</w:t>
      </w:r>
      <w:r w:rsidR="00FB2A67" w:rsidRPr="002C61ED">
        <w:rPr>
          <w:rFonts w:ascii="Times New Roman" w:hAnsi="Times New Roman" w:cs="Times New Roman"/>
          <w:sz w:val="20"/>
          <w:szCs w:val="24"/>
        </w:rPr>
        <w:t xml:space="preserve"> (London: Hamish Hamilton, 1969)</w:t>
      </w:r>
      <w:r w:rsidRPr="002C61ED">
        <w:rPr>
          <w:rFonts w:ascii="Times New Roman" w:hAnsi="Times New Roman" w:cs="Times New Roman"/>
          <w:sz w:val="20"/>
          <w:szCs w:val="24"/>
        </w:rPr>
        <w:t>, p. 3</w:t>
      </w:r>
    </w:p>
  </w:footnote>
  <w:footnote w:id="9">
    <w:p w:rsidR="009F6698" w:rsidRPr="002C61ED" w:rsidRDefault="009F6698" w:rsidP="002C61ED">
      <w:pPr>
        <w:pStyle w:val="NoSpacing"/>
        <w:rPr>
          <w:rFonts w:ascii="Times New Roman" w:hAnsi="Times New Roman" w:cs="Times New Roman"/>
          <w:sz w:val="20"/>
          <w:szCs w:val="24"/>
        </w:rPr>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w:t>
      </w:r>
      <w:r w:rsidR="006B29E3" w:rsidRPr="002C61ED">
        <w:rPr>
          <w:rFonts w:ascii="Times New Roman" w:hAnsi="Times New Roman" w:cs="Times New Roman"/>
          <w:sz w:val="20"/>
          <w:szCs w:val="24"/>
        </w:rPr>
        <w:t xml:space="preserve">Shona Kelly Wray, ‘Children during the Black Death’, Children and Youth in History, [online]. Available at: </w:t>
      </w:r>
      <w:hyperlink r:id="rId3" w:history="1">
        <w:r w:rsidR="006B29E3" w:rsidRPr="002C61ED">
          <w:rPr>
            <w:rStyle w:val="Hyperlink"/>
            <w:rFonts w:ascii="Times New Roman" w:hAnsi="Times New Roman" w:cs="Times New Roman"/>
            <w:sz w:val="20"/>
            <w:szCs w:val="24"/>
          </w:rPr>
          <w:t>http://chnm.gmu.edu/cyh/items/show/167</w:t>
        </w:r>
      </w:hyperlink>
    </w:p>
  </w:footnote>
  <w:footnote w:id="10">
    <w:p w:rsidR="009F6698" w:rsidRDefault="009F6698" w:rsidP="002C61ED">
      <w:pPr>
        <w:pStyle w:val="NoSpacing"/>
      </w:pPr>
      <w:r w:rsidRPr="002C61ED">
        <w:rPr>
          <w:rStyle w:val="FootnoteReference"/>
          <w:rFonts w:ascii="Times New Roman" w:hAnsi="Times New Roman" w:cs="Times New Roman"/>
          <w:sz w:val="20"/>
          <w:szCs w:val="24"/>
        </w:rPr>
        <w:footnoteRef/>
      </w:r>
      <w:r w:rsidRPr="002C61ED">
        <w:rPr>
          <w:rFonts w:ascii="Times New Roman" w:hAnsi="Times New Roman" w:cs="Times New Roman"/>
          <w:sz w:val="20"/>
          <w:szCs w:val="24"/>
        </w:rPr>
        <w:t xml:space="preserve"> ibid</w:t>
      </w:r>
    </w:p>
  </w:footnote>
  <w:footnote w:id="11">
    <w:p w:rsidR="00FD5369" w:rsidRPr="006B29E3" w:rsidRDefault="00FD5369"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 xml:space="preserve">G. Deaux, </w:t>
      </w:r>
      <w:r w:rsidR="00FB2A67" w:rsidRPr="006B29E3">
        <w:rPr>
          <w:rFonts w:ascii="Times New Roman" w:hAnsi="Times New Roman" w:cs="Times New Roman"/>
          <w:i/>
          <w:sz w:val="20"/>
          <w:szCs w:val="20"/>
        </w:rPr>
        <w:t>The Black Death 1347</w:t>
      </w:r>
      <w:r w:rsidR="00FB2A67" w:rsidRPr="006B29E3">
        <w:rPr>
          <w:rFonts w:ascii="Times New Roman" w:hAnsi="Times New Roman" w:cs="Times New Roman"/>
          <w:sz w:val="20"/>
          <w:szCs w:val="20"/>
        </w:rPr>
        <w:t xml:space="preserve"> (London: Hamish Hamilton, 1969)</w:t>
      </w:r>
      <w:r w:rsidRPr="006B29E3">
        <w:rPr>
          <w:rFonts w:ascii="Times New Roman" w:hAnsi="Times New Roman" w:cs="Times New Roman"/>
          <w:sz w:val="20"/>
          <w:szCs w:val="20"/>
        </w:rPr>
        <w:t>, p. 3</w:t>
      </w:r>
    </w:p>
  </w:footnote>
  <w:footnote w:id="12">
    <w:p w:rsidR="007005D5" w:rsidRPr="006B29E3" w:rsidRDefault="007005D5"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Deaux, </w:t>
      </w:r>
      <w:r w:rsidR="00FB2A67" w:rsidRPr="006B29E3">
        <w:rPr>
          <w:rFonts w:ascii="Times New Roman" w:hAnsi="Times New Roman" w:cs="Times New Roman"/>
          <w:i/>
          <w:sz w:val="20"/>
          <w:szCs w:val="20"/>
        </w:rPr>
        <w:t xml:space="preserve">The Black Death 1347, </w:t>
      </w:r>
      <w:r w:rsidRPr="006B29E3">
        <w:rPr>
          <w:rFonts w:ascii="Times New Roman" w:hAnsi="Times New Roman" w:cs="Times New Roman"/>
          <w:sz w:val="20"/>
          <w:szCs w:val="20"/>
        </w:rPr>
        <w:t>p. 55</w:t>
      </w:r>
    </w:p>
  </w:footnote>
  <w:footnote w:id="13">
    <w:p w:rsidR="007005D5" w:rsidRPr="006B29E3" w:rsidRDefault="007005D5"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Ibid.</w:t>
      </w:r>
    </w:p>
  </w:footnote>
  <w:footnote w:id="14">
    <w:p w:rsidR="007005D5" w:rsidRPr="006B29E3" w:rsidRDefault="007005D5"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 xml:space="preserve">Deaux, </w:t>
      </w:r>
      <w:r w:rsidR="00FB2A67" w:rsidRPr="006B29E3">
        <w:rPr>
          <w:rFonts w:ascii="Times New Roman" w:hAnsi="Times New Roman" w:cs="Times New Roman"/>
          <w:i/>
          <w:sz w:val="20"/>
          <w:szCs w:val="20"/>
        </w:rPr>
        <w:t>The Black Death 1347</w:t>
      </w:r>
      <w:r w:rsidRPr="006B29E3">
        <w:rPr>
          <w:rFonts w:ascii="Times New Roman" w:hAnsi="Times New Roman" w:cs="Times New Roman"/>
          <w:sz w:val="20"/>
          <w:szCs w:val="20"/>
        </w:rPr>
        <w:t>p. 57-8</w:t>
      </w:r>
    </w:p>
  </w:footnote>
  <w:footnote w:id="15">
    <w:p w:rsidR="00027A53" w:rsidRPr="006B29E3" w:rsidRDefault="00027A53"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i/>
          <w:sz w:val="20"/>
          <w:szCs w:val="20"/>
        </w:rPr>
        <w:t>The Black Death 1347</w:t>
      </w:r>
      <w:r w:rsidRPr="006B29E3">
        <w:rPr>
          <w:rFonts w:ascii="Times New Roman" w:hAnsi="Times New Roman" w:cs="Times New Roman"/>
          <w:sz w:val="20"/>
          <w:szCs w:val="20"/>
        </w:rPr>
        <w:t>, p. 60-61</w:t>
      </w:r>
    </w:p>
  </w:footnote>
  <w:footnote w:id="16">
    <w:p w:rsidR="0003000A" w:rsidRPr="006B29E3" w:rsidRDefault="0003000A"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C</w:t>
      </w:r>
      <w:r w:rsidR="00FB2A67"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Platt,</w:t>
      </w:r>
      <w:r w:rsidR="00FB2A67" w:rsidRPr="006B29E3">
        <w:rPr>
          <w:rFonts w:ascii="Times New Roman" w:hAnsi="Times New Roman" w:cs="Times New Roman"/>
          <w:sz w:val="20"/>
          <w:szCs w:val="20"/>
        </w:rPr>
        <w:t xml:space="preserve"> </w:t>
      </w:r>
      <w:r w:rsidR="00FB2A67" w:rsidRPr="006B29E3">
        <w:rPr>
          <w:rFonts w:ascii="Times New Roman" w:hAnsi="Times New Roman" w:cs="Times New Roman"/>
          <w:i/>
          <w:sz w:val="20"/>
          <w:szCs w:val="20"/>
        </w:rPr>
        <w:t>King Death: The Black Death and its Aftermath</w:t>
      </w:r>
      <w:r w:rsidR="00FB2A67" w:rsidRPr="006B29E3">
        <w:rPr>
          <w:rFonts w:ascii="Times New Roman" w:hAnsi="Times New Roman" w:cs="Times New Roman"/>
          <w:sz w:val="20"/>
          <w:szCs w:val="20"/>
        </w:rPr>
        <w:t xml:space="preserve"> (London: UCL Press Limited, 1997)</w:t>
      </w:r>
      <w:r w:rsidRPr="006B29E3">
        <w:rPr>
          <w:rFonts w:ascii="Times New Roman" w:hAnsi="Times New Roman" w:cs="Times New Roman"/>
          <w:sz w:val="20"/>
          <w:szCs w:val="20"/>
        </w:rPr>
        <w:t>, p. 49</w:t>
      </w:r>
    </w:p>
  </w:footnote>
  <w:footnote w:id="17">
    <w:p w:rsidR="0003000A" w:rsidRPr="006B29E3" w:rsidRDefault="0003000A"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Jim Dale, ‘Normans and the Plantagenets’, Chevening (2017), [online]. Available at: </w:t>
      </w:r>
      <w:hyperlink r:id="rId4" w:history="1">
        <w:r w:rsidR="006B29E3" w:rsidRPr="006B29E3">
          <w:rPr>
            <w:rStyle w:val="Hyperlink"/>
            <w:rFonts w:ascii="Times New Roman" w:hAnsi="Times New Roman" w:cs="Times New Roman"/>
            <w:sz w:val="20"/>
            <w:szCs w:val="20"/>
          </w:rPr>
          <w:t>http://www.chevening.org/scholars/blog/2017/the-normans-and-plantagenets</w:t>
        </w:r>
      </w:hyperlink>
    </w:p>
  </w:footnote>
  <w:footnote w:id="18">
    <w:p w:rsidR="00F8631E" w:rsidRPr="006B29E3" w:rsidRDefault="00F8631E"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 xml:space="preserve">Platt, </w:t>
      </w:r>
      <w:r w:rsidR="00FB2A67" w:rsidRPr="006B29E3">
        <w:rPr>
          <w:rFonts w:ascii="Times New Roman" w:hAnsi="Times New Roman" w:cs="Times New Roman"/>
          <w:i/>
          <w:sz w:val="20"/>
          <w:szCs w:val="20"/>
        </w:rPr>
        <w:t>King Death</w:t>
      </w:r>
      <w:r w:rsidR="00FB2A67" w:rsidRPr="006B29E3">
        <w:rPr>
          <w:rFonts w:ascii="Times New Roman" w:hAnsi="Times New Roman" w:cs="Times New Roman"/>
          <w:sz w:val="20"/>
          <w:szCs w:val="20"/>
        </w:rPr>
        <w:t>, p</w:t>
      </w:r>
      <w:r w:rsidRPr="006B29E3">
        <w:rPr>
          <w:rFonts w:ascii="Times New Roman" w:hAnsi="Times New Roman" w:cs="Times New Roman"/>
          <w:sz w:val="20"/>
          <w:szCs w:val="20"/>
        </w:rPr>
        <w:t>. 33</w:t>
      </w:r>
    </w:p>
  </w:footnote>
  <w:footnote w:id="19">
    <w:p w:rsidR="00F8631E" w:rsidRPr="007E67FA" w:rsidRDefault="00F8631E" w:rsidP="006B29E3">
      <w:pPr>
        <w:pStyle w:val="NoSpacing"/>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ibid</w:t>
      </w:r>
    </w:p>
  </w:footnote>
  <w:footnote w:id="20">
    <w:p w:rsidR="00855452" w:rsidRPr="006B29E3" w:rsidRDefault="00855452" w:rsidP="006B29E3">
      <w:pPr>
        <w:pStyle w:val="NoSpacing"/>
        <w:rPr>
          <w:rFonts w:ascii="Times New Roman" w:hAnsi="Times New Roman" w:cs="Times New Roman"/>
          <w:sz w:val="20"/>
          <w:szCs w:val="24"/>
        </w:rPr>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w:t>
      </w:r>
      <w:r w:rsidR="00FB2A67" w:rsidRPr="006B29E3">
        <w:rPr>
          <w:rFonts w:ascii="Times New Roman" w:hAnsi="Times New Roman" w:cs="Times New Roman"/>
          <w:sz w:val="20"/>
          <w:szCs w:val="24"/>
        </w:rPr>
        <w:t>C. Platt, King Death: The Black Death and its Aftermath</w:t>
      </w:r>
      <w:r w:rsidR="00FB2A67" w:rsidRPr="006B29E3">
        <w:rPr>
          <w:rFonts w:ascii="Times New Roman" w:hAnsi="Times New Roman" w:cs="Times New Roman"/>
          <w:sz w:val="20"/>
          <w:szCs w:val="24"/>
        </w:rPr>
        <w:t xml:space="preserve">, </w:t>
      </w:r>
      <w:r w:rsidRPr="006B29E3">
        <w:rPr>
          <w:rFonts w:ascii="Times New Roman" w:hAnsi="Times New Roman" w:cs="Times New Roman"/>
          <w:sz w:val="20"/>
          <w:szCs w:val="24"/>
        </w:rPr>
        <w:t>p. 33-36</w:t>
      </w:r>
    </w:p>
  </w:footnote>
  <w:footnote w:id="21">
    <w:p w:rsidR="00B309EC" w:rsidRPr="006B29E3" w:rsidRDefault="00B309EC" w:rsidP="006B29E3">
      <w:pPr>
        <w:pStyle w:val="NoSpacing"/>
        <w:rPr>
          <w:rFonts w:ascii="Times New Roman" w:hAnsi="Times New Roman" w:cs="Times New Roman"/>
          <w:sz w:val="20"/>
          <w:szCs w:val="24"/>
        </w:rPr>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w:t>
      </w:r>
      <w:r w:rsidR="00FB2A67" w:rsidRPr="006B29E3">
        <w:rPr>
          <w:rFonts w:ascii="Times New Roman" w:hAnsi="Times New Roman" w:cs="Times New Roman"/>
          <w:sz w:val="20"/>
          <w:szCs w:val="24"/>
        </w:rPr>
        <w:t>G.</w:t>
      </w:r>
      <w:r w:rsidR="00FB2A67" w:rsidRPr="006B29E3">
        <w:rPr>
          <w:rFonts w:ascii="Times New Roman" w:hAnsi="Times New Roman" w:cs="Times New Roman"/>
          <w:sz w:val="20"/>
          <w:szCs w:val="24"/>
        </w:rPr>
        <w:t xml:space="preserve">G. </w:t>
      </w:r>
      <w:proofErr w:type="spellStart"/>
      <w:r w:rsidR="00FB2A67" w:rsidRPr="006B29E3">
        <w:rPr>
          <w:rFonts w:ascii="Times New Roman" w:hAnsi="Times New Roman" w:cs="Times New Roman"/>
          <w:sz w:val="20"/>
          <w:szCs w:val="24"/>
        </w:rPr>
        <w:t>Coulton</w:t>
      </w:r>
      <w:proofErr w:type="spellEnd"/>
      <w:r w:rsidR="00FB2A67" w:rsidRPr="006B29E3">
        <w:rPr>
          <w:rFonts w:ascii="Times New Roman" w:hAnsi="Times New Roman" w:cs="Times New Roman"/>
          <w:sz w:val="20"/>
          <w:szCs w:val="24"/>
        </w:rPr>
        <w:t xml:space="preserve">, </w:t>
      </w:r>
      <w:r w:rsidR="00FB2A67" w:rsidRPr="006B29E3">
        <w:rPr>
          <w:rFonts w:ascii="Times New Roman" w:hAnsi="Times New Roman" w:cs="Times New Roman"/>
          <w:sz w:val="20"/>
          <w:szCs w:val="24"/>
        </w:rPr>
        <w:t>The Black Death (London: Ernest Benn Limited, 1919)</w:t>
      </w:r>
      <w:r w:rsidR="00FB2A67" w:rsidRPr="006B29E3">
        <w:rPr>
          <w:rFonts w:ascii="Times New Roman" w:hAnsi="Times New Roman" w:cs="Times New Roman"/>
          <w:sz w:val="20"/>
          <w:szCs w:val="24"/>
        </w:rPr>
        <w:t xml:space="preserve">, </w:t>
      </w:r>
      <w:r w:rsidRPr="006B29E3">
        <w:rPr>
          <w:rFonts w:ascii="Times New Roman" w:hAnsi="Times New Roman" w:cs="Times New Roman"/>
          <w:sz w:val="20"/>
          <w:szCs w:val="24"/>
        </w:rPr>
        <w:t>p. 66</w:t>
      </w:r>
    </w:p>
  </w:footnote>
  <w:footnote w:id="22">
    <w:p w:rsidR="001F545E" w:rsidRPr="006B29E3" w:rsidRDefault="001F545E" w:rsidP="006B29E3">
      <w:pPr>
        <w:pStyle w:val="NoSpacing"/>
        <w:rPr>
          <w:rFonts w:ascii="Times New Roman" w:hAnsi="Times New Roman" w:cs="Times New Roman"/>
          <w:sz w:val="20"/>
          <w:szCs w:val="24"/>
        </w:rPr>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w:t>
      </w:r>
      <w:r w:rsidR="00676860" w:rsidRPr="006B29E3">
        <w:rPr>
          <w:rFonts w:ascii="Times New Roman" w:hAnsi="Times New Roman" w:cs="Times New Roman"/>
          <w:sz w:val="20"/>
          <w:szCs w:val="24"/>
        </w:rPr>
        <w:t xml:space="preserve">Boccaccio’s </w:t>
      </w:r>
      <w:r w:rsidR="00676860" w:rsidRPr="006B29E3">
        <w:rPr>
          <w:rStyle w:val="hbodytext"/>
          <w:rFonts w:ascii="Times New Roman" w:hAnsi="Times New Roman" w:cs="Times New Roman"/>
          <w:i/>
          <w:iCs/>
          <w:color w:val="000000"/>
          <w:sz w:val="20"/>
          <w:szCs w:val="24"/>
        </w:rPr>
        <w:t>The Decameron</w:t>
      </w:r>
      <w:r w:rsidR="00676860" w:rsidRPr="006B29E3">
        <w:rPr>
          <w:rStyle w:val="hbodytext"/>
          <w:rFonts w:ascii="Times New Roman" w:hAnsi="Times New Roman" w:cs="Times New Roman"/>
          <w:iCs/>
          <w:color w:val="000000"/>
          <w:sz w:val="20"/>
          <w:szCs w:val="24"/>
        </w:rPr>
        <w:t>, translated by M. Riggs (London: David Campbell, 1921) pp. 5-11</w:t>
      </w:r>
    </w:p>
  </w:footnote>
  <w:footnote w:id="23">
    <w:p w:rsidR="00581634" w:rsidRPr="006B29E3" w:rsidRDefault="00581634" w:rsidP="006B29E3">
      <w:pPr>
        <w:pStyle w:val="NoSpacing"/>
        <w:rPr>
          <w:rFonts w:ascii="Times New Roman" w:hAnsi="Times New Roman" w:cs="Times New Roman"/>
          <w:sz w:val="20"/>
          <w:szCs w:val="24"/>
        </w:rPr>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w:t>
      </w:r>
      <w:r w:rsidR="006B29E3" w:rsidRPr="006B29E3">
        <w:rPr>
          <w:rFonts w:ascii="Times New Roman" w:hAnsi="Times New Roman" w:cs="Times New Roman"/>
          <w:sz w:val="20"/>
          <w:szCs w:val="24"/>
        </w:rPr>
        <w:t>R. Lenski,</w:t>
      </w:r>
      <w:r w:rsidR="006B29E3" w:rsidRPr="006B29E3">
        <w:rPr>
          <w:rFonts w:ascii="Times New Roman" w:hAnsi="Times New Roman" w:cs="Times New Roman"/>
          <w:sz w:val="20"/>
          <w:szCs w:val="24"/>
        </w:rPr>
        <w:t xml:space="preserve"> </w:t>
      </w:r>
      <w:hyperlink r:id="rId5" w:history="1">
        <w:r w:rsidR="006B29E3" w:rsidRPr="006B29E3">
          <w:rPr>
            <w:rStyle w:val="Hyperlink"/>
            <w:rFonts w:ascii="Times New Roman" w:hAnsi="Times New Roman" w:cs="Times New Roman"/>
            <w:i/>
            <w:iCs/>
            <w:color w:val="auto"/>
            <w:sz w:val="20"/>
            <w:szCs w:val="24"/>
            <w:u w:val="none"/>
          </w:rPr>
          <w:t>The Interpretation of St. John's Revelation</w:t>
        </w:r>
      </w:hyperlink>
      <w:r w:rsidR="006B29E3" w:rsidRPr="006B29E3">
        <w:rPr>
          <w:rFonts w:ascii="Times New Roman" w:hAnsi="Times New Roman" w:cs="Times New Roman"/>
          <w:sz w:val="20"/>
          <w:szCs w:val="24"/>
        </w:rPr>
        <w:t xml:space="preserve"> (Minnesota: Augsburg Fortress Publishers, 2008) p. 224</w:t>
      </w:r>
    </w:p>
  </w:footnote>
  <w:footnote w:id="24">
    <w:p w:rsidR="00581634" w:rsidRPr="006B29E3" w:rsidRDefault="00581634" w:rsidP="006B29E3">
      <w:pPr>
        <w:pStyle w:val="NoSpacing"/>
        <w:rPr>
          <w:rFonts w:ascii="Times New Roman" w:hAnsi="Times New Roman" w:cs="Times New Roman"/>
          <w:sz w:val="20"/>
          <w:szCs w:val="24"/>
        </w:rPr>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Ibid</w:t>
      </w:r>
    </w:p>
  </w:footnote>
  <w:footnote w:id="25">
    <w:p w:rsidR="00666108" w:rsidRPr="006B29E3" w:rsidRDefault="00666108" w:rsidP="006B29E3">
      <w:pPr>
        <w:pStyle w:val="NoSpacing"/>
      </w:pPr>
      <w:r w:rsidRPr="006B29E3">
        <w:rPr>
          <w:rStyle w:val="FootnoteReference"/>
          <w:rFonts w:ascii="Times New Roman" w:hAnsi="Times New Roman" w:cs="Times New Roman"/>
          <w:sz w:val="20"/>
          <w:szCs w:val="24"/>
        </w:rPr>
        <w:footnoteRef/>
      </w:r>
      <w:r w:rsidRPr="006B29E3">
        <w:rPr>
          <w:rFonts w:ascii="Times New Roman" w:hAnsi="Times New Roman" w:cs="Times New Roman"/>
          <w:sz w:val="20"/>
          <w:szCs w:val="24"/>
        </w:rPr>
        <w:t xml:space="preserve"> </w:t>
      </w:r>
      <w:r w:rsidR="006B29E3" w:rsidRPr="006B29E3">
        <w:rPr>
          <w:rFonts w:ascii="Times New Roman" w:hAnsi="Times New Roman" w:cs="Times New Roman"/>
          <w:sz w:val="20"/>
          <w:szCs w:val="24"/>
        </w:rPr>
        <w:t xml:space="preserve">Medieval England as Viewed by Contemporaries, ed. W. O. Hassall, (New York: </w:t>
      </w:r>
      <w:proofErr w:type="spellStart"/>
      <w:r w:rsidR="006B29E3" w:rsidRPr="006B29E3">
        <w:rPr>
          <w:rFonts w:ascii="Times New Roman" w:hAnsi="Times New Roman" w:cs="Times New Roman"/>
          <w:sz w:val="20"/>
          <w:szCs w:val="24"/>
        </w:rPr>
        <w:t>Torchbooks</w:t>
      </w:r>
      <w:proofErr w:type="spellEnd"/>
      <w:r w:rsidR="006B29E3" w:rsidRPr="006B29E3">
        <w:rPr>
          <w:rFonts w:ascii="Times New Roman" w:hAnsi="Times New Roman" w:cs="Times New Roman"/>
          <w:sz w:val="20"/>
          <w:szCs w:val="24"/>
        </w:rPr>
        <w:t>, 1965)</w:t>
      </w:r>
      <w:r w:rsidR="006B29E3" w:rsidRPr="006B29E3">
        <w:rPr>
          <w:rFonts w:ascii="Times New Roman" w:hAnsi="Times New Roman" w:cs="Times New Roman"/>
          <w:sz w:val="20"/>
          <w:szCs w:val="24"/>
        </w:rPr>
        <w:t xml:space="preserve">, </w:t>
      </w:r>
      <w:r w:rsidRPr="006B29E3">
        <w:rPr>
          <w:rFonts w:ascii="Times New Roman" w:hAnsi="Times New Roman" w:cs="Times New Roman"/>
          <w:sz w:val="20"/>
          <w:szCs w:val="24"/>
        </w:rPr>
        <w:t>pp. 157-58.</w:t>
      </w:r>
    </w:p>
  </w:footnote>
  <w:footnote w:id="26">
    <w:p w:rsidR="009A28C4" w:rsidRPr="006B29E3" w:rsidRDefault="009A28C4"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proofErr w:type="spellStart"/>
      <w:r w:rsidR="006B29E3" w:rsidRPr="006B29E3">
        <w:rPr>
          <w:rFonts w:ascii="Times New Roman" w:hAnsi="Times New Roman" w:cs="Times New Roman"/>
          <w:sz w:val="20"/>
          <w:szCs w:val="20"/>
        </w:rPr>
        <w:t>Zenter</w:t>
      </w:r>
      <w:proofErr w:type="spellEnd"/>
      <w:r w:rsidR="006B29E3" w:rsidRPr="006B29E3">
        <w:rPr>
          <w:rFonts w:ascii="Times New Roman" w:hAnsi="Times New Roman" w:cs="Times New Roman"/>
          <w:sz w:val="20"/>
          <w:szCs w:val="20"/>
        </w:rPr>
        <w:t>, M., The Black Death and Its Impact on the Church and Popular Religion, unpublished (BA) thesis, University of Mississippi, April 2015</w:t>
      </w:r>
    </w:p>
  </w:footnote>
  <w:footnote w:id="27">
    <w:p w:rsidR="00651B30" w:rsidRPr="006B29E3" w:rsidRDefault="00651B30" w:rsidP="006B29E3">
      <w:pPr>
        <w:pStyle w:val="NoSpacing"/>
        <w:rPr>
          <w:rFonts w:ascii="Times New Roman" w:hAnsi="Times New Roman" w:cs="Times New Roman"/>
          <w:sz w:val="20"/>
          <w:szCs w:val="20"/>
        </w:rPr>
      </w:pPr>
    </w:p>
  </w:footnote>
  <w:footnote w:id="28">
    <w:p w:rsidR="00B618FD" w:rsidRPr="006B29E3" w:rsidRDefault="00B618FD"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G. Cleary, ‘St. Roch’, The Catholic </w:t>
      </w:r>
      <w:proofErr w:type="spellStart"/>
      <w:r w:rsidR="006B29E3" w:rsidRPr="006B29E3">
        <w:rPr>
          <w:rFonts w:ascii="Times New Roman" w:hAnsi="Times New Roman" w:cs="Times New Roman"/>
          <w:sz w:val="20"/>
          <w:szCs w:val="20"/>
        </w:rPr>
        <w:t>Encylopedia</w:t>
      </w:r>
      <w:proofErr w:type="spellEnd"/>
      <w:r w:rsidR="006B29E3" w:rsidRPr="006B29E3">
        <w:rPr>
          <w:rFonts w:ascii="Times New Roman" w:hAnsi="Times New Roman" w:cs="Times New Roman"/>
          <w:sz w:val="20"/>
          <w:szCs w:val="20"/>
        </w:rPr>
        <w:t xml:space="preserve">, [online]. Available at: </w:t>
      </w:r>
      <w:hyperlink r:id="rId6" w:history="1">
        <w:r w:rsidR="006B29E3" w:rsidRPr="006B29E3">
          <w:rPr>
            <w:rStyle w:val="Hyperlink"/>
            <w:rFonts w:ascii="Times New Roman" w:hAnsi="Times New Roman" w:cs="Times New Roman"/>
            <w:sz w:val="20"/>
            <w:szCs w:val="20"/>
          </w:rPr>
          <w:t>http://www.newadvent.org/cathen/13100c.htm</w:t>
        </w:r>
      </w:hyperlink>
      <w:r w:rsidR="006B29E3" w:rsidRPr="006B29E3">
        <w:rPr>
          <w:rStyle w:val="Hyperlink"/>
          <w:rFonts w:ascii="Times New Roman" w:hAnsi="Times New Roman" w:cs="Times New Roman"/>
          <w:sz w:val="20"/>
          <w:szCs w:val="20"/>
        </w:rPr>
        <w:t>.</w:t>
      </w:r>
    </w:p>
  </w:footnote>
  <w:footnote w:id="29">
    <w:p w:rsidR="00341D22" w:rsidRPr="006B29E3" w:rsidRDefault="00341D22"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FB2A67" w:rsidRPr="006B29E3">
        <w:rPr>
          <w:rFonts w:ascii="Times New Roman" w:hAnsi="Times New Roman" w:cs="Times New Roman"/>
          <w:sz w:val="20"/>
          <w:szCs w:val="20"/>
        </w:rPr>
        <w:t xml:space="preserve">G.G. </w:t>
      </w:r>
      <w:proofErr w:type="spellStart"/>
      <w:r w:rsidR="00FB2A67" w:rsidRPr="006B29E3">
        <w:rPr>
          <w:rFonts w:ascii="Times New Roman" w:hAnsi="Times New Roman" w:cs="Times New Roman"/>
          <w:sz w:val="20"/>
          <w:szCs w:val="20"/>
        </w:rPr>
        <w:t>Coulton</w:t>
      </w:r>
      <w:proofErr w:type="spellEnd"/>
      <w:r w:rsidR="00FB2A67" w:rsidRPr="006B29E3">
        <w:rPr>
          <w:rFonts w:ascii="Times New Roman" w:hAnsi="Times New Roman" w:cs="Times New Roman"/>
          <w:sz w:val="20"/>
          <w:szCs w:val="20"/>
        </w:rPr>
        <w:t xml:space="preserve">, </w:t>
      </w:r>
      <w:r w:rsidR="00FB2A67" w:rsidRPr="006B29E3">
        <w:rPr>
          <w:rFonts w:ascii="Times New Roman" w:hAnsi="Times New Roman" w:cs="Times New Roman"/>
          <w:i/>
          <w:sz w:val="20"/>
          <w:szCs w:val="20"/>
        </w:rPr>
        <w:t>The Black Death</w:t>
      </w:r>
      <w:r w:rsidR="00FB2A67" w:rsidRPr="006B29E3">
        <w:rPr>
          <w:rFonts w:ascii="Times New Roman" w:hAnsi="Times New Roman" w:cs="Times New Roman"/>
          <w:sz w:val="20"/>
          <w:szCs w:val="20"/>
        </w:rPr>
        <w:t xml:space="preserve"> (London: Ernest Benn Limited, 1919), </w:t>
      </w:r>
      <w:r w:rsidRPr="006B29E3">
        <w:rPr>
          <w:rFonts w:ascii="Times New Roman" w:hAnsi="Times New Roman" w:cs="Times New Roman"/>
          <w:sz w:val="20"/>
          <w:szCs w:val="20"/>
        </w:rPr>
        <w:t>p. 75</w:t>
      </w:r>
    </w:p>
  </w:footnote>
  <w:footnote w:id="30">
    <w:p w:rsidR="00B309EC" w:rsidRPr="006B29E3" w:rsidRDefault="00B309EC"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proofErr w:type="spellStart"/>
      <w:r w:rsidR="00FB2A67" w:rsidRPr="006B29E3">
        <w:rPr>
          <w:rFonts w:ascii="Times New Roman" w:hAnsi="Times New Roman" w:cs="Times New Roman"/>
          <w:sz w:val="20"/>
          <w:szCs w:val="20"/>
        </w:rPr>
        <w:t>Coulton</w:t>
      </w:r>
      <w:proofErr w:type="spellEnd"/>
      <w:r w:rsidR="00FB2A67" w:rsidRPr="006B29E3">
        <w:rPr>
          <w:rFonts w:ascii="Times New Roman" w:hAnsi="Times New Roman" w:cs="Times New Roman"/>
          <w:sz w:val="20"/>
          <w:szCs w:val="20"/>
        </w:rPr>
        <w:t xml:space="preserve">, </w:t>
      </w:r>
      <w:r w:rsidR="00FB2A67" w:rsidRPr="006B29E3">
        <w:rPr>
          <w:rFonts w:ascii="Times New Roman" w:hAnsi="Times New Roman" w:cs="Times New Roman"/>
          <w:i/>
          <w:sz w:val="20"/>
          <w:szCs w:val="20"/>
        </w:rPr>
        <w:t>The Black Death</w:t>
      </w:r>
      <w:r w:rsidR="00FB2A67" w:rsidRPr="006B29E3">
        <w:rPr>
          <w:rFonts w:ascii="Times New Roman" w:hAnsi="Times New Roman" w:cs="Times New Roman"/>
          <w:sz w:val="20"/>
          <w:szCs w:val="20"/>
        </w:rPr>
        <w:t xml:space="preserve">, </w:t>
      </w:r>
      <w:r w:rsidRPr="006B29E3">
        <w:rPr>
          <w:rFonts w:ascii="Times New Roman" w:hAnsi="Times New Roman" w:cs="Times New Roman"/>
          <w:sz w:val="20"/>
          <w:szCs w:val="20"/>
        </w:rPr>
        <w:t>p. 44</w:t>
      </w:r>
    </w:p>
  </w:footnote>
  <w:footnote w:id="31">
    <w:p w:rsidR="00F20E96" w:rsidRDefault="00F20E96" w:rsidP="006B29E3">
      <w:pPr>
        <w:pStyle w:val="NoSpacing"/>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proofErr w:type="spellStart"/>
      <w:r w:rsidR="00FB2A67" w:rsidRPr="006B29E3">
        <w:rPr>
          <w:rFonts w:ascii="Times New Roman" w:hAnsi="Times New Roman" w:cs="Times New Roman"/>
          <w:sz w:val="20"/>
          <w:szCs w:val="20"/>
        </w:rPr>
        <w:t>Coulton</w:t>
      </w:r>
      <w:proofErr w:type="spellEnd"/>
      <w:r w:rsidR="00FB2A67" w:rsidRPr="006B29E3">
        <w:rPr>
          <w:rFonts w:ascii="Times New Roman" w:hAnsi="Times New Roman" w:cs="Times New Roman"/>
          <w:sz w:val="20"/>
          <w:szCs w:val="20"/>
        </w:rPr>
        <w:t xml:space="preserve">, </w:t>
      </w:r>
      <w:r w:rsidR="00FB2A67" w:rsidRPr="006B29E3">
        <w:rPr>
          <w:rFonts w:ascii="Times New Roman" w:hAnsi="Times New Roman" w:cs="Times New Roman"/>
          <w:i/>
          <w:sz w:val="20"/>
          <w:szCs w:val="20"/>
        </w:rPr>
        <w:t>The Black Death</w:t>
      </w:r>
      <w:r w:rsidR="00FB2A67" w:rsidRPr="006B29E3">
        <w:rPr>
          <w:rFonts w:ascii="Times New Roman" w:hAnsi="Times New Roman" w:cs="Times New Roman"/>
          <w:sz w:val="20"/>
          <w:szCs w:val="20"/>
        </w:rPr>
        <w:t xml:space="preserve">, </w:t>
      </w:r>
      <w:r w:rsidRPr="006B29E3">
        <w:rPr>
          <w:rFonts w:ascii="Times New Roman" w:hAnsi="Times New Roman" w:cs="Times New Roman"/>
          <w:sz w:val="20"/>
          <w:szCs w:val="20"/>
        </w:rPr>
        <w:t>pp. 66-67</w:t>
      </w:r>
    </w:p>
  </w:footnote>
  <w:footnote w:id="32">
    <w:p w:rsidR="00F20E96" w:rsidRPr="006B29E3" w:rsidRDefault="00F20E96"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Ibid</w:t>
      </w:r>
      <w:r w:rsidR="006B29E3" w:rsidRPr="006B29E3">
        <w:rPr>
          <w:rFonts w:ascii="Times New Roman" w:hAnsi="Times New Roman" w:cs="Times New Roman"/>
          <w:sz w:val="20"/>
          <w:szCs w:val="20"/>
        </w:rPr>
        <w:t>.</w:t>
      </w:r>
    </w:p>
  </w:footnote>
  <w:footnote w:id="33">
    <w:p w:rsidR="006A25D2" w:rsidRPr="006B29E3" w:rsidRDefault="006A25D2"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proofErr w:type="spellStart"/>
      <w:r w:rsidR="006B29E3" w:rsidRPr="006B29E3">
        <w:rPr>
          <w:rFonts w:ascii="Times New Roman" w:hAnsi="Times New Roman" w:cs="Times New Roman"/>
          <w:sz w:val="20"/>
          <w:szCs w:val="20"/>
        </w:rPr>
        <w:t>Zenter</w:t>
      </w:r>
      <w:proofErr w:type="spellEnd"/>
      <w:r w:rsidR="006B29E3" w:rsidRPr="006B29E3">
        <w:rPr>
          <w:rFonts w:ascii="Times New Roman" w:hAnsi="Times New Roman" w:cs="Times New Roman"/>
          <w:sz w:val="20"/>
          <w:szCs w:val="20"/>
        </w:rPr>
        <w:t>, M., The Black Death and Its Impact on the Church and Popular Religion, unpublished (BA) thesis, University of Mississippi, April 2015</w:t>
      </w:r>
      <w:r w:rsidR="006B29E3" w:rsidRPr="006B29E3">
        <w:rPr>
          <w:rFonts w:ascii="Times New Roman" w:hAnsi="Times New Roman" w:cs="Times New Roman"/>
          <w:sz w:val="20"/>
          <w:szCs w:val="20"/>
        </w:rPr>
        <w:t xml:space="preserve">, </w:t>
      </w:r>
      <w:r w:rsidRPr="006B29E3">
        <w:rPr>
          <w:rFonts w:ascii="Times New Roman" w:hAnsi="Times New Roman" w:cs="Times New Roman"/>
          <w:sz w:val="20"/>
          <w:szCs w:val="20"/>
        </w:rPr>
        <w:t>p. 9</w:t>
      </w:r>
    </w:p>
  </w:footnote>
  <w:footnote w:id="34">
    <w:p w:rsidR="006A25D2" w:rsidRPr="006B29E3" w:rsidRDefault="006A25D2"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N. Cantor, </w:t>
      </w:r>
      <w:r w:rsidR="006B29E3" w:rsidRPr="006B29E3">
        <w:rPr>
          <w:rFonts w:ascii="Times New Roman" w:hAnsi="Times New Roman" w:cs="Times New Roman"/>
          <w:i/>
          <w:sz w:val="20"/>
          <w:szCs w:val="20"/>
        </w:rPr>
        <w:t>In the Wake of the Plague</w:t>
      </w:r>
      <w:r w:rsidR="006B29E3" w:rsidRPr="006B29E3">
        <w:rPr>
          <w:rFonts w:ascii="Times New Roman" w:hAnsi="Times New Roman" w:cs="Times New Roman"/>
          <w:sz w:val="20"/>
          <w:szCs w:val="20"/>
        </w:rPr>
        <w:t xml:space="preserve"> (New York: Free Press, 2002</w:t>
      </w:r>
      <w:r w:rsidR="00676860" w:rsidRPr="006B29E3">
        <w:rPr>
          <w:rFonts w:ascii="Times New Roman" w:hAnsi="Times New Roman" w:cs="Times New Roman"/>
          <w:sz w:val="20"/>
          <w:szCs w:val="20"/>
        </w:rPr>
        <w:t>)</w:t>
      </w:r>
      <w:r w:rsidR="00676860" w:rsidRPr="006B29E3">
        <w:rPr>
          <w:rFonts w:ascii="Times New Roman" w:hAnsi="Times New Roman" w:cs="Times New Roman"/>
          <w:sz w:val="20"/>
          <w:szCs w:val="20"/>
        </w:rPr>
        <w:t xml:space="preserve">, p. </w:t>
      </w:r>
      <w:r w:rsidRPr="006B29E3">
        <w:rPr>
          <w:rFonts w:ascii="Times New Roman" w:hAnsi="Times New Roman" w:cs="Times New Roman"/>
          <w:sz w:val="20"/>
          <w:szCs w:val="20"/>
        </w:rPr>
        <w:t>206.</w:t>
      </w:r>
    </w:p>
  </w:footnote>
  <w:footnote w:id="35">
    <w:p w:rsidR="005B2B42" w:rsidRPr="006B29E3" w:rsidRDefault="005B2B42"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Louisa Woodville, ‘The Black Death’, Khan Academy (2014), [online]. Available at: </w:t>
      </w:r>
      <w:hyperlink r:id="rId7" w:history="1">
        <w:r w:rsidR="006B29E3" w:rsidRPr="006B29E3">
          <w:rPr>
            <w:rStyle w:val="Hyperlink"/>
            <w:rFonts w:ascii="Times New Roman" w:hAnsi="Times New Roman" w:cs="Times New Roman"/>
            <w:sz w:val="20"/>
            <w:szCs w:val="20"/>
          </w:rPr>
          <w:t>https://www.khanacademy.org/humanities/renaissance-reformation/late-gothic-italy/beginners-guide-late-gothic/a/the-black-death</w:t>
        </w:r>
      </w:hyperlink>
      <w:r w:rsidR="006B29E3" w:rsidRPr="006B29E3">
        <w:rPr>
          <w:rFonts w:ascii="Times New Roman" w:hAnsi="Times New Roman" w:cs="Times New Roman"/>
          <w:sz w:val="20"/>
          <w:szCs w:val="20"/>
        </w:rPr>
        <w:t>.</w:t>
      </w:r>
    </w:p>
  </w:footnote>
  <w:footnote w:id="36">
    <w:p w:rsidR="009D21A5" w:rsidRDefault="009D21A5" w:rsidP="006B29E3">
      <w:pPr>
        <w:pStyle w:val="NoSpacing"/>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Emily Rebekah Huber, ‘Death, Dying, and the Culture of the Macabre in the Late Middle Ages’, Robbins Library, </w:t>
      </w:r>
      <w:r w:rsidR="006B29E3" w:rsidRPr="006B29E3">
        <w:rPr>
          <w:rStyle w:val="FootnoteReference"/>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[online]. Available at: </w:t>
      </w:r>
      <w:hyperlink r:id="rId8" w:history="1">
        <w:r w:rsidR="006B29E3" w:rsidRPr="006B29E3">
          <w:rPr>
            <w:rStyle w:val="Hyperlink"/>
            <w:rFonts w:ascii="Times New Roman" w:hAnsi="Times New Roman" w:cs="Times New Roman"/>
            <w:sz w:val="20"/>
            <w:szCs w:val="20"/>
          </w:rPr>
          <w:t>https://www.library.rochester.edu/robbins/death</w:t>
        </w:r>
      </w:hyperlink>
      <w:r w:rsidR="006B29E3" w:rsidRPr="006B29E3">
        <w:rPr>
          <w:rFonts w:ascii="Times New Roman" w:hAnsi="Times New Roman" w:cs="Times New Roman"/>
          <w:sz w:val="20"/>
          <w:szCs w:val="20"/>
        </w:rPr>
        <w:t>.</w:t>
      </w:r>
    </w:p>
  </w:footnote>
  <w:footnote w:id="37">
    <w:p w:rsidR="009D21A5" w:rsidRPr="006B29E3" w:rsidRDefault="009D21A5"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006B29E3">
        <w:rPr>
          <w:rFonts w:ascii="Times New Roman" w:hAnsi="Times New Roman" w:cs="Times New Roman"/>
          <w:sz w:val="20"/>
          <w:szCs w:val="20"/>
        </w:rPr>
        <w:t>I</w:t>
      </w:r>
      <w:r w:rsidRPr="006B29E3">
        <w:rPr>
          <w:rFonts w:ascii="Times New Roman" w:hAnsi="Times New Roman" w:cs="Times New Roman"/>
          <w:sz w:val="20"/>
          <w:szCs w:val="20"/>
        </w:rPr>
        <w:t>bid</w:t>
      </w:r>
    </w:p>
  </w:footnote>
  <w:footnote w:id="38">
    <w:p w:rsidR="00C13C83" w:rsidRPr="006B29E3" w:rsidRDefault="00C13C83"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1D1C1F" w:rsidRPr="006B29E3">
        <w:rPr>
          <w:rFonts w:ascii="Times New Roman" w:hAnsi="Times New Roman" w:cs="Times New Roman"/>
          <w:sz w:val="20"/>
          <w:szCs w:val="20"/>
        </w:rPr>
        <w:t xml:space="preserve">J. Marcus, </w:t>
      </w:r>
      <w:r w:rsidR="001D1C1F" w:rsidRPr="006B29E3">
        <w:rPr>
          <w:rFonts w:ascii="Times New Roman" w:hAnsi="Times New Roman" w:cs="Times New Roman"/>
          <w:i/>
          <w:sz w:val="20"/>
          <w:szCs w:val="20"/>
        </w:rPr>
        <w:t>The Jew in the Medieval World: A Sourcebook</w:t>
      </w:r>
      <w:r w:rsidR="001D1C1F" w:rsidRPr="006B29E3">
        <w:rPr>
          <w:rFonts w:ascii="Times New Roman" w:hAnsi="Times New Roman" w:cs="Times New Roman"/>
          <w:sz w:val="20"/>
          <w:szCs w:val="20"/>
        </w:rPr>
        <w:t xml:space="preserve"> (New York: JPS, 1938), pp. 43-48</w:t>
      </w:r>
    </w:p>
  </w:footnote>
  <w:footnote w:id="39">
    <w:p w:rsidR="00FA15E7" w:rsidRPr="006B29E3" w:rsidRDefault="00FA15E7" w:rsidP="006B29E3">
      <w:pPr>
        <w:pStyle w:val="NoSpacing"/>
        <w:rPr>
          <w:rFonts w:ascii="Times New Roman" w:hAnsi="Times New Roman" w:cs="Times New Roman"/>
          <w:sz w:val="20"/>
          <w:szCs w:val="20"/>
          <w:shd w:val="clear" w:color="auto" w:fill="FFFFFF"/>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S. Cohn, ‘</w:t>
      </w:r>
      <w:r w:rsidR="006B29E3" w:rsidRPr="006B29E3">
        <w:rPr>
          <w:rFonts w:ascii="Times New Roman" w:hAnsi="Times New Roman" w:cs="Times New Roman"/>
          <w:sz w:val="20"/>
          <w:szCs w:val="20"/>
        </w:rPr>
        <w:t>The Black Death and the Burning of the Jews</w:t>
      </w:r>
      <w:r w:rsidR="006B29E3" w:rsidRPr="006B29E3">
        <w:rPr>
          <w:rFonts w:ascii="Times New Roman" w:hAnsi="Times New Roman" w:cs="Times New Roman"/>
          <w:sz w:val="20"/>
          <w:szCs w:val="20"/>
        </w:rPr>
        <w:t>’</w:t>
      </w:r>
      <w:r w:rsidR="006B29E3" w:rsidRPr="006B29E3">
        <w:rPr>
          <w:rFonts w:ascii="Times New Roman" w:hAnsi="Times New Roman" w:cs="Times New Roman"/>
          <w:sz w:val="20"/>
          <w:szCs w:val="20"/>
        </w:rPr>
        <w:t xml:space="preserve">, </w:t>
      </w:r>
      <w:r w:rsidR="006B29E3" w:rsidRPr="006B29E3">
        <w:rPr>
          <w:rStyle w:val="Emphasis"/>
          <w:rFonts w:ascii="Times New Roman" w:hAnsi="Times New Roman" w:cs="Times New Roman"/>
          <w:i w:val="0"/>
          <w:color w:val="2A2A2A"/>
          <w:sz w:val="20"/>
          <w:szCs w:val="20"/>
          <w:bdr w:val="none" w:sz="0" w:space="0" w:color="auto" w:frame="1"/>
          <w:shd w:val="clear" w:color="auto" w:fill="FFFFFF"/>
        </w:rPr>
        <w:t>Past &amp; Present</w:t>
      </w:r>
      <w:r w:rsidR="006B29E3" w:rsidRPr="006B29E3">
        <w:rPr>
          <w:rFonts w:ascii="Times New Roman" w:hAnsi="Times New Roman" w:cs="Times New Roman"/>
          <w:sz w:val="20"/>
          <w:szCs w:val="20"/>
          <w:shd w:val="clear" w:color="auto" w:fill="FFFFFF"/>
        </w:rPr>
        <w:t>, vol. 196, Issue 1, 2007, pp. 3–36</w:t>
      </w:r>
    </w:p>
  </w:footnote>
  <w:footnote w:id="40">
    <w:p w:rsidR="00230767" w:rsidRPr="006B29E3" w:rsidRDefault="00230767"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proofErr w:type="spellStart"/>
      <w:r w:rsidR="006B29E3" w:rsidRPr="006B29E3">
        <w:rPr>
          <w:rFonts w:ascii="Times New Roman" w:hAnsi="Times New Roman" w:cs="Times New Roman"/>
          <w:sz w:val="20"/>
          <w:szCs w:val="20"/>
        </w:rPr>
        <w:t>Rhianydd</w:t>
      </w:r>
      <w:proofErr w:type="spellEnd"/>
      <w:r w:rsidR="006B29E3" w:rsidRPr="006B29E3">
        <w:rPr>
          <w:rFonts w:ascii="Times New Roman" w:hAnsi="Times New Roman" w:cs="Times New Roman"/>
          <w:sz w:val="20"/>
          <w:szCs w:val="20"/>
        </w:rPr>
        <w:t xml:space="preserve"> </w:t>
      </w:r>
      <w:proofErr w:type="spellStart"/>
      <w:r w:rsidR="006B29E3" w:rsidRPr="006B29E3">
        <w:rPr>
          <w:rFonts w:ascii="Times New Roman" w:hAnsi="Times New Roman" w:cs="Times New Roman"/>
          <w:sz w:val="20"/>
          <w:szCs w:val="20"/>
        </w:rPr>
        <w:t>Briebrach</w:t>
      </w:r>
      <w:proofErr w:type="spellEnd"/>
      <w:r w:rsidR="006B29E3" w:rsidRPr="006B29E3">
        <w:rPr>
          <w:rFonts w:ascii="Times New Roman" w:hAnsi="Times New Roman" w:cs="Times New Roman"/>
          <w:sz w:val="20"/>
          <w:szCs w:val="20"/>
        </w:rPr>
        <w:t xml:space="preserve">, ‘Mourning Rings’, National Museum of Wales (2017). Available at: </w:t>
      </w:r>
      <w:hyperlink r:id="rId9" w:history="1">
        <w:r w:rsidR="006B29E3" w:rsidRPr="006B29E3">
          <w:rPr>
            <w:rStyle w:val="Hyperlink"/>
            <w:rFonts w:ascii="Times New Roman" w:hAnsi="Times New Roman" w:cs="Times New Roman"/>
            <w:sz w:val="20"/>
            <w:szCs w:val="20"/>
          </w:rPr>
          <w:t>https://museum.wales/articles/2017-05-09/Mourning-Rings/</w:t>
        </w:r>
      </w:hyperlink>
    </w:p>
  </w:footnote>
  <w:footnote w:id="41">
    <w:p w:rsidR="0056597C" w:rsidRDefault="0056597C" w:rsidP="006B29E3">
      <w:pPr>
        <w:pStyle w:val="NoSpacing"/>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Tate, ‘Mementos Mori’, [online]. Available at: </w:t>
      </w:r>
      <w:hyperlink r:id="rId10" w:history="1">
        <w:r w:rsidRPr="006B29E3">
          <w:rPr>
            <w:rStyle w:val="Hyperlink"/>
            <w:rFonts w:ascii="Times New Roman" w:hAnsi="Times New Roman" w:cs="Times New Roman"/>
            <w:sz w:val="20"/>
            <w:szCs w:val="20"/>
          </w:rPr>
          <w:t>http://www.tate.org.uk/art/art-terms/m/memento-mori</w:t>
        </w:r>
      </w:hyperlink>
      <w:r w:rsidRPr="006B29E3">
        <w:rPr>
          <w:rFonts w:ascii="Times New Roman" w:hAnsi="Times New Roman" w:cs="Times New Roman"/>
          <w:sz w:val="20"/>
          <w:szCs w:val="20"/>
        </w:rPr>
        <w:t xml:space="preserve">. (Accessed: Nov </w:t>
      </w:r>
      <w:proofErr w:type="gramStart"/>
      <w:r w:rsidRPr="006B29E3">
        <w:rPr>
          <w:rFonts w:ascii="Times New Roman" w:hAnsi="Times New Roman" w:cs="Times New Roman"/>
          <w:sz w:val="20"/>
          <w:szCs w:val="20"/>
        </w:rPr>
        <w:t>1</w:t>
      </w:r>
      <w:proofErr w:type="gramEnd"/>
      <w:r w:rsidRPr="006B29E3">
        <w:rPr>
          <w:rFonts w:ascii="Times New Roman" w:hAnsi="Times New Roman" w:cs="Times New Roman"/>
          <w:sz w:val="20"/>
          <w:szCs w:val="20"/>
        </w:rPr>
        <w:t xml:space="preserve"> 2017)</w:t>
      </w:r>
    </w:p>
  </w:footnote>
  <w:footnote w:id="42">
    <w:p w:rsidR="002B7F99" w:rsidRPr="006B29E3" w:rsidRDefault="002B7F99" w:rsidP="006B29E3">
      <w:pPr>
        <w:pStyle w:val="NoSpacing"/>
        <w:rPr>
          <w:rFonts w:ascii="Times New Roman" w:hAnsi="Times New Roman" w:cs="Times New Roman"/>
          <w:sz w:val="20"/>
          <w:szCs w:val="20"/>
        </w:rPr>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Emily Rebekah Huber, ‘Death, Dying, and the Culture of the Macabre in the Late Middle Ages’, Robbins Library, </w:t>
      </w:r>
      <w:r w:rsidR="006B29E3" w:rsidRPr="006B29E3">
        <w:rPr>
          <w:rStyle w:val="FootnoteReference"/>
          <w:rFonts w:ascii="Times New Roman" w:hAnsi="Times New Roman" w:cs="Times New Roman"/>
          <w:sz w:val="20"/>
          <w:szCs w:val="20"/>
        </w:rPr>
        <w:t xml:space="preserve">, </w:t>
      </w:r>
      <w:r w:rsidR="006B29E3" w:rsidRPr="006B29E3">
        <w:rPr>
          <w:rFonts w:ascii="Times New Roman" w:hAnsi="Times New Roman" w:cs="Times New Roman"/>
          <w:sz w:val="20"/>
          <w:szCs w:val="20"/>
        </w:rPr>
        <w:t xml:space="preserve">[online]. Available at: </w:t>
      </w:r>
      <w:hyperlink r:id="rId11" w:history="1">
        <w:r w:rsidR="006B29E3" w:rsidRPr="006B29E3">
          <w:rPr>
            <w:rStyle w:val="Hyperlink"/>
            <w:rFonts w:ascii="Times New Roman" w:hAnsi="Times New Roman" w:cs="Times New Roman"/>
            <w:sz w:val="20"/>
            <w:szCs w:val="20"/>
          </w:rPr>
          <w:t>https://www.library.rochester.edu/robbins/death</w:t>
        </w:r>
      </w:hyperlink>
      <w:r w:rsidR="006B29E3" w:rsidRPr="006B29E3">
        <w:rPr>
          <w:rFonts w:ascii="Times New Roman" w:hAnsi="Times New Roman" w:cs="Times New Roman"/>
          <w:sz w:val="20"/>
          <w:szCs w:val="20"/>
        </w:rPr>
        <w:t>.</w:t>
      </w:r>
    </w:p>
  </w:footnote>
  <w:footnote w:id="43">
    <w:p w:rsidR="002B7F99" w:rsidRDefault="002B7F99" w:rsidP="006B29E3">
      <w:pPr>
        <w:pStyle w:val="NoSpacing"/>
      </w:pPr>
      <w:r w:rsidRPr="006B29E3">
        <w:rPr>
          <w:rStyle w:val="FootnoteReference"/>
          <w:rFonts w:ascii="Times New Roman" w:hAnsi="Times New Roman" w:cs="Times New Roman"/>
          <w:sz w:val="20"/>
          <w:szCs w:val="20"/>
        </w:rPr>
        <w:footnoteRef/>
      </w:r>
      <w:r w:rsidRPr="006B29E3">
        <w:rPr>
          <w:rFonts w:ascii="Times New Roman" w:hAnsi="Times New Roman" w:cs="Times New Roman"/>
          <w:sz w:val="20"/>
          <w:szCs w:val="20"/>
        </w:rP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2A1D" w:rsidRPr="00E92A1D" w:rsidRDefault="00E92A1D" w:rsidP="00E92A1D">
    <w:pPr>
      <w:pStyle w:val="Header"/>
      <w:tabs>
        <w:tab w:val="clear" w:pos="4513"/>
      </w:tabs>
      <w:rPr>
        <w:rFonts w:ascii="Times New Roman" w:hAnsi="Times New Roman" w:cs="Times New Roman"/>
      </w:rPr>
    </w:pPr>
    <w:r w:rsidRPr="00E92A1D">
      <w:rPr>
        <w:rFonts w:ascii="Times New Roman" w:hAnsi="Times New Roman" w:cs="Times New Roman"/>
      </w:rPr>
      <w:t>Rhiannon Morgan</w:t>
    </w:r>
    <w:r w:rsidRPr="00E92A1D">
      <w:rPr>
        <w:rFonts w:ascii="Times New Roman" w:hAnsi="Times New Roman" w:cs="Times New Roman"/>
      </w:rPr>
      <w:tab/>
      <w:t>HPHI6002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901076"/>
    <w:multiLevelType w:val="hybridMultilevel"/>
    <w:tmpl w:val="BED6C260"/>
    <w:lvl w:ilvl="0" w:tplc="9906EC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49C"/>
    <w:rsid w:val="00027A53"/>
    <w:rsid w:val="0003000A"/>
    <w:rsid w:val="00037D3F"/>
    <w:rsid w:val="000A6C44"/>
    <w:rsid w:val="000B4A39"/>
    <w:rsid w:val="00111591"/>
    <w:rsid w:val="001D1C1F"/>
    <w:rsid w:val="001F545E"/>
    <w:rsid w:val="001F73DE"/>
    <w:rsid w:val="00201057"/>
    <w:rsid w:val="002100BE"/>
    <w:rsid w:val="002133B2"/>
    <w:rsid w:val="002259E5"/>
    <w:rsid w:val="00230767"/>
    <w:rsid w:val="00233BC0"/>
    <w:rsid w:val="0024097E"/>
    <w:rsid w:val="00243084"/>
    <w:rsid w:val="0026490A"/>
    <w:rsid w:val="002A30F0"/>
    <w:rsid w:val="002B7F99"/>
    <w:rsid w:val="002C61ED"/>
    <w:rsid w:val="002C7429"/>
    <w:rsid w:val="002E3AE1"/>
    <w:rsid w:val="00325BF1"/>
    <w:rsid w:val="00341D22"/>
    <w:rsid w:val="00361329"/>
    <w:rsid w:val="00384CBB"/>
    <w:rsid w:val="003A1B3A"/>
    <w:rsid w:val="003C01CC"/>
    <w:rsid w:val="00442320"/>
    <w:rsid w:val="004660CE"/>
    <w:rsid w:val="004B4ACC"/>
    <w:rsid w:val="0056597C"/>
    <w:rsid w:val="00581634"/>
    <w:rsid w:val="005A55A2"/>
    <w:rsid w:val="005B2B42"/>
    <w:rsid w:val="005D18E9"/>
    <w:rsid w:val="005D26DF"/>
    <w:rsid w:val="006071EF"/>
    <w:rsid w:val="00651B30"/>
    <w:rsid w:val="00664AD2"/>
    <w:rsid w:val="00665B50"/>
    <w:rsid w:val="00666108"/>
    <w:rsid w:val="00676860"/>
    <w:rsid w:val="00694FDC"/>
    <w:rsid w:val="006A25D2"/>
    <w:rsid w:val="006B29E3"/>
    <w:rsid w:val="007005D5"/>
    <w:rsid w:val="0070461C"/>
    <w:rsid w:val="00764D7B"/>
    <w:rsid w:val="007D049C"/>
    <w:rsid w:val="007E67FA"/>
    <w:rsid w:val="007F4638"/>
    <w:rsid w:val="007F78A6"/>
    <w:rsid w:val="00825BA6"/>
    <w:rsid w:val="008454DE"/>
    <w:rsid w:val="00851D24"/>
    <w:rsid w:val="00855452"/>
    <w:rsid w:val="00895C1D"/>
    <w:rsid w:val="008F4C78"/>
    <w:rsid w:val="00974215"/>
    <w:rsid w:val="009A28C4"/>
    <w:rsid w:val="009D18AD"/>
    <w:rsid w:val="009D21A5"/>
    <w:rsid w:val="009F1371"/>
    <w:rsid w:val="009F18AF"/>
    <w:rsid w:val="009F6698"/>
    <w:rsid w:val="00A03D70"/>
    <w:rsid w:val="00AB12AB"/>
    <w:rsid w:val="00AC5C0E"/>
    <w:rsid w:val="00AC61C6"/>
    <w:rsid w:val="00AD3257"/>
    <w:rsid w:val="00AE5C83"/>
    <w:rsid w:val="00B249A5"/>
    <w:rsid w:val="00B309EC"/>
    <w:rsid w:val="00B3685C"/>
    <w:rsid w:val="00B618FD"/>
    <w:rsid w:val="00B66E3E"/>
    <w:rsid w:val="00B87584"/>
    <w:rsid w:val="00BB0380"/>
    <w:rsid w:val="00C13C83"/>
    <w:rsid w:val="00C5755A"/>
    <w:rsid w:val="00C622D1"/>
    <w:rsid w:val="00C86221"/>
    <w:rsid w:val="00C90E20"/>
    <w:rsid w:val="00CA3FCE"/>
    <w:rsid w:val="00CE146A"/>
    <w:rsid w:val="00D03EDC"/>
    <w:rsid w:val="00D40319"/>
    <w:rsid w:val="00E01D73"/>
    <w:rsid w:val="00E32F94"/>
    <w:rsid w:val="00E744A1"/>
    <w:rsid w:val="00E92A1D"/>
    <w:rsid w:val="00EA6B2E"/>
    <w:rsid w:val="00EB0471"/>
    <w:rsid w:val="00EB161C"/>
    <w:rsid w:val="00EF6BB5"/>
    <w:rsid w:val="00F20E96"/>
    <w:rsid w:val="00F31156"/>
    <w:rsid w:val="00F512C5"/>
    <w:rsid w:val="00F66674"/>
    <w:rsid w:val="00F70502"/>
    <w:rsid w:val="00F8631E"/>
    <w:rsid w:val="00FA15E7"/>
    <w:rsid w:val="00FA3BE9"/>
    <w:rsid w:val="00FB2A67"/>
    <w:rsid w:val="00FC4A92"/>
    <w:rsid w:val="00FD5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416752"/>
  <w15:chartTrackingRefBased/>
  <w15:docId w15:val="{B5CD5A35-39A5-4A0E-84AE-7D363606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51B30"/>
    <w:pPr>
      <w:spacing w:after="0" w:line="240" w:lineRule="auto"/>
    </w:pPr>
    <w:rPr>
      <w:sz w:val="20"/>
      <w:szCs w:val="20"/>
    </w:rPr>
  </w:style>
  <w:style w:type="character" w:customStyle="1" w:styleId="FootnoteTextChar">
    <w:name w:val="Footnote Text Char"/>
    <w:basedOn w:val="DefaultParagraphFont"/>
    <w:link w:val="FootnoteText"/>
    <w:uiPriority w:val="99"/>
    <w:rsid w:val="00651B30"/>
    <w:rPr>
      <w:sz w:val="20"/>
      <w:szCs w:val="20"/>
    </w:rPr>
  </w:style>
  <w:style w:type="character" w:styleId="FootnoteReference">
    <w:name w:val="footnote reference"/>
    <w:basedOn w:val="DefaultParagraphFont"/>
    <w:uiPriority w:val="99"/>
    <w:semiHidden/>
    <w:unhideWhenUsed/>
    <w:rsid w:val="00651B30"/>
    <w:rPr>
      <w:vertAlign w:val="superscript"/>
    </w:rPr>
  </w:style>
  <w:style w:type="paragraph" w:styleId="Quote">
    <w:name w:val="Quote"/>
    <w:basedOn w:val="Normal"/>
    <w:next w:val="Normal"/>
    <w:link w:val="QuoteChar"/>
    <w:uiPriority w:val="29"/>
    <w:qFormat/>
    <w:rsid w:val="00895C1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95C1D"/>
    <w:rPr>
      <w:i/>
      <w:iCs/>
      <w:color w:val="404040" w:themeColor="text1" w:themeTint="BF"/>
    </w:rPr>
  </w:style>
  <w:style w:type="character" w:styleId="Hyperlink">
    <w:name w:val="Hyperlink"/>
    <w:basedOn w:val="DefaultParagraphFont"/>
    <w:uiPriority w:val="99"/>
    <w:unhideWhenUsed/>
    <w:rsid w:val="00694FDC"/>
    <w:rPr>
      <w:color w:val="0000FF"/>
      <w:u w:val="single"/>
    </w:rPr>
  </w:style>
  <w:style w:type="paragraph" w:styleId="NoSpacing">
    <w:name w:val="No Spacing"/>
    <w:uiPriority w:val="1"/>
    <w:qFormat/>
    <w:rsid w:val="00694FDC"/>
    <w:pPr>
      <w:spacing w:after="0" w:line="240" w:lineRule="auto"/>
    </w:pPr>
  </w:style>
  <w:style w:type="paragraph" w:styleId="IntenseQuote">
    <w:name w:val="Intense Quote"/>
    <w:basedOn w:val="Normal"/>
    <w:next w:val="Normal"/>
    <w:link w:val="IntenseQuoteChar"/>
    <w:uiPriority w:val="30"/>
    <w:qFormat/>
    <w:rsid w:val="00233BC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33BC0"/>
    <w:rPr>
      <w:i/>
      <w:iCs/>
      <w:color w:val="4472C4" w:themeColor="accent1"/>
    </w:rPr>
  </w:style>
  <w:style w:type="character" w:styleId="SubtleReference">
    <w:name w:val="Subtle Reference"/>
    <w:basedOn w:val="DefaultParagraphFont"/>
    <w:uiPriority w:val="31"/>
    <w:qFormat/>
    <w:rsid w:val="00233BC0"/>
    <w:rPr>
      <w:smallCaps/>
      <w:color w:val="5A5A5A" w:themeColor="text1" w:themeTint="A5"/>
    </w:rPr>
  </w:style>
  <w:style w:type="character" w:styleId="UnresolvedMention">
    <w:name w:val="Unresolved Mention"/>
    <w:basedOn w:val="DefaultParagraphFont"/>
    <w:uiPriority w:val="99"/>
    <w:semiHidden/>
    <w:unhideWhenUsed/>
    <w:rsid w:val="00B309EC"/>
    <w:rPr>
      <w:color w:val="808080"/>
      <w:shd w:val="clear" w:color="auto" w:fill="E6E6E6"/>
    </w:rPr>
  </w:style>
  <w:style w:type="character" w:customStyle="1" w:styleId="hbodytext">
    <w:name w:val="h_body_text"/>
    <w:basedOn w:val="DefaultParagraphFont"/>
    <w:rsid w:val="00B309EC"/>
  </w:style>
  <w:style w:type="character" w:styleId="Emphasis">
    <w:name w:val="Emphasis"/>
    <w:basedOn w:val="DefaultParagraphFont"/>
    <w:uiPriority w:val="20"/>
    <w:qFormat/>
    <w:rsid w:val="00FA15E7"/>
    <w:rPr>
      <w:i/>
      <w:iCs/>
    </w:rPr>
  </w:style>
  <w:style w:type="paragraph" w:styleId="Caption">
    <w:name w:val="caption"/>
    <w:basedOn w:val="Normal"/>
    <w:next w:val="Normal"/>
    <w:uiPriority w:val="35"/>
    <w:unhideWhenUsed/>
    <w:qFormat/>
    <w:rsid w:val="002B7F99"/>
    <w:pPr>
      <w:spacing w:after="200" w:line="240" w:lineRule="auto"/>
    </w:pPr>
    <w:rPr>
      <w:i/>
      <w:iCs/>
      <w:color w:val="44546A" w:themeColor="text2"/>
      <w:sz w:val="18"/>
      <w:szCs w:val="18"/>
    </w:rPr>
  </w:style>
  <w:style w:type="paragraph" w:styleId="ListParagraph">
    <w:name w:val="List Paragraph"/>
    <w:basedOn w:val="Normal"/>
    <w:uiPriority w:val="34"/>
    <w:qFormat/>
    <w:rsid w:val="00F512C5"/>
    <w:pPr>
      <w:ind w:left="720"/>
      <w:contextualSpacing/>
    </w:pPr>
  </w:style>
  <w:style w:type="character" w:styleId="FollowedHyperlink">
    <w:name w:val="FollowedHyperlink"/>
    <w:basedOn w:val="DefaultParagraphFont"/>
    <w:uiPriority w:val="99"/>
    <w:semiHidden/>
    <w:unhideWhenUsed/>
    <w:rsid w:val="001F73DE"/>
    <w:rPr>
      <w:color w:val="954F72" w:themeColor="followedHyperlink"/>
      <w:u w:val="single"/>
    </w:rPr>
  </w:style>
  <w:style w:type="paragraph" w:styleId="Header">
    <w:name w:val="header"/>
    <w:basedOn w:val="Normal"/>
    <w:link w:val="HeaderChar"/>
    <w:uiPriority w:val="99"/>
    <w:unhideWhenUsed/>
    <w:rsid w:val="00E92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A1D"/>
  </w:style>
  <w:style w:type="paragraph" w:styleId="Footer">
    <w:name w:val="footer"/>
    <w:basedOn w:val="Normal"/>
    <w:link w:val="FooterChar"/>
    <w:uiPriority w:val="99"/>
    <w:unhideWhenUsed/>
    <w:rsid w:val="00E92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chevening.org/scholars/blog/2017/the-normans-and-plantagenets" TargetMode="External"/><Relationship Id="rId18" Type="http://schemas.openxmlformats.org/officeDocument/2006/relationships/hyperlink" Target="http://www.tate.org.uk/art/art-terms/m/memento-mori"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newadvent.org/cathen/13100c.htm" TargetMode="External"/><Relationship Id="rId17" Type="http://schemas.openxmlformats.org/officeDocument/2006/relationships/hyperlink" Target="http://chnm.gmu.edu/cyh/items/show/167" TargetMode="External"/><Relationship Id="rId2" Type="http://schemas.openxmlformats.org/officeDocument/2006/relationships/numbering" Target="numbering.xml"/><Relationship Id="rId16" Type="http://schemas.openxmlformats.org/officeDocument/2006/relationships/hyperlink" Target="https://museum.wales/articles/2017-05-09/Mourning-Ring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brary.rochester.edu/robbins/death" TargetMode="External"/><Relationship Id="rId5" Type="http://schemas.openxmlformats.org/officeDocument/2006/relationships/webSettings" Target="webSettings.xml"/><Relationship Id="rId15" Type="http://schemas.openxmlformats.org/officeDocument/2006/relationships/hyperlink" Target="https://books.google.com/books?id=pekklMmrBWkC&amp;pg=PA224" TargetMode="External"/><Relationship Id="rId23" Type="http://schemas.openxmlformats.org/officeDocument/2006/relationships/theme" Target="theme/theme1.xml"/><Relationship Id="rId10" Type="http://schemas.openxmlformats.org/officeDocument/2006/relationships/hyperlink" Target="https://sourcebooks.fordham.edu/med/pistoia.asp"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khanacademy.org/humanities/renaissance-reformation/late-gothic-italy/beginners-guide-late-gothic/a/the-black-death" TargetMode="External"/><Relationship Id="rId22"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8" Type="http://schemas.openxmlformats.org/officeDocument/2006/relationships/hyperlink" Target="https://www.library.rochester.edu/robbins/death" TargetMode="External"/><Relationship Id="rId3" Type="http://schemas.openxmlformats.org/officeDocument/2006/relationships/hyperlink" Target="http://chnm.gmu.edu/cyh/items/show/167" TargetMode="External"/><Relationship Id="rId7" Type="http://schemas.openxmlformats.org/officeDocument/2006/relationships/hyperlink" Target="https://www.khanacademy.org/humanities/renaissance-reformation/late-gothic-italy/beginners-guide-late-gothic/a/the-black-death" TargetMode="External"/><Relationship Id="rId2" Type="http://schemas.openxmlformats.org/officeDocument/2006/relationships/hyperlink" Target="http://chnm.gmu.edu/cyh/items/show/167" TargetMode="External"/><Relationship Id="rId1" Type="http://schemas.openxmlformats.org/officeDocument/2006/relationships/hyperlink" Target="https://sourcebooks.fordham.edu/med/pistoia.asp" TargetMode="External"/><Relationship Id="rId6" Type="http://schemas.openxmlformats.org/officeDocument/2006/relationships/hyperlink" Target="http://www.newadvent.org/cathen/13100c.htm" TargetMode="External"/><Relationship Id="rId11" Type="http://schemas.openxmlformats.org/officeDocument/2006/relationships/hyperlink" Target="https://www.library.rochester.edu/robbins/death" TargetMode="External"/><Relationship Id="rId5" Type="http://schemas.openxmlformats.org/officeDocument/2006/relationships/hyperlink" Target="https://books.google.com/books?id=pekklMmrBWkC&amp;pg=PA224" TargetMode="External"/><Relationship Id="rId10" Type="http://schemas.openxmlformats.org/officeDocument/2006/relationships/hyperlink" Target="http://www.tate.org.uk/art/art-terms/m/memento-mori" TargetMode="External"/><Relationship Id="rId4" Type="http://schemas.openxmlformats.org/officeDocument/2006/relationships/hyperlink" Target="http://www.chevening.org/scholars/blog/2017/the-normans-and-plantagenets" TargetMode="External"/><Relationship Id="rId9" Type="http://schemas.openxmlformats.org/officeDocument/2006/relationships/hyperlink" Target="https://museum.wales/articles/2017-05-09/Mourning-Ring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6A"/>
    <w:rsid w:val="000B6C67"/>
    <w:rsid w:val="00FE6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8F61F0EAF84FD0B1B9ED8FC7527332">
    <w:name w:val="F78F61F0EAF84FD0B1B9ED8FC7527332"/>
    <w:rsid w:val="00FE65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4B7B8-63CB-474A-A614-0616805F3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TotalTime>
  <Pages>10</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Morgan</dc:creator>
  <cp:keywords/>
  <dc:description/>
  <cp:lastModifiedBy>Rhiannon Morgan</cp:lastModifiedBy>
  <cp:revision>53</cp:revision>
  <dcterms:created xsi:type="dcterms:W3CDTF">2017-12-11T14:40:00Z</dcterms:created>
  <dcterms:modified xsi:type="dcterms:W3CDTF">2018-01-12T22:11:00Z</dcterms:modified>
</cp:coreProperties>
</file>