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0160" w:rsidRDefault="004A22DD" w:rsidP="004A22DD">
      <w:pPr>
        <w:spacing w:line="480" w:lineRule="auto"/>
        <w:rPr>
          <w:rFonts w:ascii="Times New Roman" w:hAnsi="Times New Roman" w:cs="Times New Roman"/>
        </w:rPr>
      </w:pPr>
      <w:r>
        <w:rPr>
          <w:rFonts w:ascii="Times New Roman" w:hAnsi="Times New Roman" w:cs="Times New Roman"/>
        </w:rPr>
        <w:t>When looking at the status of the community there will always be a variation</w:t>
      </w:r>
      <w:r w:rsidR="00FC4CFD">
        <w:rPr>
          <w:rFonts w:ascii="Times New Roman" w:hAnsi="Times New Roman" w:cs="Times New Roman"/>
        </w:rPr>
        <w:t xml:space="preserve">, </w:t>
      </w:r>
      <w:proofErr w:type="spellStart"/>
      <w:r w:rsidR="00FC4CFD">
        <w:rPr>
          <w:rFonts w:ascii="Times New Roman" w:hAnsi="Times New Roman" w:cs="Times New Roman"/>
        </w:rPr>
        <w:t>Wetwang</w:t>
      </w:r>
      <w:proofErr w:type="spellEnd"/>
      <w:r w:rsidR="00FC4CFD">
        <w:rPr>
          <w:rFonts w:ascii="Times New Roman" w:hAnsi="Times New Roman" w:cs="Times New Roman"/>
        </w:rPr>
        <w:t xml:space="preserve"> Slack offers this variation. </w:t>
      </w:r>
      <w:r w:rsidR="00CD149E">
        <w:rPr>
          <w:rFonts w:ascii="Times New Roman" w:hAnsi="Times New Roman" w:cs="Times New Roman"/>
        </w:rPr>
        <w:t>Firstly it has the chariot burials which are renown. Then t</w:t>
      </w:r>
      <w:r w:rsidR="00FC4CFD">
        <w:rPr>
          <w:rFonts w:ascii="Times New Roman" w:hAnsi="Times New Roman" w:cs="Times New Roman"/>
        </w:rPr>
        <w:t xml:space="preserve">hrough Dent applying the terms primary and secondary status to the graves </w:t>
      </w:r>
      <w:r w:rsidR="00CD149E">
        <w:rPr>
          <w:rFonts w:ascii="Times New Roman" w:hAnsi="Times New Roman" w:cs="Times New Roman"/>
        </w:rPr>
        <w:t xml:space="preserve">of the main cemetery </w:t>
      </w:r>
      <w:r w:rsidR="00FC4CFD">
        <w:rPr>
          <w:rFonts w:ascii="Times New Roman" w:hAnsi="Times New Roman" w:cs="Times New Roman"/>
        </w:rPr>
        <w:t xml:space="preserve">we can </w:t>
      </w:r>
      <w:r w:rsidR="00CD149E">
        <w:rPr>
          <w:rFonts w:ascii="Times New Roman" w:hAnsi="Times New Roman" w:cs="Times New Roman"/>
        </w:rPr>
        <w:t>gain an understanding of the differences between the dead from their varied levels of wealth. Not only through wealth but through the graves and what we see from brooches, to personal items, to food and to child graves we can try to deduct the status’ of those who once resided in the community.</w:t>
      </w:r>
      <w:r w:rsidR="00A06B73">
        <w:rPr>
          <w:rFonts w:ascii="Times New Roman" w:hAnsi="Times New Roman" w:cs="Times New Roman"/>
        </w:rPr>
        <w:t xml:space="preserve"> All of which were inhumations only.</w:t>
      </w:r>
    </w:p>
    <w:p w:rsidR="004A22DD" w:rsidRDefault="004A22DD" w:rsidP="004A22DD">
      <w:pPr>
        <w:spacing w:line="480" w:lineRule="auto"/>
      </w:pPr>
    </w:p>
    <w:p w:rsidR="004A22DD" w:rsidRDefault="004A22DD" w:rsidP="004A22DD">
      <w:pPr>
        <w:spacing w:line="480" w:lineRule="auto"/>
      </w:pPr>
      <w:r>
        <w:t xml:space="preserve">The chariots of </w:t>
      </w:r>
      <w:proofErr w:type="spellStart"/>
      <w:r>
        <w:t>Wetwang</w:t>
      </w:r>
      <w:proofErr w:type="spellEnd"/>
      <w:r>
        <w:t xml:space="preserve"> Slack are the pinnacle of status within this community. Located South-Westerly of the main </w:t>
      </w:r>
      <w:proofErr w:type="spellStart"/>
      <w:r>
        <w:t>Wetwang</w:t>
      </w:r>
      <w:proofErr w:type="spellEnd"/>
      <w:r>
        <w:t xml:space="preserve"> cemetery</w:t>
      </w:r>
      <w:r w:rsidR="00955B27">
        <w:t xml:space="preserve"> are</w:t>
      </w:r>
      <w:r>
        <w:t xml:space="preserve"> the isolated </w:t>
      </w:r>
      <w:r w:rsidR="00A06B73">
        <w:t xml:space="preserve">inhumation </w:t>
      </w:r>
      <w:r>
        <w:t>burials of three chariots.</w:t>
      </w:r>
      <w:r>
        <w:rPr>
          <w:rStyle w:val="FootnoteReference"/>
        </w:rPr>
        <w:footnoteReference w:id="1"/>
      </w:r>
      <w:r>
        <w:t xml:space="preserve"> The typical style of “Celtic” societies is to bury those who were regarded of high status separately from the rest of the community. This can be seen across mainland European sites such as </w:t>
      </w:r>
      <w:proofErr w:type="spellStart"/>
      <w:r>
        <w:t>Reinheim</w:t>
      </w:r>
      <w:proofErr w:type="spellEnd"/>
      <w:r>
        <w:t xml:space="preserve"> where the mounds hold ‘Princely tombs’ holding items of wealth and status.</w:t>
      </w:r>
      <w:r w:rsidR="00827916">
        <w:rPr>
          <w:rStyle w:val="FootnoteReference"/>
        </w:rPr>
        <w:footnoteReference w:id="2"/>
      </w:r>
      <w:r>
        <w:t xml:space="preserve"> This is the case at </w:t>
      </w:r>
      <w:proofErr w:type="spellStart"/>
      <w:r>
        <w:t>Wetwang</w:t>
      </w:r>
      <w:r w:rsidR="00827916">
        <w:t>’</w:t>
      </w:r>
      <w:r>
        <w:t>s</w:t>
      </w:r>
      <w:proofErr w:type="spellEnd"/>
      <w:r>
        <w:t xml:space="preserve"> three chariot burials, although they lack items of </w:t>
      </w:r>
      <w:r w:rsidR="00C65265">
        <w:t xml:space="preserve">high </w:t>
      </w:r>
      <w:r>
        <w:t>wealth</w:t>
      </w:r>
      <w:r w:rsidR="00827916">
        <w:t>, such as gold, but</w:t>
      </w:r>
      <w:r>
        <w:t xml:space="preserve"> they each hold chariots, an uncommon vehicle for Britons of that time</w:t>
      </w:r>
      <w:r w:rsidR="00827916">
        <w:t>, but clearly held a high status socially</w:t>
      </w:r>
      <w:r>
        <w:t>.</w:t>
      </w:r>
      <w:r w:rsidR="00827916">
        <w:rPr>
          <w:rStyle w:val="FootnoteReference"/>
        </w:rPr>
        <w:footnoteReference w:id="3"/>
      </w:r>
      <w:r>
        <w:t xml:space="preserve"> Regardless of Caesars reports of the Britons and all having chariots, there is little evidence to support the claim as they were more common on mainland Europe.</w:t>
      </w:r>
      <w:r w:rsidR="00D30A83">
        <w:rPr>
          <w:rStyle w:val="FootnoteReference"/>
        </w:rPr>
        <w:footnoteReference w:id="4"/>
      </w:r>
      <w:r>
        <w:t xml:space="preserve"> The second burial is to be presumed as a woman of high status,</w:t>
      </w:r>
      <w:r w:rsidR="0019612D">
        <w:t xml:space="preserve"> maybe a priestess,</w:t>
      </w:r>
      <w:r>
        <w:t xml:space="preserve"> according to Miranda Green.</w:t>
      </w:r>
      <w:r w:rsidR="004F085F">
        <w:rPr>
          <w:rStyle w:val="FootnoteReference"/>
        </w:rPr>
        <w:footnoteReference w:id="5"/>
      </w:r>
      <w:r>
        <w:t xml:space="preserve"> This is because the </w:t>
      </w:r>
      <w:r w:rsidR="0019612D">
        <w:t>grave goods consist of a mirror and an ornate bronze box, items we typically assume to be feminine.</w:t>
      </w:r>
      <w:r w:rsidR="001A06F6">
        <w:rPr>
          <w:rStyle w:val="FootnoteReference"/>
        </w:rPr>
        <w:footnoteReference w:id="6"/>
      </w:r>
      <w:r w:rsidR="0019612D">
        <w:t xml:space="preserve"> However this presumption can be made as the two burials alongside hold </w:t>
      </w:r>
      <w:r w:rsidR="0019612D">
        <w:lastRenderedPageBreak/>
        <w:t>swords, more typically male items. This is because other chariot burials that have been found in Britain also show the evidence of war gear, not domestic items.</w:t>
      </w:r>
      <w:r w:rsidR="00D32017">
        <w:rPr>
          <w:rStyle w:val="FootnoteReference"/>
        </w:rPr>
        <w:footnoteReference w:id="7"/>
      </w:r>
      <w:r w:rsidR="0019612D">
        <w:t xml:space="preserve"> Meaning that the ‘male’ burials could have been great warriors or the leaders of the community at a time. </w:t>
      </w:r>
    </w:p>
    <w:p w:rsidR="00955B27" w:rsidRDefault="00955B27" w:rsidP="004A22DD">
      <w:pPr>
        <w:spacing w:line="480" w:lineRule="auto"/>
      </w:pPr>
    </w:p>
    <w:p w:rsidR="00955B27" w:rsidRDefault="00955B27" w:rsidP="00955B27">
      <w:pPr>
        <w:spacing w:line="480" w:lineRule="auto"/>
        <w:rPr>
          <w:rFonts w:ascii="Times New Roman" w:hAnsi="Times New Roman" w:cs="Times New Roman"/>
        </w:rPr>
      </w:pPr>
      <w:r>
        <w:rPr>
          <w:rFonts w:ascii="Times New Roman" w:hAnsi="Times New Roman" w:cs="Times New Roman"/>
        </w:rPr>
        <w:t>The grave goods of the main concentration of graves are limited. Dent states only 21.5% of the graves actually hold some burial goods.</w:t>
      </w:r>
      <w:r w:rsidR="00D30A83">
        <w:rPr>
          <w:rStyle w:val="FootnoteReference"/>
          <w:rFonts w:ascii="Times New Roman" w:hAnsi="Times New Roman" w:cs="Times New Roman"/>
        </w:rPr>
        <w:footnoteReference w:id="8"/>
      </w:r>
      <w:r>
        <w:rPr>
          <w:rFonts w:ascii="Times New Roman" w:hAnsi="Times New Roman" w:cs="Times New Roman"/>
        </w:rPr>
        <w:t xml:space="preserve"> This would </w:t>
      </w:r>
      <w:r w:rsidR="00895628">
        <w:rPr>
          <w:rFonts w:ascii="Times New Roman" w:hAnsi="Times New Roman" w:cs="Times New Roman"/>
        </w:rPr>
        <w:t>imply</w:t>
      </w:r>
      <w:r>
        <w:rPr>
          <w:rFonts w:ascii="Times New Roman" w:hAnsi="Times New Roman" w:cs="Times New Roman"/>
        </w:rPr>
        <w:t xml:space="preserve"> that the general population of </w:t>
      </w:r>
      <w:proofErr w:type="spellStart"/>
      <w:r>
        <w:rPr>
          <w:rFonts w:ascii="Times New Roman" w:hAnsi="Times New Roman" w:cs="Times New Roman"/>
        </w:rPr>
        <w:t>Wetwang</w:t>
      </w:r>
      <w:proofErr w:type="spellEnd"/>
      <w:r>
        <w:rPr>
          <w:rFonts w:ascii="Times New Roman" w:hAnsi="Times New Roman" w:cs="Times New Roman"/>
        </w:rPr>
        <w:t xml:space="preserve"> was fairly poor and </w:t>
      </w:r>
      <w:r>
        <w:rPr>
          <w:rFonts w:ascii="Times New Roman" w:hAnsi="Times New Roman" w:cs="Times New Roman"/>
        </w:rPr>
        <w:t>that those</w:t>
      </w:r>
      <w:r>
        <w:rPr>
          <w:rFonts w:ascii="Times New Roman" w:hAnsi="Times New Roman" w:cs="Times New Roman"/>
        </w:rPr>
        <w:t xml:space="preserve"> people held little status within the community. That being said there is evidence which does show some </w:t>
      </w:r>
      <w:r w:rsidR="00895628">
        <w:rPr>
          <w:rFonts w:ascii="Times New Roman" w:hAnsi="Times New Roman" w:cs="Times New Roman"/>
        </w:rPr>
        <w:t xml:space="preserve">higher </w:t>
      </w:r>
      <w:r>
        <w:rPr>
          <w:rFonts w:ascii="Times New Roman" w:hAnsi="Times New Roman" w:cs="Times New Roman"/>
        </w:rPr>
        <w:t>status among the community through Brooches to which there are 43 available to us.</w:t>
      </w:r>
      <w:r w:rsidR="00D30A83">
        <w:rPr>
          <w:rStyle w:val="FootnoteReference"/>
          <w:rFonts w:ascii="Times New Roman" w:hAnsi="Times New Roman" w:cs="Times New Roman"/>
        </w:rPr>
        <w:footnoteReference w:id="9"/>
      </w:r>
      <w:r>
        <w:rPr>
          <w:rFonts w:ascii="Times New Roman" w:hAnsi="Times New Roman" w:cs="Times New Roman"/>
        </w:rPr>
        <w:t xml:space="preserve"> The way the brooches are used is as a safety pin to hold a cloak in place, and most of these burials therefor show that the deceased was buried in </w:t>
      </w:r>
      <w:r w:rsidR="00A910E0">
        <w:rPr>
          <w:rFonts w:ascii="Times New Roman" w:hAnsi="Times New Roman" w:cs="Times New Roman"/>
        </w:rPr>
        <w:t>woollen textiles</w:t>
      </w:r>
      <w:r>
        <w:rPr>
          <w:rFonts w:ascii="Times New Roman" w:hAnsi="Times New Roman" w:cs="Times New Roman"/>
        </w:rPr>
        <w:t xml:space="preserve"> and the pin placed on them.</w:t>
      </w:r>
      <w:r w:rsidR="00D30A83">
        <w:rPr>
          <w:rStyle w:val="FootnoteReference"/>
          <w:rFonts w:ascii="Times New Roman" w:hAnsi="Times New Roman" w:cs="Times New Roman"/>
        </w:rPr>
        <w:footnoteReference w:id="10"/>
      </w:r>
      <w:r>
        <w:rPr>
          <w:rFonts w:ascii="Times New Roman" w:hAnsi="Times New Roman" w:cs="Times New Roman"/>
        </w:rPr>
        <w:t xml:space="preserve"> The main difference of all the brooches is that they have varied styles</w:t>
      </w:r>
      <w:r w:rsidR="00A910E0">
        <w:rPr>
          <w:rFonts w:ascii="Times New Roman" w:hAnsi="Times New Roman" w:cs="Times New Roman"/>
        </w:rPr>
        <w:t>.</w:t>
      </w:r>
      <w:r w:rsidR="00D30A83">
        <w:rPr>
          <w:rStyle w:val="FootnoteReference"/>
          <w:rFonts w:ascii="Times New Roman" w:hAnsi="Times New Roman" w:cs="Times New Roman"/>
        </w:rPr>
        <w:footnoteReference w:id="11"/>
      </w:r>
      <w:r w:rsidR="00A910E0">
        <w:rPr>
          <w:rFonts w:ascii="Times New Roman" w:hAnsi="Times New Roman" w:cs="Times New Roman"/>
        </w:rPr>
        <w:t xml:space="preserve"> They show an influence of th</w:t>
      </w:r>
      <w:r w:rsidR="00F7579A">
        <w:rPr>
          <w:rFonts w:ascii="Times New Roman" w:hAnsi="Times New Roman" w:cs="Times New Roman"/>
        </w:rPr>
        <w:t>e local areas and other regions of Briton but do not share similarity with Europe</w:t>
      </w:r>
      <w:r w:rsidR="00A910E0">
        <w:rPr>
          <w:rFonts w:ascii="Times New Roman" w:hAnsi="Times New Roman" w:cs="Times New Roman"/>
        </w:rPr>
        <w:t>.</w:t>
      </w:r>
      <w:r w:rsidR="00D30A83">
        <w:rPr>
          <w:rStyle w:val="FootnoteReference"/>
          <w:rFonts w:ascii="Times New Roman" w:hAnsi="Times New Roman" w:cs="Times New Roman"/>
        </w:rPr>
        <w:footnoteReference w:id="12"/>
      </w:r>
      <w:r w:rsidR="00A910E0">
        <w:rPr>
          <w:rFonts w:ascii="Times New Roman" w:hAnsi="Times New Roman" w:cs="Times New Roman"/>
        </w:rPr>
        <w:t xml:space="preserve"> The status is hard to pinpoint but shows that they held some form of status</w:t>
      </w:r>
      <w:r w:rsidR="005408F8">
        <w:rPr>
          <w:rFonts w:ascii="Times New Roman" w:hAnsi="Times New Roman" w:cs="Times New Roman"/>
        </w:rPr>
        <w:t xml:space="preserve">, such as those who could afford a cape, </w:t>
      </w:r>
      <w:r w:rsidR="00A910E0">
        <w:rPr>
          <w:rFonts w:ascii="Times New Roman" w:hAnsi="Times New Roman" w:cs="Times New Roman"/>
        </w:rPr>
        <w:t>within their community as some burials simply held nothing at all.</w:t>
      </w:r>
      <w:r w:rsidR="005408F8">
        <w:rPr>
          <w:rStyle w:val="FootnoteReference"/>
          <w:rFonts w:ascii="Times New Roman" w:hAnsi="Times New Roman" w:cs="Times New Roman"/>
        </w:rPr>
        <w:footnoteReference w:id="13"/>
      </w:r>
    </w:p>
    <w:p w:rsidR="00C25EF2" w:rsidRDefault="00C25EF2" w:rsidP="00955B27">
      <w:pPr>
        <w:spacing w:line="480" w:lineRule="auto"/>
        <w:rPr>
          <w:rFonts w:ascii="Times New Roman" w:hAnsi="Times New Roman" w:cs="Times New Roman"/>
        </w:rPr>
      </w:pPr>
    </w:p>
    <w:p w:rsidR="009A05DC" w:rsidRDefault="00C25EF2" w:rsidP="004A22DD">
      <w:pPr>
        <w:spacing w:line="480" w:lineRule="auto"/>
        <w:rPr>
          <w:rFonts w:ascii="Times New Roman" w:hAnsi="Times New Roman" w:cs="Times New Roman"/>
        </w:rPr>
      </w:pPr>
      <w:r>
        <w:rPr>
          <w:rFonts w:ascii="Times New Roman" w:hAnsi="Times New Roman" w:cs="Times New Roman"/>
        </w:rPr>
        <w:t>The use of what we can presume to be personal items or at least personalised items in graves can be shown to conform to some sort of burial ritual within the community.</w:t>
      </w:r>
      <w:r w:rsidR="00FB3E35">
        <w:rPr>
          <w:rStyle w:val="FootnoteReference"/>
          <w:rFonts w:ascii="Times New Roman" w:hAnsi="Times New Roman" w:cs="Times New Roman"/>
        </w:rPr>
        <w:footnoteReference w:id="14"/>
      </w:r>
      <w:r>
        <w:rPr>
          <w:rFonts w:ascii="Times New Roman" w:hAnsi="Times New Roman" w:cs="Times New Roman"/>
        </w:rPr>
        <w:t xml:space="preserve"> Twenty-six of the burials according to Dent held some value which was personal.</w:t>
      </w:r>
      <w:r w:rsidR="00D30A83">
        <w:rPr>
          <w:rStyle w:val="FootnoteReference"/>
          <w:rFonts w:ascii="Times New Roman" w:hAnsi="Times New Roman" w:cs="Times New Roman"/>
        </w:rPr>
        <w:footnoteReference w:id="15"/>
      </w:r>
      <w:r>
        <w:rPr>
          <w:rFonts w:ascii="Times New Roman" w:hAnsi="Times New Roman" w:cs="Times New Roman"/>
        </w:rPr>
        <w:t xml:space="preserve"> They held no brooch but instead where presented with day to day items that held potential value to the owner. These </w:t>
      </w:r>
      <w:r>
        <w:rPr>
          <w:rFonts w:ascii="Times New Roman" w:hAnsi="Times New Roman" w:cs="Times New Roman"/>
        </w:rPr>
        <w:lastRenderedPageBreak/>
        <w:t>items where rings, bracel</w:t>
      </w:r>
      <w:r w:rsidR="00C64FBA">
        <w:rPr>
          <w:rFonts w:ascii="Times New Roman" w:hAnsi="Times New Roman" w:cs="Times New Roman"/>
        </w:rPr>
        <w:t>et</w:t>
      </w:r>
      <w:r>
        <w:rPr>
          <w:rFonts w:ascii="Times New Roman" w:hAnsi="Times New Roman" w:cs="Times New Roman"/>
        </w:rPr>
        <w:t>s and beads.</w:t>
      </w:r>
      <w:r w:rsidR="00D30A83">
        <w:rPr>
          <w:rStyle w:val="FootnoteReference"/>
          <w:rFonts w:ascii="Times New Roman" w:hAnsi="Times New Roman" w:cs="Times New Roman"/>
        </w:rPr>
        <w:footnoteReference w:id="16"/>
      </w:r>
      <w:r>
        <w:rPr>
          <w:rFonts w:ascii="Times New Roman" w:hAnsi="Times New Roman" w:cs="Times New Roman"/>
        </w:rPr>
        <w:t xml:space="preserve"> This indicates that through their status they had the financial ability to access these decorative items in everyday wear, unlike other grave sites found, showing a high</w:t>
      </w:r>
      <w:r w:rsidR="00C64FBA">
        <w:rPr>
          <w:rFonts w:ascii="Times New Roman" w:hAnsi="Times New Roman" w:cs="Times New Roman"/>
        </w:rPr>
        <w:t>er</w:t>
      </w:r>
      <w:r>
        <w:rPr>
          <w:rFonts w:ascii="Times New Roman" w:hAnsi="Times New Roman" w:cs="Times New Roman"/>
        </w:rPr>
        <w:t xml:space="preserve"> level of status</w:t>
      </w:r>
      <w:r w:rsidR="005408F8">
        <w:rPr>
          <w:rFonts w:ascii="Times New Roman" w:hAnsi="Times New Roman" w:cs="Times New Roman"/>
        </w:rPr>
        <w:t>, or specific gender</w:t>
      </w:r>
      <w:r>
        <w:rPr>
          <w:rFonts w:ascii="Times New Roman" w:hAnsi="Times New Roman" w:cs="Times New Roman"/>
        </w:rPr>
        <w:t xml:space="preserve"> </w:t>
      </w:r>
      <w:r w:rsidR="00C64FBA">
        <w:rPr>
          <w:rFonts w:ascii="Times New Roman" w:hAnsi="Times New Roman" w:cs="Times New Roman"/>
        </w:rPr>
        <w:t>within the community.</w:t>
      </w:r>
      <w:r w:rsidR="005408F8">
        <w:rPr>
          <w:rStyle w:val="FootnoteReference"/>
          <w:rFonts w:ascii="Times New Roman" w:hAnsi="Times New Roman" w:cs="Times New Roman"/>
        </w:rPr>
        <w:footnoteReference w:id="17"/>
      </w:r>
      <w:r w:rsidR="00C64FBA">
        <w:rPr>
          <w:rFonts w:ascii="Times New Roman" w:hAnsi="Times New Roman" w:cs="Times New Roman"/>
        </w:rPr>
        <w:t xml:space="preserve"> Maybe the equivalent of our modern day middle class? Dent states that these people could have simply died wearing the items they were buried with, aside from one bracelet which was placed.</w:t>
      </w:r>
      <w:r w:rsidR="00D30A83">
        <w:rPr>
          <w:rStyle w:val="FootnoteReference"/>
          <w:rFonts w:ascii="Times New Roman" w:hAnsi="Times New Roman" w:cs="Times New Roman"/>
        </w:rPr>
        <w:footnoteReference w:id="18"/>
      </w:r>
    </w:p>
    <w:p w:rsidR="009A05DC" w:rsidRDefault="009A05DC" w:rsidP="004A22DD">
      <w:pPr>
        <w:spacing w:line="480" w:lineRule="auto"/>
        <w:rPr>
          <w:rFonts w:ascii="Times New Roman" w:hAnsi="Times New Roman" w:cs="Times New Roman"/>
        </w:rPr>
      </w:pPr>
    </w:p>
    <w:p w:rsidR="009A05DC" w:rsidRDefault="00970B9D" w:rsidP="004A22DD">
      <w:pPr>
        <w:spacing w:line="480" w:lineRule="auto"/>
        <w:rPr>
          <w:rFonts w:ascii="Times New Roman" w:hAnsi="Times New Roman" w:cs="Times New Roman"/>
        </w:rPr>
      </w:pPr>
      <w:r>
        <w:rPr>
          <w:rFonts w:ascii="Times New Roman" w:hAnsi="Times New Roman" w:cs="Times New Roman"/>
        </w:rPr>
        <w:t>Food at burials can also show the ritual affairs of the community, for depending on the animal placed within a grave we can presume their status. The animals which where common to use where the sheep and goat. This is because both animals carry additional purposes other than meat. Sheep produce wool</w:t>
      </w:r>
      <w:r w:rsidR="000C6BB2">
        <w:rPr>
          <w:rFonts w:ascii="Times New Roman" w:hAnsi="Times New Roman" w:cs="Times New Roman"/>
        </w:rPr>
        <w:t xml:space="preserve"> and the goats milk, a</w:t>
      </w:r>
      <w:r w:rsidR="00331D24">
        <w:rPr>
          <w:rFonts w:ascii="Times New Roman" w:hAnsi="Times New Roman" w:cs="Times New Roman"/>
        </w:rPr>
        <w:t>n</w:t>
      </w:r>
      <w:r w:rsidR="000C6BB2">
        <w:rPr>
          <w:rFonts w:ascii="Times New Roman" w:hAnsi="Times New Roman" w:cs="Times New Roman"/>
        </w:rPr>
        <w:t>d once they are old can be turned to meat and have the skin made into hide, but the pig is used just for its meat.</w:t>
      </w:r>
      <w:r w:rsidR="00D30A83">
        <w:rPr>
          <w:rStyle w:val="FootnoteReference"/>
          <w:rFonts w:ascii="Times New Roman" w:hAnsi="Times New Roman" w:cs="Times New Roman"/>
        </w:rPr>
        <w:footnoteReference w:id="19"/>
      </w:r>
      <w:r w:rsidR="000C6BB2">
        <w:rPr>
          <w:rFonts w:ascii="Times New Roman" w:hAnsi="Times New Roman" w:cs="Times New Roman"/>
        </w:rPr>
        <w:t xml:space="preserve"> So it is a luxury and a </w:t>
      </w:r>
      <w:r w:rsidR="00966530">
        <w:rPr>
          <w:rFonts w:ascii="Times New Roman" w:hAnsi="Times New Roman" w:cs="Times New Roman"/>
        </w:rPr>
        <w:t>one use animal which denotes it to be an animal for what can be presumed status in burial. Dent states that there is six pottery vessels found in the graves and that four of these held pig bones.</w:t>
      </w:r>
      <w:r w:rsidR="00D30A83">
        <w:rPr>
          <w:rStyle w:val="FootnoteReference"/>
          <w:rFonts w:ascii="Times New Roman" w:hAnsi="Times New Roman" w:cs="Times New Roman"/>
        </w:rPr>
        <w:footnoteReference w:id="20"/>
      </w:r>
      <w:r w:rsidR="00966530">
        <w:rPr>
          <w:rFonts w:ascii="Times New Roman" w:hAnsi="Times New Roman" w:cs="Times New Roman"/>
        </w:rPr>
        <w:t xml:space="preserve"> This can only help indicate that this person was of a status where they could have a luxury animal buried with them especially as they too came with pottery too. Dent then states that there was ten additional graves that held pig or sheep bones, so the status, is of some level but until the bones can be more detailed in origin, it is hard to gauge.</w:t>
      </w:r>
      <w:r w:rsidR="00D30A83">
        <w:rPr>
          <w:rStyle w:val="FootnoteReference"/>
          <w:rFonts w:ascii="Times New Roman" w:hAnsi="Times New Roman" w:cs="Times New Roman"/>
        </w:rPr>
        <w:footnoteReference w:id="21"/>
      </w:r>
      <w:r w:rsidR="00966530">
        <w:rPr>
          <w:rFonts w:ascii="Times New Roman" w:hAnsi="Times New Roman" w:cs="Times New Roman"/>
        </w:rPr>
        <w:t xml:space="preserve">  There was also evidence found of whole animals buried in some graves. One was with a whole goat and pig</w:t>
      </w:r>
      <w:r w:rsidR="00331D24">
        <w:rPr>
          <w:rFonts w:ascii="Times New Roman" w:hAnsi="Times New Roman" w:cs="Times New Roman"/>
        </w:rPr>
        <w:t>.</w:t>
      </w:r>
      <w:r w:rsidR="00077F99">
        <w:rPr>
          <w:rStyle w:val="FootnoteReference"/>
          <w:rFonts w:ascii="Times New Roman" w:hAnsi="Times New Roman" w:cs="Times New Roman"/>
        </w:rPr>
        <w:footnoteReference w:id="22"/>
      </w:r>
      <w:r w:rsidR="00966530">
        <w:rPr>
          <w:rFonts w:ascii="Times New Roman" w:hAnsi="Times New Roman" w:cs="Times New Roman"/>
        </w:rPr>
        <w:t xml:space="preserve"> </w:t>
      </w:r>
      <w:r w:rsidR="00331D24">
        <w:rPr>
          <w:rFonts w:ascii="Times New Roman" w:hAnsi="Times New Roman" w:cs="Times New Roman"/>
        </w:rPr>
        <w:t>Other cases are of two young pigs that were also buried in other graves.</w:t>
      </w:r>
      <w:r w:rsidR="00331D24">
        <w:rPr>
          <w:rStyle w:val="FootnoteReference"/>
          <w:rFonts w:ascii="Times New Roman" w:hAnsi="Times New Roman" w:cs="Times New Roman"/>
        </w:rPr>
        <w:footnoteReference w:id="23"/>
      </w:r>
      <w:r w:rsidR="00331D24">
        <w:rPr>
          <w:rFonts w:ascii="Times New Roman" w:hAnsi="Times New Roman" w:cs="Times New Roman"/>
        </w:rPr>
        <w:t xml:space="preserve"> </w:t>
      </w:r>
      <w:r w:rsidR="00331D24">
        <w:rPr>
          <w:rFonts w:ascii="Times New Roman" w:hAnsi="Times New Roman" w:cs="Times New Roman"/>
        </w:rPr>
        <w:t>S</w:t>
      </w:r>
      <w:r w:rsidR="00966530">
        <w:rPr>
          <w:rFonts w:ascii="Times New Roman" w:hAnsi="Times New Roman" w:cs="Times New Roman"/>
        </w:rPr>
        <w:t xml:space="preserve">o </w:t>
      </w:r>
      <w:r w:rsidR="00331D24">
        <w:rPr>
          <w:rFonts w:ascii="Times New Roman" w:hAnsi="Times New Roman" w:cs="Times New Roman"/>
        </w:rPr>
        <w:t xml:space="preserve">is </w:t>
      </w:r>
      <w:r w:rsidR="00966530">
        <w:rPr>
          <w:rFonts w:ascii="Times New Roman" w:hAnsi="Times New Roman" w:cs="Times New Roman"/>
        </w:rPr>
        <w:t xml:space="preserve">this </w:t>
      </w:r>
      <w:r w:rsidR="00966530">
        <w:rPr>
          <w:rFonts w:ascii="Times New Roman" w:hAnsi="Times New Roman" w:cs="Times New Roman"/>
        </w:rPr>
        <w:lastRenderedPageBreak/>
        <w:t>an indication of even higher status to have a whole animal,</w:t>
      </w:r>
      <w:r w:rsidR="00FB3E35">
        <w:rPr>
          <w:rFonts w:ascii="Times New Roman" w:hAnsi="Times New Roman" w:cs="Times New Roman"/>
        </w:rPr>
        <w:t xml:space="preserve"> or maybe a major farmer,</w:t>
      </w:r>
      <w:r w:rsidR="00966530">
        <w:rPr>
          <w:rFonts w:ascii="Times New Roman" w:hAnsi="Times New Roman" w:cs="Times New Roman"/>
        </w:rPr>
        <w:t xml:space="preserve"> it is </w:t>
      </w:r>
      <w:r w:rsidR="00EF6647">
        <w:rPr>
          <w:rFonts w:ascii="Times New Roman" w:hAnsi="Times New Roman" w:cs="Times New Roman"/>
        </w:rPr>
        <w:t>unknown</w:t>
      </w:r>
      <w:r w:rsidR="00966530">
        <w:rPr>
          <w:rFonts w:ascii="Times New Roman" w:hAnsi="Times New Roman" w:cs="Times New Roman"/>
        </w:rPr>
        <w:t xml:space="preserve"> but </w:t>
      </w:r>
      <w:r w:rsidR="00331D24">
        <w:rPr>
          <w:rFonts w:ascii="Times New Roman" w:hAnsi="Times New Roman" w:cs="Times New Roman"/>
        </w:rPr>
        <w:t>could</w:t>
      </w:r>
      <w:r w:rsidR="00966530">
        <w:rPr>
          <w:rFonts w:ascii="Times New Roman" w:hAnsi="Times New Roman" w:cs="Times New Roman"/>
        </w:rPr>
        <w:t xml:space="preserve"> be implied.</w:t>
      </w:r>
      <w:r w:rsidR="00FB3E35">
        <w:rPr>
          <w:rStyle w:val="FootnoteReference"/>
          <w:rFonts w:ascii="Times New Roman" w:hAnsi="Times New Roman" w:cs="Times New Roman"/>
        </w:rPr>
        <w:footnoteReference w:id="24"/>
      </w:r>
      <w:r w:rsidR="00B373AD">
        <w:rPr>
          <w:rFonts w:ascii="Times New Roman" w:hAnsi="Times New Roman" w:cs="Times New Roman"/>
        </w:rPr>
        <w:t xml:space="preserve"> </w:t>
      </w:r>
    </w:p>
    <w:p w:rsidR="00474581" w:rsidRDefault="00474581" w:rsidP="004A22DD">
      <w:pPr>
        <w:spacing w:line="480" w:lineRule="auto"/>
        <w:rPr>
          <w:rFonts w:ascii="Times New Roman" w:hAnsi="Times New Roman" w:cs="Times New Roman"/>
        </w:rPr>
      </w:pPr>
    </w:p>
    <w:p w:rsidR="00474581" w:rsidRDefault="00474581" w:rsidP="004A22DD">
      <w:pPr>
        <w:spacing w:line="480" w:lineRule="auto"/>
        <w:rPr>
          <w:rFonts w:ascii="Times New Roman" w:hAnsi="Times New Roman" w:cs="Times New Roman"/>
        </w:rPr>
      </w:pPr>
      <w:r>
        <w:rPr>
          <w:rFonts w:ascii="Times New Roman" w:hAnsi="Times New Roman" w:cs="Times New Roman"/>
        </w:rPr>
        <w:t xml:space="preserve">The grave goods of the children are all empty, </w:t>
      </w:r>
      <w:r w:rsidR="00220529">
        <w:rPr>
          <w:rFonts w:ascii="Times New Roman" w:hAnsi="Times New Roman" w:cs="Times New Roman"/>
        </w:rPr>
        <w:t xml:space="preserve">bar one, </w:t>
      </w:r>
      <w:r>
        <w:rPr>
          <w:rFonts w:ascii="Times New Roman" w:hAnsi="Times New Roman" w:cs="Times New Roman"/>
        </w:rPr>
        <w:t>and there are 24 male children and 12 female children with ages ranging from 0-17 years of age.</w:t>
      </w:r>
      <w:r>
        <w:rPr>
          <w:rStyle w:val="FootnoteReference"/>
          <w:rFonts w:ascii="Times New Roman" w:hAnsi="Times New Roman" w:cs="Times New Roman"/>
        </w:rPr>
        <w:footnoteReference w:id="25"/>
      </w:r>
      <w:r>
        <w:rPr>
          <w:rFonts w:ascii="Times New Roman" w:hAnsi="Times New Roman" w:cs="Times New Roman"/>
        </w:rPr>
        <w:t xml:space="preserve"> However there are also 41 cases of children unidentified.</w:t>
      </w:r>
      <w:r>
        <w:rPr>
          <w:rStyle w:val="FootnoteReference"/>
          <w:rFonts w:ascii="Times New Roman" w:hAnsi="Times New Roman" w:cs="Times New Roman"/>
        </w:rPr>
        <w:footnoteReference w:id="26"/>
      </w:r>
      <w:r>
        <w:rPr>
          <w:rFonts w:ascii="Times New Roman" w:hAnsi="Times New Roman" w:cs="Times New Roman"/>
        </w:rPr>
        <w:t xml:space="preserve"> The reason for the children having no goods is most likely down to the their status within the community. For although they most likely carried out ‘chores’ around the Oppida they held no real status within the community.</w:t>
      </w:r>
      <w:r w:rsidR="00220529">
        <w:rPr>
          <w:rFonts w:ascii="Times New Roman" w:hAnsi="Times New Roman" w:cs="Times New Roman"/>
        </w:rPr>
        <w:t xml:space="preserve"> As the graves themselves are more distant and to the main group of burials.</w:t>
      </w:r>
      <w:r w:rsidR="00331D24">
        <w:rPr>
          <w:rStyle w:val="FootnoteReference"/>
          <w:rFonts w:ascii="Times New Roman" w:hAnsi="Times New Roman" w:cs="Times New Roman"/>
        </w:rPr>
        <w:footnoteReference w:id="27"/>
      </w:r>
      <w:r>
        <w:rPr>
          <w:rFonts w:ascii="Times New Roman" w:hAnsi="Times New Roman" w:cs="Times New Roman"/>
        </w:rPr>
        <w:t xml:space="preserve"> So therefor if they lack any stand-out identity within the community we can only presume that once buried they will be given nothing to define them. However</w:t>
      </w:r>
      <w:r w:rsidR="00885904">
        <w:rPr>
          <w:rFonts w:ascii="Times New Roman" w:hAnsi="Times New Roman" w:cs="Times New Roman"/>
        </w:rPr>
        <w:t xml:space="preserve">, we have one child that was buried with two </w:t>
      </w:r>
      <w:r w:rsidR="00331D24">
        <w:rPr>
          <w:rFonts w:ascii="Times New Roman" w:hAnsi="Times New Roman" w:cs="Times New Roman"/>
        </w:rPr>
        <w:t>bronze</w:t>
      </w:r>
      <w:r w:rsidR="00885904">
        <w:rPr>
          <w:rFonts w:ascii="Times New Roman" w:hAnsi="Times New Roman" w:cs="Times New Roman"/>
        </w:rPr>
        <w:t xml:space="preserve"> beads, which may simply be down to inherited wealth alone.</w:t>
      </w:r>
      <w:r w:rsidR="00331D24">
        <w:rPr>
          <w:rStyle w:val="FootnoteReference"/>
          <w:rFonts w:ascii="Times New Roman" w:hAnsi="Times New Roman" w:cs="Times New Roman"/>
        </w:rPr>
        <w:footnoteReference w:id="28"/>
      </w:r>
      <w:r>
        <w:rPr>
          <w:rFonts w:ascii="Times New Roman" w:hAnsi="Times New Roman" w:cs="Times New Roman"/>
        </w:rPr>
        <w:t xml:space="preserve"> </w:t>
      </w:r>
      <w:r w:rsidR="00885904">
        <w:rPr>
          <w:rFonts w:ascii="Times New Roman" w:hAnsi="Times New Roman" w:cs="Times New Roman"/>
        </w:rPr>
        <w:t>T</w:t>
      </w:r>
      <w:r>
        <w:rPr>
          <w:rFonts w:ascii="Times New Roman" w:hAnsi="Times New Roman" w:cs="Times New Roman"/>
        </w:rPr>
        <w:t xml:space="preserve">here are rare cases on mainland Europe where there are children buried with adults showing that they inherited some status. The main example is at </w:t>
      </w:r>
      <w:proofErr w:type="spellStart"/>
      <w:r>
        <w:rPr>
          <w:rFonts w:ascii="Times New Roman" w:hAnsi="Times New Roman" w:cs="Times New Roman"/>
        </w:rPr>
        <w:t>Homichelle</w:t>
      </w:r>
      <w:proofErr w:type="spellEnd"/>
      <w:r>
        <w:rPr>
          <w:rFonts w:ascii="Times New Roman" w:hAnsi="Times New Roman" w:cs="Times New Roman"/>
        </w:rPr>
        <w:t xml:space="preserve">, </w:t>
      </w:r>
      <w:proofErr w:type="spellStart"/>
      <w:r>
        <w:rPr>
          <w:rFonts w:ascii="Times New Roman" w:hAnsi="Times New Roman" w:cs="Times New Roman"/>
        </w:rPr>
        <w:t>Heunenberg</w:t>
      </w:r>
      <w:proofErr w:type="spellEnd"/>
      <w:r>
        <w:rPr>
          <w:rFonts w:ascii="Times New Roman" w:hAnsi="Times New Roman" w:cs="Times New Roman"/>
        </w:rPr>
        <w:t xml:space="preserve"> where a child is with a woman in a Tumulus (18) with ornate items.</w:t>
      </w:r>
      <w:r w:rsidR="00331D24">
        <w:rPr>
          <w:rStyle w:val="FootnoteReference"/>
          <w:rFonts w:ascii="Times New Roman" w:hAnsi="Times New Roman" w:cs="Times New Roman"/>
        </w:rPr>
        <w:footnoteReference w:id="29"/>
      </w:r>
      <w:r>
        <w:rPr>
          <w:rFonts w:ascii="Times New Roman" w:hAnsi="Times New Roman" w:cs="Times New Roman"/>
        </w:rPr>
        <w:t xml:space="preserve"> In these rarer cases we see that a child can hold some status, for most likely belonging to a high status family of a community. </w:t>
      </w:r>
      <w:r w:rsidR="00885904">
        <w:rPr>
          <w:rFonts w:ascii="Times New Roman" w:hAnsi="Times New Roman" w:cs="Times New Roman"/>
        </w:rPr>
        <w:t xml:space="preserve">Meaning overall the children of </w:t>
      </w:r>
      <w:proofErr w:type="spellStart"/>
      <w:r w:rsidR="00885904">
        <w:rPr>
          <w:rFonts w:ascii="Times New Roman" w:hAnsi="Times New Roman" w:cs="Times New Roman"/>
        </w:rPr>
        <w:t>Wetwang</w:t>
      </w:r>
      <w:proofErr w:type="spellEnd"/>
      <w:r w:rsidR="00885904">
        <w:rPr>
          <w:rFonts w:ascii="Times New Roman" w:hAnsi="Times New Roman" w:cs="Times New Roman"/>
        </w:rPr>
        <w:t xml:space="preserve"> Slack had no overall status within this community, aside from the one instance.</w:t>
      </w:r>
    </w:p>
    <w:p w:rsidR="005C438C" w:rsidRDefault="005C438C" w:rsidP="004A22DD">
      <w:pPr>
        <w:spacing w:line="480" w:lineRule="auto"/>
        <w:rPr>
          <w:rFonts w:ascii="Times New Roman" w:hAnsi="Times New Roman" w:cs="Times New Roman"/>
        </w:rPr>
      </w:pPr>
    </w:p>
    <w:p w:rsidR="005C438C" w:rsidRDefault="005C438C" w:rsidP="004A22DD">
      <w:pPr>
        <w:spacing w:line="480" w:lineRule="auto"/>
        <w:rPr>
          <w:rFonts w:ascii="Times New Roman" w:hAnsi="Times New Roman" w:cs="Times New Roman"/>
        </w:rPr>
      </w:pPr>
      <w:r>
        <w:rPr>
          <w:rFonts w:ascii="Times New Roman" w:hAnsi="Times New Roman" w:cs="Times New Roman"/>
        </w:rPr>
        <w:t xml:space="preserve">In conclusion, the evidence found at </w:t>
      </w:r>
      <w:proofErr w:type="spellStart"/>
      <w:r>
        <w:rPr>
          <w:rFonts w:ascii="Times New Roman" w:hAnsi="Times New Roman" w:cs="Times New Roman"/>
        </w:rPr>
        <w:t>Wetwang</w:t>
      </w:r>
      <w:proofErr w:type="spellEnd"/>
      <w:r>
        <w:rPr>
          <w:rFonts w:ascii="Times New Roman" w:hAnsi="Times New Roman" w:cs="Times New Roman"/>
        </w:rPr>
        <w:t xml:space="preserve"> Slack shows us that there are strong presumptions of status that can be made. However, we technically will never find out the actual status of the burials as we lack other forms of evidence such as writing or poetry to </w:t>
      </w:r>
      <w:r>
        <w:rPr>
          <w:rFonts w:ascii="Times New Roman" w:hAnsi="Times New Roman" w:cs="Times New Roman"/>
        </w:rPr>
        <w:lastRenderedPageBreak/>
        <w:t xml:space="preserve">explain the society we are looking at. We can presume the chariot burials held a high status in the community over the time </w:t>
      </w:r>
      <w:proofErr w:type="spellStart"/>
      <w:r>
        <w:rPr>
          <w:rFonts w:ascii="Times New Roman" w:hAnsi="Times New Roman" w:cs="Times New Roman"/>
        </w:rPr>
        <w:t>Wetwang</w:t>
      </w:r>
      <w:proofErr w:type="spellEnd"/>
      <w:r>
        <w:rPr>
          <w:rFonts w:ascii="Times New Roman" w:hAnsi="Times New Roman" w:cs="Times New Roman"/>
        </w:rPr>
        <w:t xml:space="preserve"> was used inhabited</w:t>
      </w:r>
      <w:r w:rsidR="00114750">
        <w:rPr>
          <w:rFonts w:ascii="Times New Roman" w:hAnsi="Times New Roman" w:cs="Times New Roman"/>
        </w:rPr>
        <w:t xml:space="preserve"> for various factors. Then for the rest of the graves, children held no real status, along with the empty graves. Then the rest of the graves with ‘goods’ held a level of status but what that status is would be itself hard to define. Leaving scholars to make their minds up in time.</w:t>
      </w:r>
    </w:p>
    <w:p w:rsidR="00580DFF" w:rsidRDefault="00580DFF">
      <w:pPr>
        <w:rPr>
          <w:rFonts w:ascii="Times New Roman" w:hAnsi="Times New Roman" w:cs="Times New Roman"/>
        </w:rPr>
      </w:pPr>
      <w:r>
        <w:rPr>
          <w:rFonts w:ascii="Times New Roman" w:hAnsi="Times New Roman" w:cs="Times New Roman"/>
        </w:rPr>
        <w:br w:type="page"/>
      </w:r>
    </w:p>
    <w:p w:rsidR="00580DFF" w:rsidRPr="00FA49A8" w:rsidRDefault="00580DFF" w:rsidP="005F5F8B">
      <w:pPr>
        <w:spacing w:line="360" w:lineRule="auto"/>
        <w:jc w:val="center"/>
        <w:rPr>
          <w:rFonts w:ascii="Times New Roman" w:hAnsi="Times New Roman" w:cs="Times New Roman"/>
          <w:sz w:val="28"/>
          <w:szCs w:val="28"/>
          <w:u w:val="single"/>
        </w:rPr>
      </w:pPr>
      <w:r w:rsidRPr="00FA49A8">
        <w:rPr>
          <w:rFonts w:ascii="Times New Roman" w:hAnsi="Times New Roman" w:cs="Times New Roman"/>
          <w:sz w:val="28"/>
          <w:szCs w:val="28"/>
          <w:u w:val="single"/>
        </w:rPr>
        <w:lastRenderedPageBreak/>
        <w:t>Bibliography</w:t>
      </w:r>
    </w:p>
    <w:p w:rsidR="00FA49A8" w:rsidRPr="005F5F8B" w:rsidRDefault="00FA49A8" w:rsidP="005F5F8B">
      <w:pPr>
        <w:spacing w:line="360" w:lineRule="auto"/>
        <w:rPr>
          <w:rFonts w:ascii="Times New Roman" w:hAnsi="Times New Roman" w:cs="Times New Roman"/>
          <w:sz w:val="28"/>
          <w:szCs w:val="28"/>
          <w:u w:val="single"/>
        </w:rPr>
      </w:pPr>
      <w:r w:rsidRPr="005F5F8B">
        <w:rPr>
          <w:rFonts w:ascii="Times New Roman" w:hAnsi="Times New Roman" w:cs="Times New Roman"/>
          <w:sz w:val="28"/>
          <w:szCs w:val="28"/>
          <w:u w:val="single"/>
        </w:rPr>
        <w:t>Modern Authors</w:t>
      </w:r>
    </w:p>
    <w:p w:rsidR="00085BE7" w:rsidRDefault="00085BE7" w:rsidP="005F5F8B">
      <w:pPr>
        <w:spacing w:line="360" w:lineRule="auto"/>
        <w:rPr>
          <w:rFonts w:ascii="Times New Roman" w:hAnsi="Times New Roman" w:cs="Times New Roman"/>
          <w:szCs w:val="28"/>
        </w:rPr>
      </w:pPr>
      <w:r w:rsidRPr="0034258E">
        <w:rPr>
          <w:rFonts w:ascii="Times New Roman" w:hAnsi="Times New Roman" w:cs="Times New Roman"/>
          <w:szCs w:val="28"/>
        </w:rPr>
        <w:t xml:space="preserve">Bradley, R. (2005) </w:t>
      </w:r>
      <w:r w:rsidRPr="0034258E">
        <w:rPr>
          <w:rFonts w:ascii="Times New Roman" w:hAnsi="Times New Roman" w:cs="Times New Roman"/>
          <w:i/>
          <w:szCs w:val="28"/>
        </w:rPr>
        <w:t>Ritual and Domestic Life in Prehistoric Europe.</w:t>
      </w:r>
      <w:r w:rsidRPr="0034258E">
        <w:rPr>
          <w:rFonts w:ascii="Times New Roman" w:hAnsi="Times New Roman" w:cs="Times New Roman"/>
          <w:szCs w:val="28"/>
        </w:rPr>
        <w:t xml:space="preserve"> Milton: Routledge.</w:t>
      </w:r>
    </w:p>
    <w:p w:rsidR="00085BE7" w:rsidRDefault="00085BE7" w:rsidP="005F5F8B">
      <w:pPr>
        <w:spacing w:line="360" w:lineRule="auto"/>
        <w:rPr>
          <w:rFonts w:ascii="Times New Roman" w:hAnsi="Times New Roman" w:cs="Times New Roman"/>
          <w:szCs w:val="28"/>
        </w:rPr>
      </w:pPr>
      <w:r>
        <w:rPr>
          <w:rFonts w:ascii="Times New Roman" w:hAnsi="Times New Roman" w:cs="Times New Roman"/>
          <w:szCs w:val="28"/>
        </w:rPr>
        <w:t xml:space="preserve">Cunliffe, B. (1991) </w:t>
      </w:r>
      <w:r>
        <w:rPr>
          <w:rFonts w:ascii="Times New Roman" w:hAnsi="Times New Roman" w:cs="Times New Roman"/>
          <w:i/>
          <w:szCs w:val="28"/>
        </w:rPr>
        <w:t xml:space="preserve">Iron Age Communities in Britain. </w:t>
      </w:r>
      <w:r>
        <w:rPr>
          <w:rFonts w:ascii="Times New Roman" w:hAnsi="Times New Roman" w:cs="Times New Roman"/>
          <w:szCs w:val="28"/>
        </w:rPr>
        <w:t>London: Routledge.</w:t>
      </w:r>
    </w:p>
    <w:p w:rsidR="00E5656D" w:rsidRPr="006355E6" w:rsidRDefault="00E5656D" w:rsidP="005F5F8B">
      <w:pPr>
        <w:spacing w:line="360" w:lineRule="auto"/>
        <w:rPr>
          <w:rFonts w:ascii="Times New Roman" w:hAnsi="Times New Roman" w:cs="Times New Roman"/>
          <w:szCs w:val="28"/>
        </w:rPr>
      </w:pPr>
      <w:r>
        <w:rPr>
          <w:rFonts w:ascii="Times New Roman" w:hAnsi="Times New Roman" w:cs="Times New Roman"/>
          <w:szCs w:val="28"/>
        </w:rPr>
        <w:t xml:space="preserve">Dent, J, S. (1984) </w:t>
      </w:r>
      <w:r>
        <w:rPr>
          <w:rFonts w:ascii="Times New Roman" w:hAnsi="Times New Roman" w:cs="Times New Roman"/>
          <w:i/>
          <w:szCs w:val="28"/>
        </w:rPr>
        <w:t xml:space="preserve">An Iron Age </w:t>
      </w:r>
      <w:r w:rsidR="006355E6">
        <w:rPr>
          <w:rFonts w:ascii="Times New Roman" w:hAnsi="Times New Roman" w:cs="Times New Roman"/>
          <w:i/>
          <w:szCs w:val="28"/>
        </w:rPr>
        <w:t>cemetery</w:t>
      </w:r>
      <w:r>
        <w:rPr>
          <w:rFonts w:ascii="Times New Roman" w:hAnsi="Times New Roman" w:cs="Times New Roman"/>
          <w:i/>
          <w:szCs w:val="28"/>
        </w:rPr>
        <w:t xml:space="preserve"> on the Yorkshire wolds</w:t>
      </w:r>
      <w:r w:rsidR="006355E6">
        <w:rPr>
          <w:rFonts w:ascii="Times New Roman" w:hAnsi="Times New Roman" w:cs="Times New Roman"/>
          <w:i/>
          <w:szCs w:val="28"/>
        </w:rPr>
        <w:t xml:space="preserve">. </w:t>
      </w:r>
      <w:r w:rsidR="006355E6">
        <w:rPr>
          <w:rFonts w:ascii="Times New Roman" w:hAnsi="Times New Roman" w:cs="Times New Roman"/>
          <w:szCs w:val="28"/>
        </w:rPr>
        <w:t xml:space="preserve">Unpublished </w:t>
      </w:r>
      <w:proofErr w:type="spellStart"/>
      <w:r w:rsidR="006355E6">
        <w:rPr>
          <w:rFonts w:ascii="Times New Roman" w:hAnsi="Times New Roman" w:cs="Times New Roman"/>
          <w:szCs w:val="28"/>
        </w:rPr>
        <w:t>phD</w:t>
      </w:r>
      <w:proofErr w:type="spellEnd"/>
      <w:r w:rsidR="006355E6">
        <w:rPr>
          <w:rFonts w:ascii="Times New Roman" w:hAnsi="Times New Roman" w:cs="Times New Roman"/>
          <w:szCs w:val="28"/>
        </w:rPr>
        <w:t xml:space="preserve"> thesis. University of Sheffield.</w:t>
      </w:r>
    </w:p>
    <w:p w:rsidR="00085BE7" w:rsidRPr="0034258E" w:rsidRDefault="00085BE7" w:rsidP="005F5F8B">
      <w:pPr>
        <w:spacing w:line="360" w:lineRule="auto"/>
        <w:rPr>
          <w:rFonts w:ascii="Times New Roman" w:hAnsi="Times New Roman" w:cs="Times New Roman"/>
          <w:szCs w:val="28"/>
        </w:rPr>
      </w:pPr>
      <w:r w:rsidRPr="0034258E">
        <w:rPr>
          <w:rFonts w:ascii="Times New Roman" w:hAnsi="Times New Roman" w:cs="Times New Roman"/>
          <w:szCs w:val="28"/>
        </w:rPr>
        <w:t xml:space="preserve">Green, M. (1995) </w:t>
      </w:r>
      <w:r w:rsidRPr="0034258E">
        <w:rPr>
          <w:rFonts w:ascii="Times New Roman" w:hAnsi="Times New Roman" w:cs="Times New Roman"/>
          <w:i/>
          <w:szCs w:val="28"/>
        </w:rPr>
        <w:t xml:space="preserve">Celtic Goddesses. </w:t>
      </w:r>
      <w:r w:rsidRPr="0034258E">
        <w:rPr>
          <w:rFonts w:ascii="Times New Roman" w:hAnsi="Times New Roman" w:cs="Times New Roman"/>
          <w:szCs w:val="28"/>
        </w:rPr>
        <w:t>London: British museum Press.</w:t>
      </w:r>
    </w:p>
    <w:p w:rsidR="00085BE7" w:rsidRPr="0034258E" w:rsidRDefault="00085BE7" w:rsidP="005F5F8B">
      <w:pPr>
        <w:spacing w:line="360" w:lineRule="auto"/>
        <w:rPr>
          <w:rFonts w:ascii="Times New Roman" w:hAnsi="Times New Roman" w:cs="Times New Roman"/>
          <w:szCs w:val="28"/>
        </w:rPr>
      </w:pPr>
      <w:proofErr w:type="spellStart"/>
      <w:r w:rsidRPr="0034258E">
        <w:rPr>
          <w:rFonts w:ascii="Times New Roman" w:hAnsi="Times New Roman" w:cs="Times New Roman"/>
          <w:szCs w:val="28"/>
        </w:rPr>
        <w:t>Hedeager</w:t>
      </w:r>
      <w:proofErr w:type="spellEnd"/>
      <w:r w:rsidRPr="0034258E">
        <w:rPr>
          <w:rFonts w:ascii="Times New Roman" w:hAnsi="Times New Roman" w:cs="Times New Roman"/>
          <w:szCs w:val="28"/>
        </w:rPr>
        <w:t xml:space="preserve">, L. (1992) </w:t>
      </w:r>
      <w:r w:rsidRPr="0034258E">
        <w:rPr>
          <w:rFonts w:ascii="Times New Roman" w:hAnsi="Times New Roman" w:cs="Times New Roman"/>
          <w:i/>
          <w:szCs w:val="28"/>
        </w:rPr>
        <w:t xml:space="preserve">Iron-Age Societies. </w:t>
      </w:r>
      <w:r w:rsidRPr="0034258E">
        <w:rPr>
          <w:rFonts w:ascii="Times New Roman" w:hAnsi="Times New Roman" w:cs="Times New Roman"/>
          <w:szCs w:val="28"/>
        </w:rPr>
        <w:t>Oxford: Blackwell Publishers</w:t>
      </w:r>
    </w:p>
    <w:p w:rsidR="00085BE7" w:rsidRPr="0034258E" w:rsidRDefault="00085BE7" w:rsidP="005F5F8B">
      <w:pPr>
        <w:spacing w:line="360" w:lineRule="auto"/>
        <w:rPr>
          <w:rFonts w:ascii="Times New Roman" w:hAnsi="Times New Roman" w:cs="Times New Roman"/>
          <w:szCs w:val="28"/>
        </w:rPr>
      </w:pPr>
      <w:r w:rsidRPr="0034258E">
        <w:rPr>
          <w:rFonts w:ascii="Times New Roman" w:hAnsi="Times New Roman" w:cs="Times New Roman"/>
          <w:szCs w:val="28"/>
        </w:rPr>
        <w:t xml:space="preserve">Jones, A. (2007) </w:t>
      </w:r>
      <w:r w:rsidRPr="0034258E">
        <w:rPr>
          <w:rFonts w:ascii="Times New Roman" w:hAnsi="Times New Roman" w:cs="Times New Roman"/>
          <w:i/>
          <w:szCs w:val="28"/>
        </w:rPr>
        <w:t>Memory and Material Culture.</w:t>
      </w:r>
      <w:r w:rsidRPr="0034258E">
        <w:rPr>
          <w:rFonts w:ascii="Times New Roman" w:hAnsi="Times New Roman" w:cs="Times New Roman"/>
          <w:szCs w:val="28"/>
        </w:rPr>
        <w:t xml:space="preserve"> Cambridge: Cambridge University Press.</w:t>
      </w:r>
    </w:p>
    <w:p w:rsidR="00085BE7" w:rsidRPr="0034258E" w:rsidRDefault="00085BE7" w:rsidP="005F5F8B">
      <w:pPr>
        <w:spacing w:line="360" w:lineRule="auto"/>
        <w:rPr>
          <w:rFonts w:ascii="Times New Roman" w:hAnsi="Times New Roman" w:cs="Times New Roman"/>
          <w:szCs w:val="28"/>
        </w:rPr>
      </w:pPr>
      <w:r w:rsidRPr="0034258E">
        <w:rPr>
          <w:rFonts w:ascii="Times New Roman" w:hAnsi="Times New Roman" w:cs="Times New Roman"/>
          <w:szCs w:val="28"/>
        </w:rPr>
        <w:t xml:space="preserve">L, Laing. (1979) </w:t>
      </w:r>
      <w:r w:rsidRPr="0034258E">
        <w:rPr>
          <w:rFonts w:ascii="Times New Roman" w:hAnsi="Times New Roman" w:cs="Times New Roman"/>
          <w:i/>
          <w:szCs w:val="28"/>
        </w:rPr>
        <w:t xml:space="preserve">Britain Before The Conquest Celtic </w:t>
      </w:r>
      <w:proofErr w:type="spellStart"/>
      <w:r w:rsidRPr="0034258E">
        <w:rPr>
          <w:rFonts w:ascii="Times New Roman" w:hAnsi="Times New Roman" w:cs="Times New Roman"/>
          <w:i/>
          <w:szCs w:val="28"/>
        </w:rPr>
        <w:t>Britian</w:t>
      </w:r>
      <w:proofErr w:type="spellEnd"/>
      <w:r w:rsidRPr="0034258E">
        <w:rPr>
          <w:rFonts w:ascii="Times New Roman" w:hAnsi="Times New Roman" w:cs="Times New Roman"/>
          <w:i/>
          <w:szCs w:val="28"/>
        </w:rPr>
        <w:t xml:space="preserve">. </w:t>
      </w:r>
      <w:r w:rsidRPr="0034258E">
        <w:rPr>
          <w:rFonts w:ascii="Times New Roman" w:hAnsi="Times New Roman" w:cs="Times New Roman"/>
          <w:szCs w:val="28"/>
        </w:rPr>
        <w:t>Great Britain: Routledge &amp; Kegan Paul Ltd.</w:t>
      </w:r>
    </w:p>
    <w:p w:rsidR="00085BE7" w:rsidRPr="0034258E" w:rsidRDefault="00085BE7" w:rsidP="005F5F8B">
      <w:pPr>
        <w:spacing w:line="360" w:lineRule="auto"/>
        <w:rPr>
          <w:rFonts w:ascii="Times New Roman" w:hAnsi="Times New Roman" w:cs="Times New Roman"/>
          <w:szCs w:val="28"/>
        </w:rPr>
      </w:pPr>
      <w:r w:rsidRPr="0034258E">
        <w:rPr>
          <w:rFonts w:ascii="Times New Roman" w:hAnsi="Times New Roman" w:cs="Times New Roman"/>
          <w:szCs w:val="28"/>
        </w:rPr>
        <w:t xml:space="preserve">L. Laing, J. Laing. (1995) </w:t>
      </w:r>
      <w:r w:rsidRPr="0034258E">
        <w:rPr>
          <w:rFonts w:ascii="Times New Roman" w:hAnsi="Times New Roman" w:cs="Times New Roman"/>
          <w:i/>
          <w:szCs w:val="28"/>
        </w:rPr>
        <w:t xml:space="preserve">Celtic Britain and Ireland Art and Society. </w:t>
      </w:r>
      <w:r w:rsidRPr="0034258E">
        <w:rPr>
          <w:rFonts w:ascii="Times New Roman" w:hAnsi="Times New Roman" w:cs="Times New Roman"/>
          <w:szCs w:val="28"/>
        </w:rPr>
        <w:t>Great Britain: The Herbert Press Ltd.</w:t>
      </w:r>
    </w:p>
    <w:p w:rsidR="00982E57" w:rsidRPr="00982E57" w:rsidRDefault="00982E57" w:rsidP="005F5F8B">
      <w:pPr>
        <w:spacing w:line="360" w:lineRule="auto"/>
        <w:rPr>
          <w:rFonts w:ascii="Times New Roman" w:hAnsi="Times New Roman" w:cs="Times New Roman"/>
          <w:sz w:val="28"/>
          <w:szCs w:val="28"/>
        </w:rPr>
      </w:pPr>
    </w:p>
    <w:p w:rsidR="00FA49A8" w:rsidRPr="005F5F8B" w:rsidRDefault="00376E4E" w:rsidP="005F5F8B">
      <w:pPr>
        <w:spacing w:line="360" w:lineRule="auto"/>
        <w:rPr>
          <w:rFonts w:ascii="Times New Roman" w:hAnsi="Times New Roman" w:cs="Times New Roman"/>
          <w:sz w:val="28"/>
          <w:szCs w:val="28"/>
          <w:u w:val="single"/>
        </w:rPr>
      </w:pPr>
      <w:r w:rsidRPr="005F5F8B">
        <w:rPr>
          <w:rFonts w:ascii="Times New Roman" w:hAnsi="Times New Roman" w:cs="Times New Roman"/>
          <w:sz w:val="28"/>
          <w:szCs w:val="28"/>
          <w:u w:val="single"/>
        </w:rPr>
        <w:t>Journals</w:t>
      </w:r>
    </w:p>
    <w:p w:rsidR="00D34EDF" w:rsidRDefault="00D34EDF" w:rsidP="005F5F8B">
      <w:pPr>
        <w:spacing w:line="360" w:lineRule="auto"/>
        <w:rPr>
          <w:rFonts w:ascii="Times New Roman" w:hAnsi="Times New Roman" w:cs="Times New Roman"/>
          <w:szCs w:val="28"/>
        </w:rPr>
      </w:pPr>
      <w:r>
        <w:rPr>
          <w:rFonts w:ascii="Times New Roman" w:hAnsi="Times New Roman" w:cs="Times New Roman"/>
          <w:szCs w:val="28"/>
        </w:rPr>
        <w:t>Jay, M. et. al.</w:t>
      </w:r>
      <w:r>
        <w:rPr>
          <w:rFonts w:ascii="Times New Roman" w:hAnsi="Times New Roman" w:cs="Times New Roman"/>
          <w:szCs w:val="28"/>
        </w:rPr>
        <w:t xml:space="preserve"> (2012) ‘Chariots and Context: New Radiocarbon dates from </w:t>
      </w:r>
      <w:proofErr w:type="spellStart"/>
      <w:r>
        <w:rPr>
          <w:rFonts w:ascii="Times New Roman" w:hAnsi="Times New Roman" w:cs="Times New Roman"/>
          <w:szCs w:val="28"/>
        </w:rPr>
        <w:t>Wetwang</w:t>
      </w:r>
      <w:proofErr w:type="spellEnd"/>
      <w:r>
        <w:rPr>
          <w:rFonts w:ascii="Times New Roman" w:hAnsi="Times New Roman" w:cs="Times New Roman"/>
          <w:szCs w:val="28"/>
        </w:rPr>
        <w:t xml:space="preserve"> and the chronology of Iron Age Burials and brooches in East Yorkshire’, </w:t>
      </w:r>
      <w:r>
        <w:rPr>
          <w:rFonts w:ascii="Times New Roman" w:hAnsi="Times New Roman" w:cs="Times New Roman"/>
          <w:i/>
          <w:szCs w:val="28"/>
        </w:rPr>
        <w:t>Oxford Journal of Archaeology,</w:t>
      </w:r>
      <w:r>
        <w:rPr>
          <w:rFonts w:ascii="Times New Roman" w:hAnsi="Times New Roman" w:cs="Times New Roman"/>
          <w:szCs w:val="28"/>
        </w:rPr>
        <w:t xml:space="preserve"> 31 (2), pp.161-189.</w:t>
      </w:r>
    </w:p>
    <w:p w:rsidR="00E5656D" w:rsidRPr="002F26BD" w:rsidRDefault="002F26BD" w:rsidP="005F5F8B">
      <w:pPr>
        <w:spacing w:line="360" w:lineRule="auto"/>
        <w:rPr>
          <w:rFonts w:ascii="Times New Roman" w:hAnsi="Times New Roman" w:cs="Times New Roman"/>
          <w:szCs w:val="28"/>
        </w:rPr>
      </w:pPr>
      <w:r>
        <w:rPr>
          <w:rFonts w:ascii="Times New Roman" w:hAnsi="Times New Roman" w:cs="Times New Roman"/>
          <w:szCs w:val="28"/>
        </w:rPr>
        <w:t xml:space="preserve">Jay, M. Richards, M, P. (2006) ‘ Diet in the Iron Age </w:t>
      </w:r>
      <w:proofErr w:type="spellStart"/>
      <w:r>
        <w:rPr>
          <w:rFonts w:ascii="Times New Roman" w:hAnsi="Times New Roman" w:cs="Times New Roman"/>
          <w:szCs w:val="28"/>
        </w:rPr>
        <w:t>cemetary</w:t>
      </w:r>
      <w:proofErr w:type="spellEnd"/>
      <w:r>
        <w:rPr>
          <w:rFonts w:ascii="Times New Roman" w:hAnsi="Times New Roman" w:cs="Times New Roman"/>
          <w:szCs w:val="28"/>
        </w:rPr>
        <w:t xml:space="preserve"> population at </w:t>
      </w:r>
      <w:proofErr w:type="spellStart"/>
      <w:r>
        <w:rPr>
          <w:rFonts w:ascii="Times New Roman" w:hAnsi="Times New Roman" w:cs="Times New Roman"/>
          <w:szCs w:val="28"/>
        </w:rPr>
        <w:t>Wetwang</w:t>
      </w:r>
      <w:proofErr w:type="spellEnd"/>
      <w:r>
        <w:rPr>
          <w:rFonts w:ascii="Times New Roman" w:hAnsi="Times New Roman" w:cs="Times New Roman"/>
          <w:szCs w:val="28"/>
        </w:rPr>
        <w:t xml:space="preserve"> Slack, East Yorkshire, UK: carbon and nitrogen stable isotope evidence’,</w:t>
      </w:r>
      <w:r>
        <w:rPr>
          <w:rFonts w:ascii="Times New Roman" w:hAnsi="Times New Roman" w:cs="Times New Roman"/>
          <w:i/>
          <w:szCs w:val="28"/>
        </w:rPr>
        <w:t xml:space="preserve"> Journal of Archaeological Science, </w:t>
      </w:r>
      <w:r>
        <w:rPr>
          <w:rFonts w:ascii="Times New Roman" w:hAnsi="Times New Roman" w:cs="Times New Roman"/>
          <w:szCs w:val="28"/>
        </w:rPr>
        <w:t>33 (5)</w:t>
      </w:r>
      <w:r w:rsidR="00E5656D">
        <w:rPr>
          <w:rFonts w:ascii="Times New Roman" w:hAnsi="Times New Roman" w:cs="Times New Roman"/>
          <w:szCs w:val="28"/>
        </w:rPr>
        <w:t>, pp.653-662.</w:t>
      </w:r>
    </w:p>
    <w:p w:rsidR="00DC6A9F" w:rsidRPr="00DC6A9F" w:rsidRDefault="00DC6A9F" w:rsidP="005F5F8B">
      <w:pPr>
        <w:spacing w:line="360" w:lineRule="auto"/>
        <w:rPr>
          <w:rFonts w:ascii="Times New Roman" w:hAnsi="Times New Roman" w:cs="Times New Roman"/>
          <w:szCs w:val="28"/>
        </w:rPr>
      </w:pPr>
    </w:p>
    <w:p w:rsidR="00FA49A8" w:rsidRPr="005F5F8B" w:rsidRDefault="00FA49A8" w:rsidP="005F5F8B">
      <w:pPr>
        <w:spacing w:line="360" w:lineRule="auto"/>
        <w:rPr>
          <w:rFonts w:ascii="Times New Roman" w:hAnsi="Times New Roman" w:cs="Times New Roman"/>
          <w:sz w:val="28"/>
          <w:szCs w:val="28"/>
          <w:u w:val="single"/>
        </w:rPr>
      </w:pPr>
      <w:bookmarkStart w:id="0" w:name="_GoBack"/>
      <w:r w:rsidRPr="005F5F8B">
        <w:rPr>
          <w:rFonts w:ascii="Times New Roman" w:hAnsi="Times New Roman" w:cs="Times New Roman"/>
          <w:sz w:val="28"/>
          <w:szCs w:val="28"/>
          <w:u w:val="single"/>
        </w:rPr>
        <w:t>Websites</w:t>
      </w:r>
    </w:p>
    <w:bookmarkEnd w:id="0"/>
    <w:p w:rsidR="00DC6A9F" w:rsidRPr="00DC6A9F" w:rsidRDefault="00DC6A9F" w:rsidP="005F5F8B">
      <w:pPr>
        <w:spacing w:line="360" w:lineRule="auto"/>
        <w:rPr>
          <w:rFonts w:ascii="Times New Roman" w:hAnsi="Times New Roman" w:cs="Times New Roman"/>
          <w:szCs w:val="28"/>
        </w:rPr>
      </w:pPr>
      <w:r>
        <w:rPr>
          <w:rFonts w:ascii="Times New Roman" w:hAnsi="Times New Roman" w:cs="Times New Roman"/>
          <w:szCs w:val="28"/>
        </w:rPr>
        <w:t xml:space="preserve">The University of Texas At Austin Iron Age “Celts” (2009) </w:t>
      </w:r>
      <w:proofErr w:type="spellStart"/>
      <w:r>
        <w:rPr>
          <w:rFonts w:ascii="Times New Roman" w:hAnsi="Times New Roman" w:cs="Times New Roman"/>
          <w:i/>
          <w:szCs w:val="28"/>
        </w:rPr>
        <w:t>Reinheim</w:t>
      </w:r>
      <w:proofErr w:type="spellEnd"/>
      <w:r>
        <w:rPr>
          <w:rFonts w:ascii="Times New Roman" w:hAnsi="Times New Roman" w:cs="Times New Roman"/>
          <w:i/>
          <w:szCs w:val="28"/>
        </w:rPr>
        <w:t xml:space="preserve"> (Saarland), Germany. </w:t>
      </w:r>
      <w:r>
        <w:rPr>
          <w:rFonts w:ascii="Times New Roman" w:hAnsi="Times New Roman" w:cs="Times New Roman"/>
          <w:szCs w:val="28"/>
        </w:rPr>
        <w:t xml:space="preserve">Available at: </w:t>
      </w:r>
      <w:hyperlink r:id="rId7" w:history="1">
        <w:r w:rsidRPr="00454F9F">
          <w:rPr>
            <w:rStyle w:val="Hyperlink"/>
            <w:rFonts w:ascii="Times New Roman" w:hAnsi="Times New Roman" w:cs="Times New Roman"/>
            <w:szCs w:val="28"/>
          </w:rPr>
          <w:t>https://www.laits.utexas.edu/ironagecelts/reinheim.php</w:t>
        </w:r>
      </w:hyperlink>
      <w:r>
        <w:rPr>
          <w:rFonts w:ascii="Times New Roman" w:hAnsi="Times New Roman" w:cs="Times New Roman"/>
          <w:szCs w:val="28"/>
        </w:rPr>
        <w:t xml:space="preserve"> </w:t>
      </w:r>
    </w:p>
    <w:p w:rsidR="00DC6A9F" w:rsidRDefault="00DC6A9F" w:rsidP="005F5F8B">
      <w:pPr>
        <w:spacing w:line="360" w:lineRule="auto"/>
        <w:rPr>
          <w:rFonts w:ascii="Times New Roman" w:hAnsi="Times New Roman" w:cs="Times New Roman"/>
          <w:szCs w:val="28"/>
        </w:rPr>
      </w:pPr>
      <w:r w:rsidRPr="00DC6A9F">
        <w:rPr>
          <w:rFonts w:ascii="Times New Roman" w:hAnsi="Times New Roman" w:cs="Times New Roman"/>
          <w:szCs w:val="28"/>
        </w:rPr>
        <w:t xml:space="preserve">The Yorkshire Archaeological &amp; Historical Society (2017) </w:t>
      </w:r>
      <w:r w:rsidRPr="00DC6A9F">
        <w:rPr>
          <w:rFonts w:ascii="Times New Roman" w:hAnsi="Times New Roman" w:cs="Times New Roman"/>
          <w:i/>
          <w:szCs w:val="28"/>
        </w:rPr>
        <w:t>Iron Age Yorkshire – two chariots</w:t>
      </w:r>
      <w:r>
        <w:rPr>
          <w:rFonts w:ascii="Times New Roman" w:hAnsi="Times New Roman" w:cs="Times New Roman"/>
          <w:szCs w:val="28"/>
        </w:rPr>
        <w:t xml:space="preserve">. Available at: </w:t>
      </w:r>
      <w:hyperlink r:id="rId8" w:history="1">
        <w:r w:rsidRPr="00454F9F">
          <w:rPr>
            <w:rStyle w:val="Hyperlink"/>
            <w:rFonts w:ascii="Times New Roman" w:hAnsi="Times New Roman" w:cs="Times New Roman"/>
            <w:szCs w:val="28"/>
          </w:rPr>
          <w:t>https://www.yas.org.uk/Sections/Prehistoric-Yorkshire/Iron-Age/Iron-Age-Yorkshire-two-chariots</w:t>
        </w:r>
      </w:hyperlink>
      <w:r>
        <w:rPr>
          <w:rFonts w:ascii="Times New Roman" w:hAnsi="Times New Roman" w:cs="Times New Roman"/>
          <w:szCs w:val="28"/>
        </w:rPr>
        <w:t xml:space="preserve"> </w:t>
      </w:r>
    </w:p>
    <w:p w:rsidR="00FA49A8" w:rsidRDefault="00FA49A8" w:rsidP="00FA49A8">
      <w:pPr>
        <w:spacing w:line="480" w:lineRule="auto"/>
        <w:rPr>
          <w:rFonts w:ascii="Times New Roman" w:hAnsi="Times New Roman" w:cs="Times New Roman"/>
          <w:sz w:val="28"/>
          <w:szCs w:val="28"/>
        </w:rPr>
      </w:pPr>
    </w:p>
    <w:p w:rsidR="00FA49A8" w:rsidRPr="00FA49A8" w:rsidRDefault="00FA49A8" w:rsidP="00FA49A8">
      <w:pPr>
        <w:spacing w:line="480" w:lineRule="auto"/>
        <w:rPr>
          <w:rFonts w:ascii="Times New Roman" w:hAnsi="Times New Roman" w:cs="Times New Roman"/>
          <w:sz w:val="28"/>
          <w:szCs w:val="28"/>
        </w:rPr>
      </w:pPr>
    </w:p>
    <w:sectPr w:rsidR="00FA49A8" w:rsidRPr="00FA49A8"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38E1" w:rsidRDefault="002F38E1" w:rsidP="004809EC">
      <w:r>
        <w:separator/>
      </w:r>
    </w:p>
  </w:endnote>
  <w:endnote w:type="continuationSeparator" w:id="0">
    <w:p w:rsidR="002F38E1" w:rsidRDefault="002F38E1" w:rsidP="0048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38E1" w:rsidRDefault="002F38E1" w:rsidP="004809EC">
      <w:r>
        <w:separator/>
      </w:r>
    </w:p>
  </w:footnote>
  <w:footnote w:type="continuationSeparator" w:id="0">
    <w:p w:rsidR="002F38E1" w:rsidRDefault="002F38E1" w:rsidP="004809EC">
      <w:r>
        <w:continuationSeparator/>
      </w:r>
    </w:p>
  </w:footnote>
  <w:footnote w:id="1">
    <w:p w:rsidR="004A22DD" w:rsidRDefault="004A22DD">
      <w:pPr>
        <w:pStyle w:val="FootnoteText"/>
      </w:pPr>
      <w:r>
        <w:rPr>
          <w:rStyle w:val="FootnoteReference"/>
        </w:rPr>
        <w:footnoteRef/>
      </w:r>
      <w:r>
        <w:t xml:space="preserve"> </w:t>
      </w:r>
      <w:r w:rsidR="00077F99">
        <w:t>Jay</w:t>
      </w:r>
      <w:r w:rsidR="00827916">
        <w:t xml:space="preserve"> 201</w:t>
      </w:r>
      <w:r w:rsidR="00D34EDF">
        <w:t>2</w:t>
      </w:r>
      <w:r w:rsidR="00827916">
        <w:t>: 163</w:t>
      </w:r>
    </w:p>
  </w:footnote>
  <w:footnote w:id="2">
    <w:p w:rsidR="00827916" w:rsidRDefault="00827916">
      <w:pPr>
        <w:pStyle w:val="FootnoteText"/>
      </w:pPr>
      <w:r>
        <w:rPr>
          <w:rStyle w:val="FootnoteReference"/>
        </w:rPr>
        <w:footnoteRef/>
      </w:r>
      <w:r>
        <w:t xml:space="preserve"> University of Texas 200</w:t>
      </w:r>
      <w:r w:rsidR="00D32017">
        <w:t>9</w:t>
      </w:r>
    </w:p>
  </w:footnote>
  <w:footnote w:id="3">
    <w:p w:rsidR="00827916" w:rsidRDefault="00827916">
      <w:pPr>
        <w:pStyle w:val="FootnoteText"/>
      </w:pPr>
      <w:r>
        <w:rPr>
          <w:rStyle w:val="FootnoteReference"/>
        </w:rPr>
        <w:footnoteRef/>
      </w:r>
      <w:r>
        <w:t xml:space="preserve"> </w:t>
      </w:r>
      <w:r w:rsidR="00D32017">
        <w:t>Laing 1979: 5</w:t>
      </w:r>
    </w:p>
  </w:footnote>
  <w:footnote w:id="4">
    <w:p w:rsidR="00D30A83" w:rsidRDefault="00D30A83">
      <w:pPr>
        <w:pStyle w:val="FootnoteText"/>
      </w:pPr>
      <w:r>
        <w:rPr>
          <w:rStyle w:val="FootnoteReference"/>
        </w:rPr>
        <w:footnoteRef/>
      </w:r>
      <w:r>
        <w:t xml:space="preserve"> Laing 1995: 30</w:t>
      </w:r>
    </w:p>
  </w:footnote>
  <w:footnote w:id="5">
    <w:p w:rsidR="004F085F" w:rsidRDefault="004F085F">
      <w:pPr>
        <w:pStyle w:val="FootnoteText"/>
      </w:pPr>
      <w:r>
        <w:rPr>
          <w:rStyle w:val="FootnoteReference"/>
        </w:rPr>
        <w:footnoteRef/>
      </w:r>
      <w:r>
        <w:t xml:space="preserve"> Green </w:t>
      </w:r>
      <w:r w:rsidR="00827916">
        <w:t>1995: 18-19; 147</w:t>
      </w:r>
    </w:p>
  </w:footnote>
  <w:footnote w:id="6">
    <w:p w:rsidR="001A06F6" w:rsidRDefault="001A06F6">
      <w:pPr>
        <w:pStyle w:val="FootnoteText"/>
      </w:pPr>
      <w:r>
        <w:rPr>
          <w:rStyle w:val="FootnoteReference"/>
        </w:rPr>
        <w:footnoteRef/>
      </w:r>
      <w:r>
        <w:t xml:space="preserve"> </w:t>
      </w:r>
      <w:r w:rsidR="00D30A83">
        <w:t>Laing 1995: 50-51</w:t>
      </w:r>
      <w:r w:rsidR="00FB3E35">
        <w:t>; Jones 2007: 25</w:t>
      </w:r>
    </w:p>
  </w:footnote>
  <w:footnote w:id="7">
    <w:p w:rsidR="00D32017" w:rsidRDefault="00D32017">
      <w:pPr>
        <w:pStyle w:val="FootnoteText"/>
      </w:pPr>
      <w:r>
        <w:rPr>
          <w:rStyle w:val="FootnoteReference"/>
        </w:rPr>
        <w:footnoteRef/>
      </w:r>
      <w:r>
        <w:t xml:space="preserve"> Laing 1979: 69;</w:t>
      </w:r>
      <w:r w:rsidR="00D30A83">
        <w:t xml:space="preserve"> Laing 1995: 30;</w:t>
      </w:r>
      <w:r>
        <w:t xml:space="preserve"> Yorkshire Archaeological society 2017</w:t>
      </w:r>
    </w:p>
  </w:footnote>
  <w:footnote w:id="8">
    <w:p w:rsidR="00D30A83" w:rsidRDefault="00D30A83">
      <w:pPr>
        <w:pStyle w:val="FootnoteText"/>
      </w:pPr>
      <w:r>
        <w:rPr>
          <w:rStyle w:val="FootnoteReference"/>
        </w:rPr>
        <w:footnoteRef/>
      </w:r>
      <w:r>
        <w:t xml:space="preserve"> </w:t>
      </w:r>
      <w:r w:rsidR="00331D24">
        <w:t>Dent 1984</w:t>
      </w:r>
      <w:r w:rsidR="00331D24">
        <w:t xml:space="preserve">: </w:t>
      </w:r>
      <w:r w:rsidR="00BC4928">
        <w:t>26</w:t>
      </w:r>
    </w:p>
  </w:footnote>
  <w:footnote w:id="9">
    <w:p w:rsidR="00D30A83" w:rsidRDefault="00D30A83">
      <w:pPr>
        <w:pStyle w:val="FootnoteText"/>
      </w:pPr>
      <w:r>
        <w:rPr>
          <w:rStyle w:val="FootnoteReference"/>
        </w:rPr>
        <w:footnoteRef/>
      </w:r>
      <w:r>
        <w:t xml:space="preserve"> </w:t>
      </w:r>
      <w:r w:rsidR="00331D24">
        <w:t>Dent 1984</w:t>
      </w:r>
      <w:r w:rsidR="00331D24">
        <w:t xml:space="preserve">: </w:t>
      </w:r>
      <w:r w:rsidR="00BC4928">
        <w:t>26</w:t>
      </w:r>
    </w:p>
  </w:footnote>
  <w:footnote w:id="10">
    <w:p w:rsidR="00D30A83" w:rsidRDefault="00D30A83">
      <w:pPr>
        <w:pStyle w:val="FootnoteText"/>
      </w:pPr>
      <w:r>
        <w:rPr>
          <w:rStyle w:val="FootnoteReference"/>
        </w:rPr>
        <w:footnoteRef/>
      </w:r>
      <w:r>
        <w:t xml:space="preserve"> </w:t>
      </w:r>
      <w:r w:rsidR="00F7579A">
        <w:t>Laing 1995: 50</w:t>
      </w:r>
    </w:p>
  </w:footnote>
  <w:footnote w:id="11">
    <w:p w:rsidR="00D30A83" w:rsidRDefault="00D30A83">
      <w:pPr>
        <w:pStyle w:val="FootnoteText"/>
      </w:pPr>
      <w:r>
        <w:rPr>
          <w:rStyle w:val="FootnoteReference"/>
        </w:rPr>
        <w:footnoteRef/>
      </w:r>
      <w:r>
        <w:t xml:space="preserve"> </w:t>
      </w:r>
      <w:r w:rsidR="00077F99">
        <w:t>Jay</w:t>
      </w:r>
      <w:r w:rsidR="00406DB0">
        <w:t xml:space="preserve"> 201</w:t>
      </w:r>
      <w:r w:rsidR="00D34EDF">
        <w:t>2</w:t>
      </w:r>
      <w:r w:rsidR="00406DB0">
        <w:t>: 164-165</w:t>
      </w:r>
    </w:p>
  </w:footnote>
  <w:footnote w:id="12">
    <w:p w:rsidR="00D30A83" w:rsidRDefault="00D30A83">
      <w:pPr>
        <w:pStyle w:val="FootnoteText"/>
      </w:pPr>
      <w:r>
        <w:rPr>
          <w:rStyle w:val="FootnoteReference"/>
        </w:rPr>
        <w:footnoteRef/>
      </w:r>
      <w:r>
        <w:t xml:space="preserve"> </w:t>
      </w:r>
      <w:r w:rsidR="00077F99">
        <w:t>Jay</w:t>
      </w:r>
      <w:r w:rsidR="00F7579A">
        <w:t xml:space="preserve"> 201</w:t>
      </w:r>
      <w:r w:rsidR="00D34EDF">
        <w:t>2</w:t>
      </w:r>
      <w:r w:rsidR="00F7579A">
        <w:t>: 165</w:t>
      </w:r>
    </w:p>
  </w:footnote>
  <w:footnote w:id="13">
    <w:p w:rsidR="005408F8" w:rsidRDefault="005408F8">
      <w:pPr>
        <w:pStyle w:val="FootnoteText"/>
      </w:pPr>
      <w:r>
        <w:rPr>
          <w:rStyle w:val="FootnoteReference"/>
        </w:rPr>
        <w:footnoteRef/>
      </w:r>
      <w:r>
        <w:t xml:space="preserve"> Dent 1984: 98</w:t>
      </w:r>
    </w:p>
  </w:footnote>
  <w:footnote w:id="14">
    <w:p w:rsidR="00FB3E35" w:rsidRDefault="00FB3E35">
      <w:pPr>
        <w:pStyle w:val="FootnoteText"/>
      </w:pPr>
      <w:r>
        <w:rPr>
          <w:rStyle w:val="FootnoteReference"/>
        </w:rPr>
        <w:footnoteRef/>
      </w:r>
      <w:r>
        <w:t xml:space="preserve"> </w:t>
      </w:r>
      <w:proofErr w:type="spellStart"/>
      <w:r>
        <w:t>Hedeager</w:t>
      </w:r>
      <w:proofErr w:type="spellEnd"/>
      <w:r>
        <w:t xml:space="preserve"> 1992: 139</w:t>
      </w:r>
    </w:p>
  </w:footnote>
  <w:footnote w:id="15">
    <w:p w:rsidR="00D30A83" w:rsidRDefault="00D30A83">
      <w:pPr>
        <w:pStyle w:val="FootnoteText"/>
      </w:pPr>
      <w:r>
        <w:rPr>
          <w:rStyle w:val="FootnoteReference"/>
        </w:rPr>
        <w:footnoteRef/>
      </w:r>
      <w:r>
        <w:t xml:space="preserve"> </w:t>
      </w:r>
      <w:r w:rsidR="00331D24">
        <w:t>Dent 1984</w:t>
      </w:r>
      <w:r w:rsidR="001058D6">
        <w:t>: 27</w:t>
      </w:r>
    </w:p>
  </w:footnote>
  <w:footnote w:id="16">
    <w:p w:rsidR="00D30A83" w:rsidRDefault="00D30A83">
      <w:pPr>
        <w:pStyle w:val="FootnoteText"/>
      </w:pPr>
      <w:r>
        <w:rPr>
          <w:rStyle w:val="FootnoteReference"/>
        </w:rPr>
        <w:footnoteRef/>
      </w:r>
      <w:r>
        <w:t xml:space="preserve"> </w:t>
      </w:r>
      <w:r w:rsidR="001058D6">
        <w:t>Jay 200</w:t>
      </w:r>
      <w:r w:rsidR="00E5656D">
        <w:t>6</w:t>
      </w:r>
      <w:r w:rsidR="001058D6">
        <w:t>: 654</w:t>
      </w:r>
    </w:p>
  </w:footnote>
  <w:footnote w:id="17">
    <w:p w:rsidR="005408F8" w:rsidRDefault="005408F8">
      <w:pPr>
        <w:pStyle w:val="FootnoteText"/>
      </w:pPr>
      <w:r>
        <w:rPr>
          <w:rStyle w:val="FootnoteReference"/>
        </w:rPr>
        <w:footnoteRef/>
      </w:r>
      <w:r>
        <w:t xml:space="preserve"> Dent 1984: 98</w:t>
      </w:r>
    </w:p>
  </w:footnote>
  <w:footnote w:id="18">
    <w:p w:rsidR="00D30A83" w:rsidRDefault="00D30A83">
      <w:pPr>
        <w:pStyle w:val="FootnoteText"/>
      </w:pPr>
      <w:r>
        <w:rPr>
          <w:rStyle w:val="FootnoteReference"/>
        </w:rPr>
        <w:footnoteRef/>
      </w:r>
      <w:r>
        <w:t xml:space="preserve"> </w:t>
      </w:r>
      <w:r w:rsidR="00331D24">
        <w:t>Dent 1984</w:t>
      </w:r>
      <w:r w:rsidR="005408F8">
        <w:t>: 27</w:t>
      </w:r>
    </w:p>
  </w:footnote>
  <w:footnote w:id="19">
    <w:p w:rsidR="00D30A83" w:rsidRDefault="00D30A83">
      <w:pPr>
        <w:pStyle w:val="FootnoteText"/>
      </w:pPr>
      <w:r>
        <w:rPr>
          <w:rStyle w:val="FootnoteReference"/>
        </w:rPr>
        <w:footnoteRef/>
      </w:r>
      <w:r>
        <w:t xml:space="preserve"> </w:t>
      </w:r>
      <w:r w:rsidR="00CC011B">
        <w:t>Bradley 200</w:t>
      </w:r>
      <w:r w:rsidR="00E5656D">
        <w:t>6</w:t>
      </w:r>
      <w:r w:rsidR="00CC011B">
        <w:t>: 207</w:t>
      </w:r>
    </w:p>
  </w:footnote>
  <w:footnote w:id="20">
    <w:p w:rsidR="00D30A83" w:rsidRDefault="00D30A83">
      <w:pPr>
        <w:pStyle w:val="FootnoteText"/>
      </w:pPr>
      <w:r>
        <w:rPr>
          <w:rStyle w:val="FootnoteReference"/>
        </w:rPr>
        <w:footnoteRef/>
      </w:r>
      <w:r>
        <w:t xml:space="preserve"> </w:t>
      </w:r>
      <w:r w:rsidR="00331D24">
        <w:t>Dent 1984</w:t>
      </w:r>
      <w:r w:rsidR="005408F8">
        <w:t xml:space="preserve">: </w:t>
      </w:r>
      <w:r w:rsidR="00756831">
        <w:t>27-</w:t>
      </w:r>
      <w:r w:rsidR="005408F8">
        <w:t>2</w:t>
      </w:r>
      <w:r w:rsidR="00756831">
        <w:t>9</w:t>
      </w:r>
    </w:p>
  </w:footnote>
  <w:footnote w:id="21">
    <w:p w:rsidR="00D30A83" w:rsidRDefault="00D30A83">
      <w:pPr>
        <w:pStyle w:val="FootnoteText"/>
      </w:pPr>
      <w:r>
        <w:rPr>
          <w:rStyle w:val="FootnoteReference"/>
        </w:rPr>
        <w:footnoteRef/>
      </w:r>
      <w:r>
        <w:t xml:space="preserve"> </w:t>
      </w:r>
      <w:r w:rsidR="005408F8">
        <w:t>Bradley 2005: 207</w:t>
      </w:r>
    </w:p>
  </w:footnote>
  <w:footnote w:id="22">
    <w:p w:rsidR="00077F99" w:rsidRDefault="00077F99">
      <w:pPr>
        <w:pStyle w:val="FootnoteText"/>
      </w:pPr>
      <w:r>
        <w:rPr>
          <w:rStyle w:val="FootnoteReference"/>
        </w:rPr>
        <w:footnoteRef/>
      </w:r>
      <w:r>
        <w:t xml:space="preserve"> Jay 200</w:t>
      </w:r>
      <w:r w:rsidR="00E5656D">
        <w:t>6</w:t>
      </w:r>
      <w:r>
        <w:t>: 654</w:t>
      </w:r>
    </w:p>
  </w:footnote>
  <w:footnote w:id="23">
    <w:p w:rsidR="00331D24" w:rsidRDefault="00331D24">
      <w:pPr>
        <w:pStyle w:val="FootnoteText"/>
      </w:pPr>
      <w:r>
        <w:rPr>
          <w:rStyle w:val="FootnoteReference"/>
        </w:rPr>
        <w:footnoteRef/>
      </w:r>
      <w:r>
        <w:t xml:space="preserve"> </w:t>
      </w:r>
      <w:r>
        <w:t>Dent 1984</w:t>
      </w:r>
      <w:r w:rsidR="005408F8">
        <w:t>: 27</w:t>
      </w:r>
    </w:p>
  </w:footnote>
  <w:footnote w:id="24">
    <w:p w:rsidR="00FB3E35" w:rsidRDefault="00FB3E35">
      <w:pPr>
        <w:pStyle w:val="FootnoteText"/>
      </w:pPr>
      <w:r>
        <w:rPr>
          <w:rStyle w:val="FootnoteReference"/>
        </w:rPr>
        <w:footnoteRef/>
      </w:r>
      <w:r>
        <w:t xml:space="preserve"> Cunliffe 1991: 277</w:t>
      </w:r>
    </w:p>
  </w:footnote>
  <w:footnote w:id="25">
    <w:p w:rsidR="00474581" w:rsidRDefault="00474581" w:rsidP="00474581">
      <w:pPr>
        <w:pStyle w:val="FootnoteText"/>
      </w:pPr>
      <w:r>
        <w:rPr>
          <w:rStyle w:val="FootnoteReference"/>
        </w:rPr>
        <w:footnoteRef/>
      </w:r>
      <w:r>
        <w:t xml:space="preserve"> Dent 1984: Table 3.1</w:t>
      </w:r>
    </w:p>
  </w:footnote>
  <w:footnote w:id="26">
    <w:p w:rsidR="00474581" w:rsidRDefault="00474581" w:rsidP="00474581">
      <w:pPr>
        <w:pStyle w:val="FootnoteText"/>
      </w:pPr>
      <w:r>
        <w:rPr>
          <w:rStyle w:val="FootnoteReference"/>
        </w:rPr>
        <w:footnoteRef/>
      </w:r>
      <w:r>
        <w:t xml:space="preserve"> Dent 1984: Table 3.1</w:t>
      </w:r>
    </w:p>
  </w:footnote>
  <w:footnote w:id="27">
    <w:p w:rsidR="00331D24" w:rsidRDefault="00331D24">
      <w:pPr>
        <w:pStyle w:val="FootnoteText"/>
      </w:pPr>
      <w:r>
        <w:rPr>
          <w:rStyle w:val="FootnoteReference"/>
        </w:rPr>
        <w:footnoteRef/>
      </w:r>
      <w:r>
        <w:t xml:space="preserve"> </w:t>
      </w:r>
      <w:r w:rsidR="00CC319F">
        <w:t>Jay 2013: 162</w:t>
      </w:r>
    </w:p>
  </w:footnote>
  <w:footnote w:id="28">
    <w:p w:rsidR="00331D24" w:rsidRDefault="00331D24">
      <w:pPr>
        <w:pStyle w:val="FootnoteText"/>
      </w:pPr>
      <w:r>
        <w:rPr>
          <w:rStyle w:val="FootnoteReference"/>
        </w:rPr>
        <w:footnoteRef/>
      </w:r>
      <w:r>
        <w:t xml:space="preserve"> </w:t>
      </w:r>
      <w:r w:rsidR="00C0545B">
        <w:t>Dent 1984: 95</w:t>
      </w:r>
    </w:p>
  </w:footnote>
  <w:footnote w:id="29">
    <w:p w:rsidR="00331D24" w:rsidRDefault="00331D24">
      <w:pPr>
        <w:pStyle w:val="FootnoteText"/>
      </w:pPr>
      <w:r>
        <w:rPr>
          <w:rStyle w:val="FootnoteReference"/>
        </w:rPr>
        <w:footnoteRef/>
      </w:r>
      <w:r>
        <w:t xml:space="preserve"> </w:t>
      </w:r>
      <w:r w:rsidR="00CC319F">
        <w:t>Green 1995: 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9EC"/>
    <w:rsid w:val="00077F99"/>
    <w:rsid w:val="00085BE7"/>
    <w:rsid w:val="000C6BB2"/>
    <w:rsid w:val="001058D6"/>
    <w:rsid w:val="00114750"/>
    <w:rsid w:val="0019612D"/>
    <w:rsid w:val="001A06F6"/>
    <w:rsid w:val="001D39C5"/>
    <w:rsid w:val="00211FF3"/>
    <w:rsid w:val="00220529"/>
    <w:rsid w:val="002F26BD"/>
    <w:rsid w:val="002F38E1"/>
    <w:rsid w:val="00331D24"/>
    <w:rsid w:val="0034258E"/>
    <w:rsid w:val="00376E4E"/>
    <w:rsid w:val="0039199B"/>
    <w:rsid w:val="00406DB0"/>
    <w:rsid w:val="00474581"/>
    <w:rsid w:val="004809EC"/>
    <w:rsid w:val="004A22DD"/>
    <w:rsid w:val="004F085F"/>
    <w:rsid w:val="005408F8"/>
    <w:rsid w:val="00580DFF"/>
    <w:rsid w:val="005C438C"/>
    <w:rsid w:val="005D7AC1"/>
    <w:rsid w:val="005E4F46"/>
    <w:rsid w:val="005F5F8B"/>
    <w:rsid w:val="006355E6"/>
    <w:rsid w:val="00717D79"/>
    <w:rsid w:val="00756831"/>
    <w:rsid w:val="00811004"/>
    <w:rsid w:val="00827916"/>
    <w:rsid w:val="00885904"/>
    <w:rsid w:val="00895628"/>
    <w:rsid w:val="00906D6A"/>
    <w:rsid w:val="00955B27"/>
    <w:rsid w:val="00966530"/>
    <w:rsid w:val="00970B9D"/>
    <w:rsid w:val="00977976"/>
    <w:rsid w:val="00982E57"/>
    <w:rsid w:val="00995CA8"/>
    <w:rsid w:val="009A05DC"/>
    <w:rsid w:val="00A02959"/>
    <w:rsid w:val="00A06B73"/>
    <w:rsid w:val="00A910E0"/>
    <w:rsid w:val="00AE29E2"/>
    <w:rsid w:val="00B373AD"/>
    <w:rsid w:val="00B63F0D"/>
    <w:rsid w:val="00BC4928"/>
    <w:rsid w:val="00C04E45"/>
    <w:rsid w:val="00C0545B"/>
    <w:rsid w:val="00C25EF2"/>
    <w:rsid w:val="00C64FBA"/>
    <w:rsid w:val="00C65265"/>
    <w:rsid w:val="00C90160"/>
    <w:rsid w:val="00CC011B"/>
    <w:rsid w:val="00CC319F"/>
    <w:rsid w:val="00CD149E"/>
    <w:rsid w:val="00D30A83"/>
    <w:rsid w:val="00D32017"/>
    <w:rsid w:val="00D34EDF"/>
    <w:rsid w:val="00D92E78"/>
    <w:rsid w:val="00DC6A9F"/>
    <w:rsid w:val="00E5656D"/>
    <w:rsid w:val="00EF6647"/>
    <w:rsid w:val="00F7579A"/>
    <w:rsid w:val="00F90387"/>
    <w:rsid w:val="00FA49A8"/>
    <w:rsid w:val="00FB3E35"/>
    <w:rsid w:val="00FC4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CE0F2"/>
  <w14:defaultImageDpi w14:val="32767"/>
  <w15:chartTrackingRefBased/>
  <w15:docId w15:val="{D1CC5392-E815-8F48-B192-0C31E5B01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809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809EC"/>
    <w:rPr>
      <w:sz w:val="20"/>
      <w:szCs w:val="20"/>
    </w:rPr>
  </w:style>
  <w:style w:type="character" w:customStyle="1" w:styleId="FootnoteTextChar">
    <w:name w:val="Footnote Text Char"/>
    <w:basedOn w:val="DefaultParagraphFont"/>
    <w:link w:val="FootnoteText"/>
    <w:uiPriority w:val="99"/>
    <w:semiHidden/>
    <w:rsid w:val="004809EC"/>
    <w:rPr>
      <w:sz w:val="20"/>
      <w:szCs w:val="20"/>
    </w:rPr>
  </w:style>
  <w:style w:type="character" w:styleId="FootnoteReference">
    <w:name w:val="footnote reference"/>
    <w:basedOn w:val="DefaultParagraphFont"/>
    <w:uiPriority w:val="99"/>
    <w:semiHidden/>
    <w:unhideWhenUsed/>
    <w:rsid w:val="004809EC"/>
    <w:rPr>
      <w:vertAlign w:val="superscript"/>
    </w:rPr>
  </w:style>
  <w:style w:type="paragraph" w:styleId="Header">
    <w:name w:val="header"/>
    <w:basedOn w:val="Normal"/>
    <w:link w:val="HeaderChar"/>
    <w:uiPriority w:val="99"/>
    <w:unhideWhenUsed/>
    <w:rsid w:val="00B63F0D"/>
    <w:pPr>
      <w:tabs>
        <w:tab w:val="center" w:pos="4680"/>
        <w:tab w:val="right" w:pos="9360"/>
      </w:tabs>
    </w:pPr>
  </w:style>
  <w:style w:type="character" w:customStyle="1" w:styleId="HeaderChar">
    <w:name w:val="Header Char"/>
    <w:basedOn w:val="DefaultParagraphFont"/>
    <w:link w:val="Header"/>
    <w:uiPriority w:val="99"/>
    <w:rsid w:val="00B63F0D"/>
  </w:style>
  <w:style w:type="paragraph" w:styleId="Footer">
    <w:name w:val="footer"/>
    <w:basedOn w:val="Normal"/>
    <w:link w:val="FooterChar"/>
    <w:uiPriority w:val="99"/>
    <w:unhideWhenUsed/>
    <w:rsid w:val="00B63F0D"/>
    <w:pPr>
      <w:tabs>
        <w:tab w:val="center" w:pos="4680"/>
        <w:tab w:val="right" w:pos="9360"/>
      </w:tabs>
    </w:pPr>
  </w:style>
  <w:style w:type="character" w:customStyle="1" w:styleId="FooterChar">
    <w:name w:val="Footer Char"/>
    <w:basedOn w:val="DefaultParagraphFont"/>
    <w:link w:val="Footer"/>
    <w:uiPriority w:val="99"/>
    <w:rsid w:val="00B63F0D"/>
  </w:style>
  <w:style w:type="character" w:customStyle="1" w:styleId="apple-converted-space">
    <w:name w:val="apple-converted-space"/>
    <w:basedOn w:val="DefaultParagraphFont"/>
    <w:rsid w:val="00085BE7"/>
  </w:style>
  <w:style w:type="character" w:styleId="Hyperlink">
    <w:name w:val="Hyperlink"/>
    <w:basedOn w:val="DefaultParagraphFont"/>
    <w:uiPriority w:val="99"/>
    <w:unhideWhenUsed/>
    <w:rsid w:val="00DC6A9F"/>
    <w:rPr>
      <w:color w:val="0563C1" w:themeColor="hyperlink"/>
      <w:u w:val="single"/>
    </w:rPr>
  </w:style>
  <w:style w:type="character" w:styleId="UnresolvedMention">
    <w:name w:val="Unresolved Mention"/>
    <w:basedOn w:val="DefaultParagraphFont"/>
    <w:uiPriority w:val="99"/>
    <w:rsid w:val="00DC6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698701">
      <w:bodyDiv w:val="1"/>
      <w:marLeft w:val="0"/>
      <w:marRight w:val="0"/>
      <w:marTop w:val="0"/>
      <w:marBottom w:val="0"/>
      <w:divBdr>
        <w:top w:val="none" w:sz="0" w:space="0" w:color="auto"/>
        <w:left w:val="none" w:sz="0" w:space="0" w:color="auto"/>
        <w:bottom w:val="none" w:sz="0" w:space="0" w:color="auto"/>
        <w:right w:val="none" w:sz="0" w:space="0" w:color="auto"/>
      </w:divBdr>
    </w:div>
    <w:div w:id="192310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as.org.uk/Sections/Prehistoric-Yorkshire/Iron-Age/Iron-Age-Yorkshire-two-chariots" TargetMode="External"/><Relationship Id="rId3" Type="http://schemas.openxmlformats.org/officeDocument/2006/relationships/settings" Target="settings.xml"/><Relationship Id="rId7" Type="http://schemas.openxmlformats.org/officeDocument/2006/relationships/hyperlink" Target="https://www.laits.utexas.edu/ironagecelts/reinheim.ph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56B86-A012-954D-9B0D-88BBB3F19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6</Pages>
  <Words>1320</Words>
  <Characters>7529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136</cp:revision>
  <dcterms:created xsi:type="dcterms:W3CDTF">2019-01-18T09:33:00Z</dcterms:created>
  <dcterms:modified xsi:type="dcterms:W3CDTF">2019-01-18T18:41:00Z</dcterms:modified>
</cp:coreProperties>
</file>