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0" w:line="480" w:lineRule="auto"/>
        <w:jc w:val="center"/>
        <w:rPr>
          <w:rFonts w:ascii="Times New Roman" w:hAnsi="Times New Roman" w:cs="Times New Roman"/>
          <w:b/>
          <w:sz w:val="28"/>
          <w:szCs w:val="28"/>
        </w:rPr>
      </w:pPr>
      <w:r>
        <w:rPr>
          <w:rFonts w:ascii="Times New Roman" w:hAnsi="Times New Roman" w:cs="Times New Roman"/>
          <w:b/>
          <w:sz w:val="28"/>
          <w:szCs w:val="28"/>
        </w:rPr>
        <w:t>Nestle strategic Management report</w:t>
      </w:r>
      <w:bookmarkStart w:id="37" w:name="_GoBack"/>
      <w:bookmarkEnd w:id="37"/>
    </w:p>
    <w:p>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drawing>
          <wp:inline distT="0" distB="0" distL="114300" distR="114300">
            <wp:extent cx="5163185" cy="4229100"/>
            <wp:effectExtent l="0" t="0" r="18415" b="0"/>
            <wp:docPr id="1" name="图片 1" descr="微信图片_202212151154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微信图片_20221215115421"/>
                    <pic:cNvPicPr>
                      <a:picLocks noChangeAspect="1"/>
                    </pic:cNvPicPr>
                  </pic:nvPicPr>
                  <pic:blipFill>
                    <a:blip r:embed="rId7"/>
                    <a:stretch>
                      <a:fillRect/>
                    </a:stretch>
                  </pic:blipFill>
                  <pic:spPr>
                    <a:xfrm>
                      <a:off x="0" y="0"/>
                      <a:ext cx="5163185" cy="4229100"/>
                    </a:xfrm>
                    <a:prstGeom prst="rect">
                      <a:avLst/>
                    </a:prstGeom>
                  </pic:spPr>
                </pic:pic>
              </a:graphicData>
            </a:graphic>
          </wp:inline>
        </w:drawing>
      </w:r>
    </w:p>
    <w:p>
      <w:pPr>
        <w:spacing w:after="0" w:line="480" w:lineRule="auto"/>
        <w:jc w:val="center"/>
        <w:rPr>
          <w:rFonts w:hint="eastAsia" w:ascii="Times New Roman" w:hAnsi="Times New Roman" w:eastAsia="宋体" w:cs="Times New Roman"/>
          <w:sz w:val="28"/>
          <w:szCs w:val="28"/>
          <w:lang w:val="en-US" w:eastAsia="zh-CN"/>
        </w:rPr>
      </w:pPr>
      <w:r>
        <w:rPr>
          <w:rFonts w:hint="eastAsia" w:ascii="Times New Roman" w:hAnsi="Times New Roman" w:eastAsia="宋体" w:cs="Times New Roman"/>
          <w:sz w:val="28"/>
          <w:szCs w:val="28"/>
          <w:lang w:val="en-US" w:eastAsia="zh-CN"/>
        </w:rPr>
        <w:t>December 2022</w:t>
      </w:r>
    </w:p>
    <w:p>
      <w:pPr>
        <w:spacing w:after="0" w:line="480" w:lineRule="auto"/>
        <w:jc w:val="center"/>
        <w:rPr>
          <w:rFonts w:hint="eastAsia" w:ascii="Times New Roman" w:hAnsi="Times New Roman" w:eastAsia="宋体" w:cs="Times New Roman"/>
          <w:sz w:val="28"/>
          <w:szCs w:val="28"/>
          <w:lang w:val="en-US" w:eastAsia="zh-CN"/>
        </w:rPr>
      </w:pPr>
    </w:p>
    <w:p>
      <w:pPr>
        <w:spacing w:after="0" w:line="480" w:lineRule="auto"/>
        <w:jc w:val="center"/>
        <w:rPr>
          <w:rFonts w:hint="eastAsia" w:ascii="Times New Roman" w:hAnsi="Times New Roman" w:eastAsia="宋体" w:cs="Times New Roman"/>
          <w:sz w:val="28"/>
          <w:szCs w:val="28"/>
          <w:lang w:val="en-US" w:eastAsia="zh-CN"/>
        </w:rPr>
      </w:pPr>
    </w:p>
    <w:p>
      <w:pPr>
        <w:spacing w:after="0" w:line="480" w:lineRule="auto"/>
        <w:jc w:val="both"/>
        <w:rPr>
          <w:rFonts w:hint="eastAsia" w:ascii="Times New Roman" w:hAnsi="Times New Roman" w:eastAsia="宋体" w:cs="Times New Roman"/>
          <w:sz w:val="28"/>
          <w:szCs w:val="28"/>
          <w:lang w:val="en-US" w:eastAsia="zh-CN"/>
        </w:rPr>
      </w:pPr>
    </w:p>
    <w:p>
      <w:pPr>
        <w:spacing w:after="0" w:line="480" w:lineRule="auto"/>
        <w:jc w:val="both"/>
        <w:rPr>
          <w:rFonts w:hint="eastAsia" w:ascii="Times New Roman" w:hAnsi="Times New Roman" w:eastAsia="宋体" w:cs="Times New Roman"/>
          <w:sz w:val="28"/>
          <w:szCs w:val="28"/>
          <w:lang w:val="en-US" w:eastAsia="zh-CN"/>
        </w:rPr>
      </w:pPr>
      <w:r>
        <w:rPr>
          <w:rFonts w:hint="eastAsia" w:ascii="Times New Roman" w:hAnsi="Times New Roman" w:eastAsia="宋体" w:cs="Times New Roman"/>
          <w:sz w:val="28"/>
          <w:szCs w:val="28"/>
          <w:lang w:val="en-US" w:eastAsia="zh-CN"/>
        </w:rPr>
        <w:t>MODULE NAME:Strategic Management（BMMB7013）</w:t>
      </w:r>
    </w:p>
    <w:p>
      <w:pPr>
        <w:spacing w:after="0" w:line="480" w:lineRule="auto"/>
        <w:jc w:val="both"/>
        <w:rPr>
          <w:rFonts w:hint="eastAsia" w:ascii="Times New Roman" w:hAnsi="Times New Roman" w:eastAsia="宋体" w:cs="Times New Roman"/>
          <w:sz w:val="28"/>
          <w:szCs w:val="28"/>
          <w:lang w:val="en-US" w:eastAsia="zh-CN"/>
        </w:rPr>
      </w:pPr>
      <w:r>
        <w:rPr>
          <w:rFonts w:hint="eastAsia" w:ascii="Times New Roman" w:hAnsi="Times New Roman" w:eastAsia="宋体" w:cs="Times New Roman"/>
          <w:sz w:val="28"/>
          <w:szCs w:val="28"/>
          <w:lang w:val="en-US" w:eastAsia="zh-CN"/>
        </w:rPr>
        <w:t>NAME：Zilong Han</w:t>
      </w:r>
    </w:p>
    <w:p>
      <w:pPr>
        <w:spacing w:after="0" w:line="480" w:lineRule="auto"/>
        <w:jc w:val="both"/>
        <w:rPr>
          <w:rFonts w:hint="default" w:ascii="Times New Roman" w:hAnsi="Times New Roman" w:eastAsia="宋体" w:cs="Times New Roman"/>
          <w:sz w:val="28"/>
          <w:szCs w:val="28"/>
          <w:lang w:val="en-US" w:eastAsia="zh-CN"/>
        </w:rPr>
      </w:pPr>
      <w:r>
        <w:rPr>
          <w:rFonts w:hint="eastAsia" w:ascii="Times New Roman" w:hAnsi="Times New Roman" w:eastAsia="宋体" w:cs="Times New Roman"/>
          <w:sz w:val="28"/>
          <w:szCs w:val="28"/>
          <w:lang w:val="en-US" w:eastAsia="zh-CN"/>
        </w:rPr>
        <w:t>STUDENT NUMBER:2203389</w:t>
      </w:r>
    </w:p>
    <w:p>
      <w:pPr>
        <w:spacing w:after="0" w:line="480" w:lineRule="auto"/>
        <w:jc w:val="both"/>
        <w:rPr>
          <w:rFonts w:ascii="Times New Roman" w:hAnsi="Times New Roman" w:cs="Times New Roman"/>
          <w:sz w:val="24"/>
          <w:szCs w:val="24"/>
        </w:rPr>
      </w:pPr>
    </w:p>
    <w:sdt>
      <w:sdtPr>
        <w:id w:val="1653013892"/>
        <w:docPartObj>
          <w:docPartGallery w:val="Table of Contents"/>
          <w:docPartUnique/>
        </w:docPartObj>
      </w:sdtPr>
      <w:sdtEndPr>
        <w:rPr>
          <w:rFonts w:asciiTheme="minorHAnsi" w:hAnsiTheme="minorHAnsi" w:eastAsiaTheme="minorHAnsi" w:cstheme="minorBidi"/>
          <w:b/>
          <w:bCs/>
          <w:color w:val="auto"/>
          <w:sz w:val="22"/>
          <w:szCs w:val="22"/>
        </w:rPr>
      </w:sdtEndPr>
      <w:sdtContent>
        <w:p>
          <w:pPr>
            <w:pStyle w:val="18"/>
          </w:pPr>
          <w:r>
            <w:t>Table of Contents</w:t>
          </w:r>
        </w:p>
        <w:p>
          <w:pPr>
            <w:pStyle w:val="8"/>
            <w:tabs>
              <w:tab w:val="right" w:leader="dot" w:pos="9350"/>
            </w:tabs>
            <w:rPr>
              <w:rFonts w:eastAsiaTheme="minorEastAsia"/>
            </w:rPr>
          </w:pPr>
          <w:r>
            <w:fldChar w:fldCharType="begin"/>
          </w:r>
          <w:r>
            <w:instrText xml:space="preserve"> TOC \o "1-3" \h \z \u </w:instrText>
          </w:r>
          <w:r>
            <w:fldChar w:fldCharType="separate"/>
          </w:r>
          <w:r>
            <w:fldChar w:fldCharType="begin"/>
          </w:r>
          <w:r>
            <w:instrText xml:space="preserve"> HYPERLINK \l "_Toc121744915" </w:instrText>
          </w:r>
          <w:r>
            <w:fldChar w:fldCharType="separate"/>
          </w:r>
          <w:r>
            <w:rPr>
              <w:rStyle w:val="12"/>
              <w:rFonts w:ascii="Times New Roman" w:hAnsi="Times New Roman" w:cs="Times New Roman"/>
              <w:b/>
            </w:rPr>
            <w:t>Executive summary</w:t>
          </w:r>
          <w:r>
            <w:tab/>
          </w:r>
          <w:r>
            <w:fldChar w:fldCharType="begin"/>
          </w:r>
          <w:r>
            <w:instrText xml:space="preserve"> PAGEREF _Toc121744915 \h </w:instrText>
          </w:r>
          <w:r>
            <w:fldChar w:fldCharType="separate"/>
          </w:r>
          <w:r>
            <w:t>4</w:t>
          </w:r>
          <w:r>
            <w:fldChar w:fldCharType="end"/>
          </w:r>
          <w:r>
            <w:fldChar w:fldCharType="end"/>
          </w:r>
        </w:p>
        <w:p>
          <w:pPr>
            <w:pStyle w:val="8"/>
            <w:tabs>
              <w:tab w:val="right" w:leader="dot" w:pos="9350"/>
            </w:tabs>
            <w:rPr>
              <w:rFonts w:eastAsiaTheme="minorEastAsia"/>
            </w:rPr>
          </w:pPr>
          <w:r>
            <w:fldChar w:fldCharType="begin"/>
          </w:r>
          <w:r>
            <w:instrText xml:space="preserve"> HYPERLINK \l "_Toc121744916" </w:instrText>
          </w:r>
          <w:r>
            <w:fldChar w:fldCharType="separate"/>
          </w:r>
          <w:r>
            <w:rPr>
              <w:rStyle w:val="12"/>
              <w:rFonts w:ascii="Times New Roman" w:hAnsi="Times New Roman" w:cs="Times New Roman"/>
              <w:b/>
            </w:rPr>
            <w:t>Introduction</w:t>
          </w:r>
          <w:r>
            <w:tab/>
          </w:r>
          <w:r>
            <w:fldChar w:fldCharType="begin"/>
          </w:r>
          <w:r>
            <w:instrText xml:space="preserve"> PAGEREF _Toc121744916 \h </w:instrText>
          </w:r>
          <w:r>
            <w:fldChar w:fldCharType="separate"/>
          </w:r>
          <w:r>
            <w:t>5</w:t>
          </w:r>
          <w:r>
            <w:fldChar w:fldCharType="end"/>
          </w:r>
          <w:r>
            <w:fldChar w:fldCharType="end"/>
          </w:r>
        </w:p>
        <w:p>
          <w:pPr>
            <w:pStyle w:val="9"/>
            <w:tabs>
              <w:tab w:val="right" w:leader="dot" w:pos="9350"/>
            </w:tabs>
            <w:rPr>
              <w:rFonts w:eastAsiaTheme="minorEastAsia"/>
            </w:rPr>
          </w:pPr>
          <w:r>
            <w:fldChar w:fldCharType="begin"/>
          </w:r>
          <w:r>
            <w:instrText xml:space="preserve"> HYPERLINK \l "_Toc121744917" </w:instrText>
          </w:r>
          <w:r>
            <w:fldChar w:fldCharType="separate"/>
          </w:r>
          <w:r>
            <w:rPr>
              <w:rStyle w:val="12"/>
              <w:rFonts w:ascii="Times New Roman" w:hAnsi="Times New Roman" w:cs="Times New Roman"/>
              <w:b/>
            </w:rPr>
            <w:t>Company Overview</w:t>
          </w:r>
          <w:r>
            <w:tab/>
          </w:r>
          <w:r>
            <w:fldChar w:fldCharType="begin"/>
          </w:r>
          <w:r>
            <w:instrText xml:space="preserve"> PAGEREF _Toc121744917 \h </w:instrText>
          </w:r>
          <w:r>
            <w:fldChar w:fldCharType="separate"/>
          </w:r>
          <w:r>
            <w:t>5</w:t>
          </w:r>
          <w:r>
            <w:fldChar w:fldCharType="end"/>
          </w:r>
          <w:r>
            <w:fldChar w:fldCharType="end"/>
          </w:r>
        </w:p>
        <w:p>
          <w:pPr>
            <w:pStyle w:val="5"/>
            <w:tabs>
              <w:tab w:val="right" w:leader="dot" w:pos="9350"/>
            </w:tabs>
            <w:rPr>
              <w:rFonts w:eastAsiaTheme="minorEastAsia"/>
            </w:rPr>
          </w:pPr>
          <w:r>
            <w:fldChar w:fldCharType="begin"/>
          </w:r>
          <w:r>
            <w:instrText xml:space="preserve"> HYPERLINK \l "_Toc121744918" </w:instrText>
          </w:r>
          <w:r>
            <w:fldChar w:fldCharType="separate"/>
          </w:r>
          <w:r>
            <w:rPr>
              <w:rStyle w:val="12"/>
              <w:rFonts w:ascii="Times New Roman" w:hAnsi="Times New Roman" w:cs="Times New Roman"/>
              <w:b/>
            </w:rPr>
            <w:t>Mission</w:t>
          </w:r>
          <w:r>
            <w:tab/>
          </w:r>
          <w:r>
            <w:fldChar w:fldCharType="begin"/>
          </w:r>
          <w:r>
            <w:instrText xml:space="preserve"> PAGEREF _Toc121744918 \h </w:instrText>
          </w:r>
          <w:r>
            <w:fldChar w:fldCharType="separate"/>
          </w:r>
          <w:r>
            <w:t>6</w:t>
          </w:r>
          <w:r>
            <w:fldChar w:fldCharType="end"/>
          </w:r>
          <w:r>
            <w:fldChar w:fldCharType="end"/>
          </w:r>
        </w:p>
        <w:p>
          <w:pPr>
            <w:pStyle w:val="5"/>
            <w:tabs>
              <w:tab w:val="right" w:leader="dot" w:pos="9350"/>
            </w:tabs>
            <w:rPr>
              <w:rFonts w:eastAsiaTheme="minorEastAsia"/>
            </w:rPr>
          </w:pPr>
          <w:r>
            <w:fldChar w:fldCharType="begin"/>
          </w:r>
          <w:r>
            <w:instrText xml:space="preserve"> HYPERLINK \l "_Toc121744919" </w:instrText>
          </w:r>
          <w:r>
            <w:fldChar w:fldCharType="separate"/>
          </w:r>
          <w:r>
            <w:rPr>
              <w:rStyle w:val="12"/>
              <w:rFonts w:ascii="Times New Roman" w:hAnsi="Times New Roman" w:cs="Times New Roman"/>
              <w:b/>
            </w:rPr>
            <w:t>Vision</w:t>
          </w:r>
          <w:r>
            <w:tab/>
          </w:r>
          <w:r>
            <w:fldChar w:fldCharType="begin"/>
          </w:r>
          <w:r>
            <w:instrText xml:space="preserve"> PAGEREF _Toc121744919 \h </w:instrText>
          </w:r>
          <w:r>
            <w:fldChar w:fldCharType="separate"/>
          </w:r>
          <w:r>
            <w:t>6</w:t>
          </w:r>
          <w:r>
            <w:fldChar w:fldCharType="end"/>
          </w:r>
          <w:r>
            <w:fldChar w:fldCharType="end"/>
          </w:r>
        </w:p>
        <w:p>
          <w:pPr>
            <w:pStyle w:val="8"/>
            <w:tabs>
              <w:tab w:val="right" w:leader="dot" w:pos="9350"/>
            </w:tabs>
            <w:rPr>
              <w:rFonts w:eastAsiaTheme="minorEastAsia"/>
            </w:rPr>
          </w:pPr>
          <w:r>
            <w:fldChar w:fldCharType="begin"/>
          </w:r>
          <w:r>
            <w:instrText xml:space="preserve"> HYPERLINK \l "_Toc121744920" </w:instrText>
          </w:r>
          <w:r>
            <w:fldChar w:fldCharType="separate"/>
          </w:r>
          <w:r>
            <w:rPr>
              <w:rStyle w:val="12"/>
              <w:rFonts w:ascii="Times New Roman" w:hAnsi="Times New Roman" w:cs="Times New Roman"/>
              <w:b/>
            </w:rPr>
            <w:t>Macro Environmental Analysis</w:t>
          </w:r>
          <w:r>
            <w:tab/>
          </w:r>
          <w:r>
            <w:fldChar w:fldCharType="begin"/>
          </w:r>
          <w:r>
            <w:instrText xml:space="preserve"> PAGEREF _Toc121744920 \h </w:instrText>
          </w:r>
          <w:r>
            <w:fldChar w:fldCharType="separate"/>
          </w:r>
          <w:r>
            <w:t>7</w:t>
          </w:r>
          <w:r>
            <w:fldChar w:fldCharType="end"/>
          </w:r>
          <w:r>
            <w:fldChar w:fldCharType="end"/>
          </w:r>
        </w:p>
        <w:p>
          <w:pPr>
            <w:pStyle w:val="9"/>
            <w:tabs>
              <w:tab w:val="right" w:leader="dot" w:pos="9350"/>
            </w:tabs>
            <w:rPr>
              <w:rFonts w:eastAsiaTheme="minorEastAsia"/>
            </w:rPr>
          </w:pPr>
          <w:r>
            <w:fldChar w:fldCharType="begin"/>
          </w:r>
          <w:r>
            <w:instrText xml:space="preserve"> HYPERLINK \l "_Toc121744921" </w:instrText>
          </w:r>
          <w:r>
            <w:fldChar w:fldCharType="separate"/>
          </w:r>
          <w:r>
            <w:rPr>
              <w:rStyle w:val="12"/>
              <w:rFonts w:ascii="Times New Roman" w:hAnsi="Times New Roman" w:cs="Times New Roman"/>
              <w:b/>
            </w:rPr>
            <w:t>PEST analysis</w:t>
          </w:r>
          <w:r>
            <w:tab/>
          </w:r>
          <w:r>
            <w:fldChar w:fldCharType="begin"/>
          </w:r>
          <w:r>
            <w:instrText xml:space="preserve"> PAGEREF _Toc121744921 \h </w:instrText>
          </w:r>
          <w:r>
            <w:fldChar w:fldCharType="separate"/>
          </w:r>
          <w:r>
            <w:t>7</w:t>
          </w:r>
          <w:r>
            <w:fldChar w:fldCharType="end"/>
          </w:r>
          <w:r>
            <w:fldChar w:fldCharType="end"/>
          </w:r>
        </w:p>
        <w:p>
          <w:pPr>
            <w:pStyle w:val="5"/>
            <w:tabs>
              <w:tab w:val="right" w:leader="dot" w:pos="9350"/>
            </w:tabs>
            <w:rPr>
              <w:rFonts w:eastAsiaTheme="minorEastAsia"/>
            </w:rPr>
          </w:pPr>
          <w:r>
            <w:fldChar w:fldCharType="begin"/>
          </w:r>
          <w:r>
            <w:instrText xml:space="preserve"> HYPERLINK \l "_Toc121744922" </w:instrText>
          </w:r>
          <w:r>
            <w:fldChar w:fldCharType="separate"/>
          </w:r>
          <w:r>
            <w:rPr>
              <w:rStyle w:val="12"/>
              <w:rFonts w:ascii="Times New Roman" w:hAnsi="Times New Roman" w:cs="Times New Roman"/>
              <w:b/>
            </w:rPr>
            <w:t>Political</w:t>
          </w:r>
          <w:r>
            <w:tab/>
          </w:r>
          <w:r>
            <w:fldChar w:fldCharType="begin"/>
          </w:r>
          <w:r>
            <w:instrText xml:space="preserve"> PAGEREF _Toc121744922 \h </w:instrText>
          </w:r>
          <w:r>
            <w:fldChar w:fldCharType="separate"/>
          </w:r>
          <w:r>
            <w:t>7</w:t>
          </w:r>
          <w:r>
            <w:fldChar w:fldCharType="end"/>
          </w:r>
          <w:r>
            <w:fldChar w:fldCharType="end"/>
          </w:r>
        </w:p>
        <w:p>
          <w:pPr>
            <w:pStyle w:val="5"/>
            <w:tabs>
              <w:tab w:val="right" w:leader="dot" w:pos="9350"/>
            </w:tabs>
            <w:rPr>
              <w:rFonts w:eastAsiaTheme="minorEastAsia"/>
            </w:rPr>
          </w:pPr>
          <w:r>
            <w:fldChar w:fldCharType="begin"/>
          </w:r>
          <w:r>
            <w:instrText xml:space="preserve"> HYPERLINK \l "_Toc121744923" </w:instrText>
          </w:r>
          <w:r>
            <w:fldChar w:fldCharType="separate"/>
          </w:r>
          <w:r>
            <w:rPr>
              <w:rStyle w:val="12"/>
              <w:rFonts w:ascii="Times New Roman" w:hAnsi="Times New Roman" w:cs="Times New Roman"/>
              <w:b/>
            </w:rPr>
            <w:t>Economic</w:t>
          </w:r>
          <w:r>
            <w:tab/>
          </w:r>
          <w:r>
            <w:fldChar w:fldCharType="begin"/>
          </w:r>
          <w:r>
            <w:instrText xml:space="preserve"> PAGEREF _Toc121744923 \h </w:instrText>
          </w:r>
          <w:r>
            <w:fldChar w:fldCharType="separate"/>
          </w:r>
          <w:r>
            <w:t>7</w:t>
          </w:r>
          <w:r>
            <w:fldChar w:fldCharType="end"/>
          </w:r>
          <w:r>
            <w:fldChar w:fldCharType="end"/>
          </w:r>
        </w:p>
        <w:p>
          <w:pPr>
            <w:pStyle w:val="5"/>
            <w:tabs>
              <w:tab w:val="right" w:leader="dot" w:pos="9350"/>
            </w:tabs>
            <w:rPr>
              <w:rFonts w:eastAsiaTheme="minorEastAsia"/>
            </w:rPr>
          </w:pPr>
          <w:r>
            <w:fldChar w:fldCharType="begin"/>
          </w:r>
          <w:r>
            <w:instrText xml:space="preserve"> HYPERLINK \l "_Toc121744924" </w:instrText>
          </w:r>
          <w:r>
            <w:fldChar w:fldCharType="separate"/>
          </w:r>
          <w:r>
            <w:rPr>
              <w:rStyle w:val="12"/>
              <w:rFonts w:ascii="Times New Roman" w:hAnsi="Times New Roman" w:cs="Times New Roman"/>
              <w:b/>
            </w:rPr>
            <w:t>Socio-Cultural</w:t>
          </w:r>
          <w:r>
            <w:tab/>
          </w:r>
          <w:r>
            <w:fldChar w:fldCharType="begin"/>
          </w:r>
          <w:r>
            <w:instrText xml:space="preserve"> PAGEREF _Toc121744924 \h </w:instrText>
          </w:r>
          <w:r>
            <w:fldChar w:fldCharType="separate"/>
          </w:r>
          <w:r>
            <w:t>8</w:t>
          </w:r>
          <w:r>
            <w:fldChar w:fldCharType="end"/>
          </w:r>
          <w:r>
            <w:fldChar w:fldCharType="end"/>
          </w:r>
        </w:p>
        <w:p>
          <w:pPr>
            <w:pStyle w:val="5"/>
            <w:tabs>
              <w:tab w:val="right" w:leader="dot" w:pos="9350"/>
            </w:tabs>
            <w:rPr>
              <w:rFonts w:eastAsiaTheme="minorEastAsia"/>
            </w:rPr>
          </w:pPr>
          <w:r>
            <w:fldChar w:fldCharType="begin"/>
          </w:r>
          <w:r>
            <w:instrText xml:space="preserve"> HYPERLINK \l "_Toc121744925" </w:instrText>
          </w:r>
          <w:r>
            <w:fldChar w:fldCharType="separate"/>
          </w:r>
          <w:r>
            <w:rPr>
              <w:rStyle w:val="12"/>
              <w:rFonts w:ascii="Times New Roman" w:hAnsi="Times New Roman" w:cs="Times New Roman"/>
              <w:b/>
            </w:rPr>
            <w:t>Technological</w:t>
          </w:r>
          <w:r>
            <w:tab/>
          </w:r>
          <w:r>
            <w:fldChar w:fldCharType="begin"/>
          </w:r>
          <w:r>
            <w:instrText xml:space="preserve"> PAGEREF _Toc121744925 \h </w:instrText>
          </w:r>
          <w:r>
            <w:fldChar w:fldCharType="separate"/>
          </w:r>
          <w:r>
            <w:t>8</w:t>
          </w:r>
          <w:r>
            <w:fldChar w:fldCharType="end"/>
          </w:r>
          <w:r>
            <w:fldChar w:fldCharType="end"/>
          </w:r>
        </w:p>
        <w:p>
          <w:pPr>
            <w:pStyle w:val="8"/>
            <w:tabs>
              <w:tab w:val="right" w:leader="dot" w:pos="9350"/>
            </w:tabs>
            <w:rPr>
              <w:rFonts w:eastAsiaTheme="minorEastAsia"/>
            </w:rPr>
          </w:pPr>
          <w:r>
            <w:fldChar w:fldCharType="begin"/>
          </w:r>
          <w:r>
            <w:instrText xml:space="preserve"> HYPERLINK \l "_Toc121744926" </w:instrText>
          </w:r>
          <w:r>
            <w:fldChar w:fldCharType="separate"/>
          </w:r>
          <w:r>
            <w:rPr>
              <w:rStyle w:val="12"/>
              <w:rFonts w:ascii="Times New Roman" w:hAnsi="Times New Roman" w:cs="Times New Roman"/>
              <w:b/>
            </w:rPr>
            <w:t>Industry Analysis</w:t>
          </w:r>
          <w:r>
            <w:tab/>
          </w:r>
          <w:r>
            <w:fldChar w:fldCharType="begin"/>
          </w:r>
          <w:r>
            <w:instrText xml:space="preserve"> PAGEREF _Toc121744926 \h </w:instrText>
          </w:r>
          <w:r>
            <w:fldChar w:fldCharType="separate"/>
          </w:r>
          <w:r>
            <w:t>9</w:t>
          </w:r>
          <w:r>
            <w:fldChar w:fldCharType="end"/>
          </w:r>
          <w:r>
            <w:fldChar w:fldCharType="end"/>
          </w:r>
        </w:p>
        <w:p>
          <w:pPr>
            <w:pStyle w:val="9"/>
            <w:tabs>
              <w:tab w:val="right" w:leader="dot" w:pos="9350"/>
            </w:tabs>
            <w:rPr>
              <w:rFonts w:eastAsiaTheme="minorEastAsia"/>
            </w:rPr>
          </w:pPr>
          <w:r>
            <w:fldChar w:fldCharType="begin"/>
          </w:r>
          <w:r>
            <w:instrText xml:space="preserve"> HYPERLINK \l "_Toc121744927" </w:instrText>
          </w:r>
          <w:r>
            <w:fldChar w:fldCharType="separate"/>
          </w:r>
          <w:r>
            <w:rPr>
              <w:rStyle w:val="12"/>
              <w:rFonts w:ascii="Times New Roman" w:hAnsi="Times New Roman" w:cs="Times New Roman"/>
              <w:b/>
            </w:rPr>
            <w:t>Porter's Five Forces Model</w:t>
          </w:r>
          <w:r>
            <w:tab/>
          </w:r>
          <w:r>
            <w:fldChar w:fldCharType="begin"/>
          </w:r>
          <w:r>
            <w:instrText xml:space="preserve"> PAGEREF _Toc121744927 \h </w:instrText>
          </w:r>
          <w:r>
            <w:fldChar w:fldCharType="separate"/>
          </w:r>
          <w:r>
            <w:t>9</w:t>
          </w:r>
          <w:r>
            <w:fldChar w:fldCharType="end"/>
          </w:r>
          <w:r>
            <w:fldChar w:fldCharType="end"/>
          </w:r>
        </w:p>
        <w:p>
          <w:pPr>
            <w:pStyle w:val="5"/>
            <w:tabs>
              <w:tab w:val="right" w:leader="dot" w:pos="9350"/>
            </w:tabs>
            <w:rPr>
              <w:rFonts w:eastAsiaTheme="minorEastAsia"/>
            </w:rPr>
          </w:pPr>
          <w:r>
            <w:fldChar w:fldCharType="begin"/>
          </w:r>
          <w:r>
            <w:instrText xml:space="preserve"> HYPERLINK \l "_Toc121744928" </w:instrText>
          </w:r>
          <w:r>
            <w:fldChar w:fldCharType="separate"/>
          </w:r>
          <w:r>
            <w:rPr>
              <w:rStyle w:val="12"/>
              <w:rFonts w:ascii="Times New Roman" w:hAnsi="Times New Roman" w:cs="Times New Roman"/>
              <w:b/>
            </w:rPr>
            <w:t>Threats of New Entrants</w:t>
          </w:r>
          <w:r>
            <w:tab/>
          </w:r>
          <w:r>
            <w:fldChar w:fldCharType="begin"/>
          </w:r>
          <w:r>
            <w:instrText xml:space="preserve"> PAGEREF _Toc121744928 \h </w:instrText>
          </w:r>
          <w:r>
            <w:fldChar w:fldCharType="separate"/>
          </w:r>
          <w:r>
            <w:t>9</w:t>
          </w:r>
          <w:r>
            <w:fldChar w:fldCharType="end"/>
          </w:r>
          <w:r>
            <w:fldChar w:fldCharType="end"/>
          </w:r>
        </w:p>
        <w:p>
          <w:pPr>
            <w:pStyle w:val="5"/>
            <w:tabs>
              <w:tab w:val="right" w:leader="dot" w:pos="9350"/>
            </w:tabs>
            <w:rPr>
              <w:rFonts w:eastAsiaTheme="minorEastAsia"/>
            </w:rPr>
          </w:pPr>
          <w:r>
            <w:fldChar w:fldCharType="begin"/>
          </w:r>
          <w:r>
            <w:instrText xml:space="preserve"> HYPERLINK \l "_Toc121744929" </w:instrText>
          </w:r>
          <w:r>
            <w:fldChar w:fldCharType="separate"/>
          </w:r>
          <w:r>
            <w:rPr>
              <w:rStyle w:val="12"/>
              <w:rFonts w:ascii="Times New Roman" w:hAnsi="Times New Roman" w:cs="Times New Roman"/>
              <w:b/>
            </w:rPr>
            <w:t>Threats of Substitute Products</w:t>
          </w:r>
          <w:r>
            <w:tab/>
          </w:r>
          <w:r>
            <w:fldChar w:fldCharType="begin"/>
          </w:r>
          <w:r>
            <w:instrText xml:space="preserve"> PAGEREF _Toc121744929 \h </w:instrText>
          </w:r>
          <w:r>
            <w:fldChar w:fldCharType="separate"/>
          </w:r>
          <w:r>
            <w:t>9</w:t>
          </w:r>
          <w:r>
            <w:fldChar w:fldCharType="end"/>
          </w:r>
          <w:r>
            <w:fldChar w:fldCharType="end"/>
          </w:r>
        </w:p>
        <w:p>
          <w:pPr>
            <w:pStyle w:val="5"/>
            <w:tabs>
              <w:tab w:val="right" w:leader="dot" w:pos="9350"/>
            </w:tabs>
            <w:rPr>
              <w:rFonts w:eastAsiaTheme="minorEastAsia"/>
            </w:rPr>
          </w:pPr>
          <w:r>
            <w:fldChar w:fldCharType="begin"/>
          </w:r>
          <w:r>
            <w:instrText xml:space="preserve"> HYPERLINK \l "_Toc121744930" </w:instrText>
          </w:r>
          <w:r>
            <w:fldChar w:fldCharType="separate"/>
          </w:r>
          <w:r>
            <w:rPr>
              <w:rStyle w:val="12"/>
              <w:rFonts w:ascii="Times New Roman" w:hAnsi="Times New Roman" w:cs="Times New Roman"/>
              <w:b/>
            </w:rPr>
            <w:t>Bargaining Power of Supplier</w:t>
          </w:r>
          <w:r>
            <w:tab/>
          </w:r>
          <w:r>
            <w:fldChar w:fldCharType="begin"/>
          </w:r>
          <w:r>
            <w:instrText xml:space="preserve"> PAGEREF _Toc121744930 \h </w:instrText>
          </w:r>
          <w:r>
            <w:fldChar w:fldCharType="separate"/>
          </w:r>
          <w:r>
            <w:t>10</w:t>
          </w:r>
          <w:r>
            <w:fldChar w:fldCharType="end"/>
          </w:r>
          <w:r>
            <w:fldChar w:fldCharType="end"/>
          </w:r>
        </w:p>
        <w:p>
          <w:pPr>
            <w:pStyle w:val="5"/>
            <w:tabs>
              <w:tab w:val="right" w:leader="dot" w:pos="9350"/>
            </w:tabs>
            <w:rPr>
              <w:rFonts w:eastAsiaTheme="minorEastAsia"/>
            </w:rPr>
          </w:pPr>
          <w:r>
            <w:fldChar w:fldCharType="begin"/>
          </w:r>
          <w:r>
            <w:instrText xml:space="preserve"> HYPERLINK \l "_Toc121744931" </w:instrText>
          </w:r>
          <w:r>
            <w:fldChar w:fldCharType="separate"/>
          </w:r>
          <w:r>
            <w:rPr>
              <w:rStyle w:val="12"/>
              <w:rFonts w:ascii="Times New Roman" w:hAnsi="Times New Roman" w:cs="Times New Roman"/>
              <w:b/>
            </w:rPr>
            <w:t>Bargaining Power of Buyer</w:t>
          </w:r>
          <w:r>
            <w:tab/>
          </w:r>
          <w:r>
            <w:fldChar w:fldCharType="begin"/>
          </w:r>
          <w:r>
            <w:instrText xml:space="preserve"> PAGEREF _Toc121744931 \h </w:instrText>
          </w:r>
          <w:r>
            <w:fldChar w:fldCharType="separate"/>
          </w:r>
          <w:r>
            <w:t>10</w:t>
          </w:r>
          <w:r>
            <w:fldChar w:fldCharType="end"/>
          </w:r>
          <w:r>
            <w:fldChar w:fldCharType="end"/>
          </w:r>
        </w:p>
        <w:p>
          <w:pPr>
            <w:pStyle w:val="5"/>
            <w:tabs>
              <w:tab w:val="right" w:leader="dot" w:pos="9350"/>
            </w:tabs>
            <w:rPr>
              <w:rFonts w:eastAsiaTheme="minorEastAsia"/>
            </w:rPr>
          </w:pPr>
          <w:r>
            <w:fldChar w:fldCharType="begin"/>
          </w:r>
          <w:r>
            <w:instrText xml:space="preserve"> HYPERLINK \l "_Toc121744932" </w:instrText>
          </w:r>
          <w:r>
            <w:fldChar w:fldCharType="separate"/>
          </w:r>
          <w:r>
            <w:rPr>
              <w:rStyle w:val="12"/>
              <w:rFonts w:ascii="Times New Roman" w:hAnsi="Times New Roman" w:cs="Times New Roman"/>
              <w:b/>
            </w:rPr>
            <w:t>Intensity of Rivalry</w:t>
          </w:r>
          <w:r>
            <w:tab/>
          </w:r>
          <w:r>
            <w:fldChar w:fldCharType="begin"/>
          </w:r>
          <w:r>
            <w:instrText xml:space="preserve"> PAGEREF _Toc121744932 \h </w:instrText>
          </w:r>
          <w:r>
            <w:fldChar w:fldCharType="separate"/>
          </w:r>
          <w:r>
            <w:t>10</w:t>
          </w:r>
          <w:r>
            <w:fldChar w:fldCharType="end"/>
          </w:r>
          <w:r>
            <w:fldChar w:fldCharType="end"/>
          </w:r>
        </w:p>
        <w:p>
          <w:pPr>
            <w:pStyle w:val="9"/>
            <w:tabs>
              <w:tab w:val="right" w:leader="dot" w:pos="9350"/>
            </w:tabs>
            <w:rPr>
              <w:rFonts w:eastAsiaTheme="minorEastAsia"/>
            </w:rPr>
          </w:pPr>
          <w:r>
            <w:fldChar w:fldCharType="begin"/>
          </w:r>
          <w:r>
            <w:instrText xml:space="preserve"> HYPERLINK \l "_Toc121744933" </w:instrText>
          </w:r>
          <w:r>
            <w:fldChar w:fldCharType="separate"/>
          </w:r>
          <w:r>
            <w:rPr>
              <w:rStyle w:val="12"/>
              <w:rFonts w:ascii="Times New Roman" w:hAnsi="Times New Roman" w:cs="Times New Roman"/>
              <w:b/>
            </w:rPr>
            <w:t>SWOT Analysis</w:t>
          </w:r>
          <w:r>
            <w:tab/>
          </w:r>
          <w:r>
            <w:fldChar w:fldCharType="begin"/>
          </w:r>
          <w:r>
            <w:instrText xml:space="preserve"> PAGEREF _Toc121744933 \h </w:instrText>
          </w:r>
          <w:r>
            <w:fldChar w:fldCharType="separate"/>
          </w:r>
          <w:r>
            <w:t>11</w:t>
          </w:r>
          <w:r>
            <w:fldChar w:fldCharType="end"/>
          </w:r>
          <w:r>
            <w:fldChar w:fldCharType="end"/>
          </w:r>
        </w:p>
        <w:p>
          <w:pPr>
            <w:pStyle w:val="5"/>
            <w:tabs>
              <w:tab w:val="right" w:leader="dot" w:pos="9350"/>
            </w:tabs>
            <w:rPr>
              <w:rFonts w:eastAsiaTheme="minorEastAsia"/>
            </w:rPr>
          </w:pPr>
          <w:r>
            <w:fldChar w:fldCharType="begin"/>
          </w:r>
          <w:r>
            <w:instrText xml:space="preserve"> HYPERLINK \l "_Toc121744934" </w:instrText>
          </w:r>
          <w:r>
            <w:fldChar w:fldCharType="separate"/>
          </w:r>
          <w:r>
            <w:rPr>
              <w:rStyle w:val="12"/>
              <w:rFonts w:ascii="Times New Roman" w:hAnsi="Times New Roman" w:cs="Times New Roman"/>
              <w:b/>
            </w:rPr>
            <w:t>Strengths</w:t>
          </w:r>
          <w:r>
            <w:tab/>
          </w:r>
          <w:r>
            <w:fldChar w:fldCharType="begin"/>
          </w:r>
          <w:r>
            <w:instrText xml:space="preserve"> PAGEREF _Toc121744934 \h </w:instrText>
          </w:r>
          <w:r>
            <w:fldChar w:fldCharType="separate"/>
          </w:r>
          <w:r>
            <w:t>11</w:t>
          </w:r>
          <w:r>
            <w:fldChar w:fldCharType="end"/>
          </w:r>
          <w:r>
            <w:fldChar w:fldCharType="end"/>
          </w:r>
        </w:p>
        <w:p>
          <w:pPr>
            <w:pStyle w:val="5"/>
            <w:tabs>
              <w:tab w:val="right" w:leader="dot" w:pos="9350"/>
            </w:tabs>
            <w:rPr>
              <w:rFonts w:eastAsiaTheme="minorEastAsia"/>
            </w:rPr>
          </w:pPr>
          <w:r>
            <w:fldChar w:fldCharType="begin"/>
          </w:r>
          <w:r>
            <w:instrText xml:space="preserve"> HYPERLINK \l "_Toc121744935" </w:instrText>
          </w:r>
          <w:r>
            <w:fldChar w:fldCharType="separate"/>
          </w:r>
          <w:r>
            <w:rPr>
              <w:rStyle w:val="12"/>
              <w:rFonts w:ascii="Times New Roman" w:hAnsi="Times New Roman" w:cs="Times New Roman"/>
              <w:b/>
            </w:rPr>
            <w:t>Weaknesses</w:t>
          </w:r>
          <w:r>
            <w:tab/>
          </w:r>
          <w:r>
            <w:fldChar w:fldCharType="begin"/>
          </w:r>
          <w:r>
            <w:instrText xml:space="preserve"> PAGEREF _Toc121744935 \h </w:instrText>
          </w:r>
          <w:r>
            <w:fldChar w:fldCharType="separate"/>
          </w:r>
          <w:r>
            <w:t>11</w:t>
          </w:r>
          <w:r>
            <w:fldChar w:fldCharType="end"/>
          </w:r>
          <w:r>
            <w:fldChar w:fldCharType="end"/>
          </w:r>
        </w:p>
        <w:p>
          <w:pPr>
            <w:pStyle w:val="5"/>
            <w:tabs>
              <w:tab w:val="right" w:leader="dot" w:pos="9350"/>
            </w:tabs>
            <w:rPr>
              <w:rFonts w:eastAsiaTheme="minorEastAsia"/>
            </w:rPr>
          </w:pPr>
          <w:r>
            <w:fldChar w:fldCharType="begin"/>
          </w:r>
          <w:r>
            <w:instrText xml:space="preserve"> HYPERLINK \l "_Toc121744936" </w:instrText>
          </w:r>
          <w:r>
            <w:fldChar w:fldCharType="separate"/>
          </w:r>
          <w:r>
            <w:rPr>
              <w:rStyle w:val="12"/>
              <w:rFonts w:ascii="Times New Roman" w:hAnsi="Times New Roman" w:cs="Times New Roman"/>
              <w:b/>
            </w:rPr>
            <w:t>Opportunities</w:t>
          </w:r>
          <w:r>
            <w:tab/>
          </w:r>
          <w:r>
            <w:fldChar w:fldCharType="begin"/>
          </w:r>
          <w:r>
            <w:instrText xml:space="preserve"> PAGEREF _Toc121744936 \h </w:instrText>
          </w:r>
          <w:r>
            <w:fldChar w:fldCharType="separate"/>
          </w:r>
          <w:r>
            <w:t>12</w:t>
          </w:r>
          <w:r>
            <w:fldChar w:fldCharType="end"/>
          </w:r>
          <w:r>
            <w:fldChar w:fldCharType="end"/>
          </w:r>
        </w:p>
        <w:p>
          <w:pPr>
            <w:pStyle w:val="5"/>
            <w:tabs>
              <w:tab w:val="right" w:leader="dot" w:pos="9350"/>
            </w:tabs>
            <w:rPr>
              <w:rFonts w:eastAsiaTheme="minorEastAsia"/>
            </w:rPr>
          </w:pPr>
          <w:r>
            <w:fldChar w:fldCharType="begin"/>
          </w:r>
          <w:r>
            <w:instrText xml:space="preserve"> HYPERLINK \l "_Toc121744937" </w:instrText>
          </w:r>
          <w:r>
            <w:fldChar w:fldCharType="separate"/>
          </w:r>
          <w:r>
            <w:rPr>
              <w:rStyle w:val="12"/>
              <w:rFonts w:ascii="Times New Roman" w:hAnsi="Times New Roman" w:cs="Times New Roman"/>
              <w:b/>
            </w:rPr>
            <w:t>Threats</w:t>
          </w:r>
          <w:r>
            <w:tab/>
          </w:r>
          <w:r>
            <w:fldChar w:fldCharType="begin"/>
          </w:r>
          <w:r>
            <w:instrText xml:space="preserve"> PAGEREF _Toc121744937 \h </w:instrText>
          </w:r>
          <w:r>
            <w:fldChar w:fldCharType="separate"/>
          </w:r>
          <w:r>
            <w:t>12</w:t>
          </w:r>
          <w:r>
            <w:fldChar w:fldCharType="end"/>
          </w:r>
          <w:r>
            <w:fldChar w:fldCharType="end"/>
          </w:r>
        </w:p>
        <w:p>
          <w:pPr>
            <w:pStyle w:val="8"/>
            <w:tabs>
              <w:tab w:val="right" w:leader="dot" w:pos="9350"/>
            </w:tabs>
            <w:rPr>
              <w:rFonts w:eastAsiaTheme="minorEastAsia"/>
            </w:rPr>
          </w:pPr>
          <w:r>
            <w:fldChar w:fldCharType="begin"/>
          </w:r>
          <w:r>
            <w:instrText xml:space="preserve"> HYPERLINK \l "_Toc121744938" </w:instrText>
          </w:r>
          <w:r>
            <w:fldChar w:fldCharType="separate"/>
          </w:r>
          <w:r>
            <w:rPr>
              <w:rStyle w:val="12"/>
              <w:rFonts w:ascii="Times New Roman" w:hAnsi="Times New Roman" w:cs="Times New Roman"/>
              <w:b/>
            </w:rPr>
            <w:t>Strategy Objectives &amp; Goals</w:t>
          </w:r>
          <w:r>
            <w:tab/>
          </w:r>
          <w:r>
            <w:fldChar w:fldCharType="begin"/>
          </w:r>
          <w:r>
            <w:instrText xml:space="preserve"> PAGEREF _Toc121744938 \h </w:instrText>
          </w:r>
          <w:r>
            <w:fldChar w:fldCharType="separate"/>
          </w:r>
          <w:r>
            <w:t>12</w:t>
          </w:r>
          <w:r>
            <w:fldChar w:fldCharType="end"/>
          </w:r>
          <w:r>
            <w:fldChar w:fldCharType="end"/>
          </w:r>
        </w:p>
        <w:p>
          <w:pPr>
            <w:pStyle w:val="9"/>
            <w:tabs>
              <w:tab w:val="right" w:leader="dot" w:pos="9350"/>
            </w:tabs>
            <w:rPr>
              <w:rFonts w:eastAsiaTheme="minorEastAsia"/>
            </w:rPr>
          </w:pPr>
          <w:r>
            <w:fldChar w:fldCharType="begin"/>
          </w:r>
          <w:r>
            <w:instrText xml:space="preserve"> HYPERLINK \l "_Toc121744939" </w:instrText>
          </w:r>
          <w:r>
            <w:fldChar w:fldCharType="separate"/>
          </w:r>
          <w:r>
            <w:rPr>
              <w:rStyle w:val="12"/>
              <w:rFonts w:ascii="Times New Roman" w:hAnsi="Times New Roman" w:cs="Times New Roman"/>
              <w:b/>
            </w:rPr>
            <w:t>Marketing Objectives</w:t>
          </w:r>
          <w:r>
            <w:tab/>
          </w:r>
          <w:r>
            <w:fldChar w:fldCharType="begin"/>
          </w:r>
          <w:r>
            <w:instrText xml:space="preserve"> PAGEREF _Toc121744939 \h </w:instrText>
          </w:r>
          <w:r>
            <w:fldChar w:fldCharType="separate"/>
          </w:r>
          <w:r>
            <w:t>12</w:t>
          </w:r>
          <w:r>
            <w:fldChar w:fldCharType="end"/>
          </w:r>
          <w:r>
            <w:fldChar w:fldCharType="end"/>
          </w:r>
        </w:p>
        <w:p>
          <w:pPr>
            <w:pStyle w:val="9"/>
            <w:tabs>
              <w:tab w:val="right" w:leader="dot" w:pos="9350"/>
            </w:tabs>
            <w:rPr>
              <w:rFonts w:eastAsiaTheme="minorEastAsia"/>
            </w:rPr>
          </w:pPr>
          <w:r>
            <w:fldChar w:fldCharType="begin"/>
          </w:r>
          <w:r>
            <w:instrText xml:space="preserve"> HYPERLINK \l "_Toc121744940" </w:instrText>
          </w:r>
          <w:r>
            <w:fldChar w:fldCharType="separate"/>
          </w:r>
          <w:r>
            <w:rPr>
              <w:rStyle w:val="12"/>
              <w:rFonts w:ascii="Times New Roman" w:hAnsi="Times New Roman" w:cs="Times New Roman"/>
              <w:b/>
            </w:rPr>
            <w:t>Financial Objectives</w:t>
          </w:r>
          <w:r>
            <w:tab/>
          </w:r>
          <w:r>
            <w:fldChar w:fldCharType="begin"/>
          </w:r>
          <w:r>
            <w:instrText xml:space="preserve"> PAGEREF _Toc121744940 \h </w:instrText>
          </w:r>
          <w:r>
            <w:fldChar w:fldCharType="separate"/>
          </w:r>
          <w:r>
            <w:t>13</w:t>
          </w:r>
          <w:r>
            <w:fldChar w:fldCharType="end"/>
          </w:r>
          <w:r>
            <w:fldChar w:fldCharType="end"/>
          </w:r>
        </w:p>
        <w:p>
          <w:pPr>
            <w:pStyle w:val="9"/>
            <w:tabs>
              <w:tab w:val="right" w:leader="dot" w:pos="9350"/>
            </w:tabs>
            <w:rPr>
              <w:rFonts w:eastAsiaTheme="minorEastAsia"/>
            </w:rPr>
          </w:pPr>
          <w:r>
            <w:fldChar w:fldCharType="begin"/>
          </w:r>
          <w:r>
            <w:instrText xml:space="preserve"> HYPERLINK \l "_Toc121744941" </w:instrText>
          </w:r>
          <w:r>
            <w:fldChar w:fldCharType="separate"/>
          </w:r>
          <w:r>
            <w:rPr>
              <w:rStyle w:val="12"/>
              <w:rFonts w:ascii="Times New Roman" w:hAnsi="Times New Roman" w:cs="Times New Roman"/>
              <w:b/>
            </w:rPr>
            <w:t>Strategies</w:t>
          </w:r>
          <w:r>
            <w:tab/>
          </w:r>
          <w:r>
            <w:fldChar w:fldCharType="begin"/>
          </w:r>
          <w:r>
            <w:instrText xml:space="preserve"> PAGEREF _Toc121744941 \h </w:instrText>
          </w:r>
          <w:r>
            <w:fldChar w:fldCharType="separate"/>
          </w:r>
          <w:r>
            <w:t>13</w:t>
          </w:r>
          <w:r>
            <w:fldChar w:fldCharType="end"/>
          </w:r>
          <w:r>
            <w:fldChar w:fldCharType="end"/>
          </w:r>
        </w:p>
        <w:p>
          <w:pPr>
            <w:pStyle w:val="5"/>
            <w:tabs>
              <w:tab w:val="right" w:leader="dot" w:pos="9350"/>
            </w:tabs>
            <w:rPr>
              <w:rFonts w:eastAsiaTheme="minorEastAsia"/>
            </w:rPr>
          </w:pPr>
          <w:r>
            <w:fldChar w:fldCharType="begin"/>
          </w:r>
          <w:r>
            <w:instrText xml:space="preserve"> HYPERLINK \l "_Toc121744942" </w:instrText>
          </w:r>
          <w:r>
            <w:fldChar w:fldCharType="separate"/>
          </w:r>
          <w:r>
            <w:rPr>
              <w:rStyle w:val="12"/>
              <w:rFonts w:ascii="Times New Roman" w:hAnsi="Times New Roman" w:cs="Times New Roman"/>
              <w:b/>
            </w:rPr>
            <w:t>Differentiation</w:t>
          </w:r>
          <w:r>
            <w:tab/>
          </w:r>
          <w:r>
            <w:fldChar w:fldCharType="begin"/>
          </w:r>
          <w:r>
            <w:instrText xml:space="preserve"> PAGEREF _Toc121744942 \h </w:instrText>
          </w:r>
          <w:r>
            <w:fldChar w:fldCharType="separate"/>
          </w:r>
          <w:r>
            <w:t>13</w:t>
          </w:r>
          <w:r>
            <w:fldChar w:fldCharType="end"/>
          </w:r>
          <w:r>
            <w:fldChar w:fldCharType="end"/>
          </w:r>
        </w:p>
        <w:p>
          <w:pPr>
            <w:pStyle w:val="5"/>
            <w:tabs>
              <w:tab w:val="right" w:leader="dot" w:pos="9350"/>
            </w:tabs>
            <w:rPr>
              <w:rFonts w:eastAsiaTheme="minorEastAsia"/>
            </w:rPr>
          </w:pPr>
          <w:r>
            <w:fldChar w:fldCharType="begin"/>
          </w:r>
          <w:r>
            <w:instrText xml:space="preserve"> HYPERLINK \l "_Toc121744943" </w:instrText>
          </w:r>
          <w:r>
            <w:fldChar w:fldCharType="separate"/>
          </w:r>
          <w:r>
            <w:rPr>
              <w:rStyle w:val="12"/>
              <w:rFonts w:ascii="Times New Roman" w:hAnsi="Times New Roman" w:cs="Times New Roman"/>
              <w:b/>
            </w:rPr>
            <w:t>Cost leadership</w:t>
          </w:r>
          <w:r>
            <w:tab/>
          </w:r>
          <w:r>
            <w:fldChar w:fldCharType="begin"/>
          </w:r>
          <w:r>
            <w:instrText xml:space="preserve"> PAGEREF _Toc121744943 \h </w:instrText>
          </w:r>
          <w:r>
            <w:fldChar w:fldCharType="separate"/>
          </w:r>
          <w:r>
            <w:t>14</w:t>
          </w:r>
          <w:r>
            <w:fldChar w:fldCharType="end"/>
          </w:r>
          <w:r>
            <w:fldChar w:fldCharType="end"/>
          </w:r>
        </w:p>
        <w:p>
          <w:pPr>
            <w:pStyle w:val="8"/>
            <w:tabs>
              <w:tab w:val="right" w:leader="dot" w:pos="9350"/>
            </w:tabs>
            <w:rPr>
              <w:rFonts w:eastAsiaTheme="minorEastAsia"/>
            </w:rPr>
          </w:pPr>
          <w:r>
            <w:fldChar w:fldCharType="begin"/>
          </w:r>
          <w:r>
            <w:instrText xml:space="preserve"> HYPERLINK \l "_Toc121744944" </w:instrText>
          </w:r>
          <w:r>
            <w:fldChar w:fldCharType="separate"/>
          </w:r>
          <w:r>
            <w:rPr>
              <w:rStyle w:val="12"/>
              <w:rFonts w:ascii="Times New Roman" w:hAnsi="Times New Roman" w:cs="Times New Roman"/>
              <w:b/>
            </w:rPr>
            <w:t>Evaluation of the Nestlé Roadmap to Good Food and Good Living Strategy</w:t>
          </w:r>
          <w:r>
            <w:tab/>
          </w:r>
          <w:r>
            <w:fldChar w:fldCharType="begin"/>
          </w:r>
          <w:r>
            <w:instrText xml:space="preserve"> PAGEREF _Toc121744944 \h </w:instrText>
          </w:r>
          <w:r>
            <w:fldChar w:fldCharType="separate"/>
          </w:r>
          <w:r>
            <w:t>14</w:t>
          </w:r>
          <w:r>
            <w:fldChar w:fldCharType="end"/>
          </w:r>
          <w:r>
            <w:fldChar w:fldCharType="end"/>
          </w:r>
        </w:p>
        <w:p>
          <w:pPr>
            <w:pStyle w:val="9"/>
            <w:tabs>
              <w:tab w:val="right" w:leader="dot" w:pos="9350"/>
            </w:tabs>
            <w:rPr>
              <w:rFonts w:eastAsiaTheme="minorEastAsia"/>
            </w:rPr>
          </w:pPr>
          <w:r>
            <w:fldChar w:fldCharType="begin"/>
          </w:r>
          <w:r>
            <w:instrText xml:space="preserve"> HYPERLINK \l "_Toc121744945" </w:instrText>
          </w:r>
          <w:r>
            <w:fldChar w:fldCharType="separate"/>
          </w:r>
          <w:r>
            <w:rPr>
              <w:rStyle w:val="12"/>
              <w:rFonts w:ascii="Times New Roman" w:hAnsi="Times New Roman" w:cs="Times New Roman"/>
              <w:b/>
            </w:rPr>
            <w:t>Sustainability of Competitive Advantage</w:t>
          </w:r>
          <w:r>
            <w:tab/>
          </w:r>
          <w:r>
            <w:fldChar w:fldCharType="begin"/>
          </w:r>
          <w:r>
            <w:instrText xml:space="preserve"> PAGEREF _Toc121744945 \h </w:instrText>
          </w:r>
          <w:r>
            <w:fldChar w:fldCharType="separate"/>
          </w:r>
          <w:r>
            <w:t>16</w:t>
          </w:r>
          <w:r>
            <w:fldChar w:fldCharType="end"/>
          </w:r>
          <w:r>
            <w:fldChar w:fldCharType="end"/>
          </w:r>
        </w:p>
        <w:p>
          <w:pPr>
            <w:pStyle w:val="8"/>
            <w:tabs>
              <w:tab w:val="right" w:leader="dot" w:pos="9350"/>
            </w:tabs>
            <w:rPr>
              <w:rFonts w:eastAsiaTheme="minorEastAsia"/>
            </w:rPr>
          </w:pPr>
          <w:r>
            <w:fldChar w:fldCharType="begin"/>
          </w:r>
          <w:r>
            <w:instrText xml:space="preserve"> HYPERLINK \l "_Toc121744946" </w:instrText>
          </w:r>
          <w:r>
            <w:fldChar w:fldCharType="separate"/>
          </w:r>
          <w:r>
            <w:rPr>
              <w:rStyle w:val="12"/>
              <w:rFonts w:ascii="Times New Roman" w:hAnsi="Times New Roman" w:cs="Times New Roman"/>
              <w:b/>
            </w:rPr>
            <w:t>Nestlé's strategic direction</w:t>
          </w:r>
          <w:r>
            <w:tab/>
          </w:r>
          <w:r>
            <w:fldChar w:fldCharType="begin"/>
          </w:r>
          <w:r>
            <w:instrText xml:space="preserve"> PAGEREF _Toc121744946 \h </w:instrText>
          </w:r>
          <w:r>
            <w:fldChar w:fldCharType="separate"/>
          </w:r>
          <w:r>
            <w:t>17</w:t>
          </w:r>
          <w:r>
            <w:fldChar w:fldCharType="end"/>
          </w:r>
          <w:r>
            <w:fldChar w:fldCharType="end"/>
          </w:r>
        </w:p>
        <w:p>
          <w:pPr>
            <w:pStyle w:val="8"/>
            <w:tabs>
              <w:tab w:val="right" w:leader="dot" w:pos="9350"/>
            </w:tabs>
            <w:rPr>
              <w:rFonts w:eastAsiaTheme="minorEastAsia"/>
            </w:rPr>
          </w:pPr>
          <w:r>
            <w:fldChar w:fldCharType="begin"/>
          </w:r>
          <w:r>
            <w:instrText xml:space="preserve"> HYPERLINK \l "_Toc121744947" </w:instrText>
          </w:r>
          <w:r>
            <w:fldChar w:fldCharType="separate"/>
          </w:r>
          <w:r>
            <w:rPr>
              <w:rStyle w:val="12"/>
              <w:rFonts w:ascii="Times New Roman" w:hAnsi="Times New Roman" w:cs="Times New Roman"/>
              <w:b/>
            </w:rPr>
            <w:t>Strategic Challenges Facing Nestle</w:t>
          </w:r>
          <w:r>
            <w:tab/>
          </w:r>
          <w:r>
            <w:fldChar w:fldCharType="begin"/>
          </w:r>
          <w:r>
            <w:instrText xml:space="preserve"> PAGEREF _Toc121744947 \h </w:instrText>
          </w:r>
          <w:r>
            <w:fldChar w:fldCharType="separate"/>
          </w:r>
          <w:r>
            <w:t>18</w:t>
          </w:r>
          <w:r>
            <w:fldChar w:fldCharType="end"/>
          </w:r>
          <w:r>
            <w:fldChar w:fldCharType="end"/>
          </w:r>
        </w:p>
        <w:p>
          <w:pPr>
            <w:pStyle w:val="8"/>
            <w:tabs>
              <w:tab w:val="right" w:leader="dot" w:pos="9350"/>
            </w:tabs>
            <w:rPr>
              <w:rFonts w:eastAsiaTheme="minorEastAsia"/>
            </w:rPr>
          </w:pPr>
          <w:r>
            <w:fldChar w:fldCharType="begin"/>
          </w:r>
          <w:r>
            <w:instrText xml:space="preserve"> HYPERLINK \l "_Toc121744948" </w:instrText>
          </w:r>
          <w:r>
            <w:fldChar w:fldCharType="separate"/>
          </w:r>
          <w:r>
            <w:rPr>
              <w:rStyle w:val="12"/>
              <w:rFonts w:ascii="Times New Roman" w:hAnsi="Times New Roman" w:cs="Times New Roman"/>
              <w:b/>
            </w:rPr>
            <w:t>Conclusion</w:t>
          </w:r>
          <w:r>
            <w:tab/>
          </w:r>
          <w:r>
            <w:fldChar w:fldCharType="begin"/>
          </w:r>
          <w:r>
            <w:instrText xml:space="preserve"> PAGEREF _Toc121744948 \h </w:instrText>
          </w:r>
          <w:r>
            <w:fldChar w:fldCharType="separate"/>
          </w:r>
          <w:r>
            <w:t>19</w:t>
          </w:r>
          <w:r>
            <w:fldChar w:fldCharType="end"/>
          </w:r>
          <w:r>
            <w:fldChar w:fldCharType="end"/>
          </w:r>
        </w:p>
        <w:p>
          <w:pPr>
            <w:pStyle w:val="8"/>
            <w:tabs>
              <w:tab w:val="right" w:leader="dot" w:pos="9350"/>
            </w:tabs>
            <w:rPr>
              <w:rFonts w:eastAsiaTheme="minorEastAsia"/>
            </w:rPr>
          </w:pPr>
          <w:r>
            <w:fldChar w:fldCharType="begin"/>
          </w:r>
          <w:r>
            <w:instrText xml:space="preserve"> HYPERLINK \l "_Toc121744949" </w:instrText>
          </w:r>
          <w:r>
            <w:fldChar w:fldCharType="separate"/>
          </w:r>
          <w:r>
            <w:rPr>
              <w:rStyle w:val="12"/>
              <w:rFonts w:ascii="Times New Roman" w:hAnsi="Times New Roman" w:cs="Times New Roman"/>
              <w:b/>
            </w:rPr>
            <w:t>Recommendations</w:t>
          </w:r>
          <w:r>
            <w:tab/>
          </w:r>
          <w:r>
            <w:fldChar w:fldCharType="begin"/>
          </w:r>
          <w:r>
            <w:instrText xml:space="preserve"> PAGEREF _Toc121744949 \h </w:instrText>
          </w:r>
          <w:r>
            <w:fldChar w:fldCharType="separate"/>
          </w:r>
          <w:r>
            <w:t>19</w:t>
          </w:r>
          <w:r>
            <w:fldChar w:fldCharType="end"/>
          </w:r>
          <w:r>
            <w:fldChar w:fldCharType="end"/>
          </w:r>
        </w:p>
        <w:p>
          <w:pPr>
            <w:pStyle w:val="9"/>
            <w:tabs>
              <w:tab w:val="right" w:leader="dot" w:pos="9350"/>
            </w:tabs>
            <w:rPr>
              <w:rFonts w:eastAsiaTheme="minorEastAsia"/>
            </w:rPr>
          </w:pPr>
          <w:r>
            <w:fldChar w:fldCharType="begin"/>
          </w:r>
          <w:r>
            <w:instrText xml:space="preserve"> HYPERLINK \l "_Toc121744950" </w:instrText>
          </w:r>
          <w:r>
            <w:fldChar w:fldCharType="separate"/>
          </w:r>
          <w:r>
            <w:rPr>
              <w:rStyle w:val="12"/>
              <w:rFonts w:ascii="Times New Roman" w:hAnsi="Times New Roman" w:cs="Times New Roman"/>
              <w:b/>
            </w:rPr>
            <w:t>Providing creative customer service</w:t>
          </w:r>
          <w:r>
            <w:tab/>
          </w:r>
          <w:r>
            <w:fldChar w:fldCharType="begin"/>
          </w:r>
          <w:r>
            <w:instrText xml:space="preserve"> PAGEREF _Toc121744950 \h </w:instrText>
          </w:r>
          <w:r>
            <w:fldChar w:fldCharType="separate"/>
          </w:r>
          <w:r>
            <w:t>21</w:t>
          </w:r>
          <w:r>
            <w:fldChar w:fldCharType="end"/>
          </w:r>
          <w:r>
            <w:fldChar w:fldCharType="end"/>
          </w:r>
        </w:p>
        <w:p>
          <w:pPr>
            <w:pStyle w:val="8"/>
            <w:tabs>
              <w:tab w:val="right" w:leader="dot" w:pos="9350"/>
            </w:tabs>
            <w:rPr>
              <w:rFonts w:eastAsiaTheme="minorEastAsia"/>
            </w:rPr>
          </w:pPr>
          <w:r>
            <w:fldChar w:fldCharType="begin"/>
          </w:r>
          <w:r>
            <w:instrText xml:space="preserve"> HYPERLINK \l "_Toc121744951" </w:instrText>
          </w:r>
          <w:r>
            <w:fldChar w:fldCharType="separate"/>
          </w:r>
          <w:r>
            <w:rPr>
              <w:rStyle w:val="12"/>
              <w:rFonts w:ascii="Times New Roman" w:hAnsi="Times New Roman" w:cs="Times New Roman"/>
              <w:b/>
            </w:rPr>
            <w:t>References</w:t>
          </w:r>
          <w:r>
            <w:tab/>
          </w:r>
          <w:r>
            <w:fldChar w:fldCharType="begin"/>
          </w:r>
          <w:r>
            <w:instrText xml:space="preserve"> PAGEREF _Toc121744951 \h </w:instrText>
          </w:r>
          <w:r>
            <w:fldChar w:fldCharType="separate"/>
          </w:r>
          <w:r>
            <w:t>24</w:t>
          </w:r>
          <w:r>
            <w:fldChar w:fldCharType="end"/>
          </w:r>
          <w:r>
            <w:fldChar w:fldCharType="end"/>
          </w:r>
        </w:p>
        <w:p>
          <w:r>
            <w:rPr>
              <w:b/>
              <w:bCs/>
            </w:rPr>
            <w:fldChar w:fldCharType="end"/>
          </w:r>
        </w:p>
      </w:sdtContent>
    </w:sdt>
    <w:p>
      <w:pPr>
        <w:pStyle w:val="2"/>
        <w:spacing w:before="0" w:line="480" w:lineRule="auto"/>
        <w:jc w:val="both"/>
        <w:rPr>
          <w:rFonts w:ascii="Times New Roman" w:hAnsi="Times New Roman" w:cs="Times New Roman" w:eastAsiaTheme="minorHAnsi"/>
          <w:color w:val="auto"/>
          <w:sz w:val="24"/>
          <w:szCs w:val="24"/>
        </w:rPr>
      </w:pPr>
    </w:p>
    <w:p/>
    <w:p/>
    <w:p/>
    <w:p/>
    <w:p/>
    <w:p/>
    <w:p/>
    <w:p/>
    <w:p/>
    <w:p/>
    <w:p/>
    <w:p/>
    <w:p/>
    <w:p/>
    <w:p/>
    <w:p/>
    <w:p/>
    <w:p/>
    <w:p/>
    <w:p/>
    <w:p/>
    <w:p/>
    <w:p>
      <w:pPr>
        <w:pStyle w:val="2"/>
        <w:spacing w:before="0" w:line="480" w:lineRule="auto"/>
        <w:jc w:val="both"/>
        <w:rPr>
          <w:rFonts w:ascii="Times New Roman" w:hAnsi="Times New Roman" w:cs="Times New Roman"/>
          <w:b/>
          <w:color w:val="auto"/>
          <w:sz w:val="28"/>
          <w:szCs w:val="28"/>
        </w:rPr>
      </w:pPr>
      <w:bookmarkStart w:id="0" w:name="_Toc121744915"/>
      <w:r>
        <w:rPr>
          <w:rFonts w:ascii="Times New Roman" w:hAnsi="Times New Roman" w:cs="Times New Roman"/>
          <w:b/>
          <w:color w:val="auto"/>
          <w:sz w:val="28"/>
          <w:szCs w:val="28"/>
        </w:rPr>
        <w:t>Executive summary</w:t>
      </w:r>
      <w:bookmarkEnd w:id="0"/>
      <w:r>
        <w:rPr>
          <w:rFonts w:ascii="Times New Roman" w:hAnsi="Times New Roman" w:cs="Times New Roman"/>
          <w:b/>
          <w:color w:val="auto"/>
          <w:sz w:val="28"/>
          <w:szCs w:val="28"/>
        </w:rPr>
        <w:t xml:space="preserve"> </w:t>
      </w:r>
    </w:p>
    <w:p>
      <w:pPr>
        <w:spacing w:after="0" w:line="480" w:lineRule="auto"/>
        <w:ind w:firstLine="480" w:firstLineChars="200"/>
        <w:jc w:val="both"/>
        <w:rPr>
          <w:rFonts w:ascii="Times New Roman" w:hAnsi="Times New Roman" w:cs="Times New Roman"/>
          <w:sz w:val="24"/>
          <w:szCs w:val="24"/>
        </w:rPr>
      </w:pPr>
      <w:r>
        <w:rPr>
          <w:rFonts w:ascii="Times New Roman" w:hAnsi="Times New Roman" w:cs="Times New Roman"/>
          <w:sz w:val="24"/>
          <w:szCs w:val="24"/>
        </w:rPr>
        <w:t>This research has been compiled to analyze Nestle's strategy and grasp how the corporation develops strategic intent for its business organizations by looking at its external and internal business environments. This paper will examine how one company used strategic management to become more competitive and increase profitability. Here, it will go through the strategy creation process, which involves both the company and corporate levels of planning. It also seeks to determine how best to use the company's resources, talents, and core competencies inside its internal environment to take advantage of opportunities and defend against threats in the external environment. Many other analyses, like PEST, Porter's 5, and SWOT, have been performed to bolster this Nestle project. After this project, It will have said some things regarding Nestle's future strategy and suggestions for how they should position themselves strategically to perform better in the business sector.</w:t>
      </w:r>
    </w:p>
    <w:p>
      <w:pPr>
        <w:spacing w:after="0" w:line="480" w:lineRule="auto"/>
        <w:jc w:val="both"/>
        <w:rPr>
          <w:rFonts w:ascii="Times New Roman" w:hAnsi="Times New Roman" w:cs="Times New Roman"/>
          <w:sz w:val="24"/>
          <w:szCs w:val="24"/>
        </w:rPr>
      </w:pPr>
    </w:p>
    <w:p>
      <w:pPr>
        <w:spacing w:after="0" w:line="480" w:lineRule="auto"/>
        <w:jc w:val="both"/>
        <w:rPr>
          <w:rFonts w:ascii="Times New Roman" w:hAnsi="Times New Roman" w:cs="Times New Roman"/>
          <w:sz w:val="24"/>
          <w:szCs w:val="24"/>
        </w:rPr>
      </w:pPr>
    </w:p>
    <w:p>
      <w:pPr>
        <w:spacing w:after="0" w:line="480" w:lineRule="auto"/>
        <w:jc w:val="both"/>
        <w:rPr>
          <w:rFonts w:ascii="Times New Roman" w:hAnsi="Times New Roman" w:cs="Times New Roman"/>
          <w:sz w:val="24"/>
          <w:szCs w:val="24"/>
        </w:rPr>
      </w:pPr>
    </w:p>
    <w:p>
      <w:pPr>
        <w:spacing w:after="0" w:line="480" w:lineRule="auto"/>
        <w:jc w:val="both"/>
        <w:rPr>
          <w:rFonts w:ascii="Times New Roman" w:hAnsi="Times New Roman" w:cs="Times New Roman"/>
          <w:sz w:val="24"/>
          <w:szCs w:val="24"/>
        </w:rPr>
      </w:pPr>
    </w:p>
    <w:p>
      <w:pPr>
        <w:spacing w:after="0" w:line="480" w:lineRule="auto"/>
        <w:jc w:val="both"/>
        <w:rPr>
          <w:rFonts w:ascii="Times New Roman" w:hAnsi="Times New Roman" w:cs="Times New Roman"/>
          <w:sz w:val="24"/>
          <w:szCs w:val="24"/>
        </w:rPr>
      </w:pPr>
    </w:p>
    <w:p>
      <w:pPr>
        <w:spacing w:after="0" w:line="480" w:lineRule="auto"/>
        <w:jc w:val="both"/>
        <w:rPr>
          <w:rFonts w:ascii="Times New Roman" w:hAnsi="Times New Roman" w:cs="Times New Roman"/>
          <w:sz w:val="24"/>
          <w:szCs w:val="24"/>
        </w:rPr>
      </w:pPr>
    </w:p>
    <w:p>
      <w:pPr>
        <w:spacing w:after="0" w:line="480" w:lineRule="auto"/>
        <w:jc w:val="both"/>
        <w:rPr>
          <w:rFonts w:ascii="Times New Roman" w:hAnsi="Times New Roman" w:cs="Times New Roman"/>
          <w:sz w:val="24"/>
          <w:szCs w:val="24"/>
        </w:rPr>
      </w:pPr>
    </w:p>
    <w:p>
      <w:pPr>
        <w:spacing w:after="0" w:line="480" w:lineRule="auto"/>
        <w:jc w:val="both"/>
        <w:rPr>
          <w:rFonts w:ascii="Times New Roman" w:hAnsi="Times New Roman" w:cs="Times New Roman"/>
          <w:sz w:val="24"/>
          <w:szCs w:val="24"/>
        </w:rPr>
      </w:pPr>
    </w:p>
    <w:p>
      <w:pPr>
        <w:spacing w:after="0" w:line="480" w:lineRule="auto"/>
        <w:jc w:val="both"/>
        <w:rPr>
          <w:rFonts w:ascii="Times New Roman" w:hAnsi="Times New Roman" w:cs="Times New Roman"/>
          <w:sz w:val="24"/>
          <w:szCs w:val="24"/>
        </w:rPr>
      </w:pPr>
    </w:p>
    <w:p>
      <w:pPr>
        <w:spacing w:after="0" w:line="480" w:lineRule="auto"/>
        <w:jc w:val="both"/>
        <w:rPr>
          <w:rFonts w:ascii="Times New Roman" w:hAnsi="Times New Roman" w:cs="Times New Roman"/>
          <w:sz w:val="24"/>
          <w:szCs w:val="24"/>
        </w:rPr>
      </w:pPr>
    </w:p>
    <w:p>
      <w:pPr>
        <w:spacing w:after="0" w:line="480" w:lineRule="auto"/>
        <w:jc w:val="both"/>
        <w:rPr>
          <w:rFonts w:ascii="Times New Roman" w:hAnsi="Times New Roman" w:cs="Times New Roman"/>
          <w:sz w:val="24"/>
          <w:szCs w:val="24"/>
        </w:rPr>
      </w:pPr>
    </w:p>
    <w:p>
      <w:pPr>
        <w:pStyle w:val="2"/>
        <w:spacing w:before="0" w:line="480" w:lineRule="auto"/>
        <w:jc w:val="both"/>
        <w:rPr>
          <w:rFonts w:ascii="Times New Roman" w:hAnsi="Times New Roman" w:cs="Times New Roman"/>
          <w:b/>
          <w:sz w:val="28"/>
          <w:szCs w:val="28"/>
        </w:rPr>
      </w:pPr>
      <w:bookmarkStart w:id="1" w:name="_Toc121744916"/>
      <w:r>
        <w:rPr>
          <w:rFonts w:ascii="Times New Roman" w:hAnsi="Times New Roman" w:cs="Times New Roman"/>
          <w:b/>
          <w:color w:val="auto"/>
          <w:sz w:val="28"/>
          <w:szCs w:val="28"/>
        </w:rPr>
        <w:t>Introduction</w:t>
      </w:r>
      <w:bookmarkEnd w:id="1"/>
      <w:r>
        <w:rPr>
          <w:rFonts w:ascii="Times New Roman" w:hAnsi="Times New Roman" w:cs="Times New Roman"/>
          <w:b/>
          <w:sz w:val="28"/>
          <w:szCs w:val="28"/>
        </w:rPr>
        <w:t xml:space="preserve"> </w:t>
      </w:r>
    </w:p>
    <w:p>
      <w:pPr>
        <w:spacing w:after="0" w:line="480" w:lineRule="auto"/>
        <w:ind w:firstLine="480" w:firstLineChars="200"/>
        <w:jc w:val="both"/>
        <w:rPr>
          <w:rFonts w:ascii="Times New Roman" w:hAnsi="Times New Roman" w:cs="Times New Roman"/>
          <w:sz w:val="24"/>
          <w:szCs w:val="24"/>
        </w:rPr>
      </w:pPr>
      <w:r>
        <w:rPr>
          <w:rFonts w:ascii="Times New Roman" w:hAnsi="Times New Roman" w:cs="Times New Roman"/>
          <w:sz w:val="24"/>
          <w:szCs w:val="24"/>
        </w:rPr>
        <w:t xml:space="preserve">According to Wiraeus and Creelman (2019), strategic management can generate a stable bottom line in a market where technological innovation constantly disrupts workplaces. Decisions in business need to be made quickly, but only by leaders with a firm grip on their company's goods and services and a thorough understanding of what their big rivals will do next. What this also means is that they can anticipate future possibilities and threats. Knowing the state of the world, the market, and the expectations of key stakeholders are essential for crafting a long-term plan of action (Rajhans, 2018). When a company has defined its goals, it can distribute its resources effectively. Wheelen et al. (2017) state that organizations can improve their long-term competitive position via strategic decision-making and dedicated strategic planning. Strategic management may increase morale in the company and bring other benefits beyond financial ones. Setting practical employee goals and integrating them into organizational objectives will improve overall performance. </w:t>
      </w:r>
    </w:p>
    <w:p>
      <w:pPr>
        <w:pStyle w:val="3"/>
        <w:spacing w:before="0" w:line="480" w:lineRule="auto"/>
        <w:jc w:val="both"/>
        <w:rPr>
          <w:rFonts w:ascii="Times New Roman" w:hAnsi="Times New Roman" w:cs="Times New Roman"/>
          <w:b/>
          <w:color w:val="auto"/>
          <w:sz w:val="28"/>
          <w:szCs w:val="28"/>
        </w:rPr>
      </w:pPr>
      <w:bookmarkStart w:id="2" w:name="_Toc121744917"/>
      <w:r>
        <w:rPr>
          <w:rFonts w:ascii="Times New Roman" w:hAnsi="Times New Roman" w:cs="Times New Roman"/>
          <w:b/>
          <w:color w:val="auto"/>
          <w:sz w:val="28"/>
          <w:szCs w:val="28"/>
        </w:rPr>
        <w:t>Company Overview</w:t>
      </w:r>
      <w:bookmarkEnd w:id="2"/>
    </w:p>
    <w:p>
      <w:pPr>
        <w:spacing w:after="0" w:line="480" w:lineRule="auto"/>
        <w:ind w:firstLine="480" w:firstLineChars="200"/>
        <w:jc w:val="both"/>
        <w:rPr>
          <w:rFonts w:ascii="Times New Roman" w:hAnsi="Times New Roman" w:cs="Times New Roman"/>
          <w:sz w:val="24"/>
          <w:szCs w:val="24"/>
        </w:rPr>
      </w:pPr>
      <w:r>
        <w:rPr>
          <w:rFonts w:ascii="Times New Roman" w:hAnsi="Times New Roman" w:cs="Times New Roman"/>
          <w:sz w:val="24"/>
          <w:szCs w:val="24"/>
        </w:rPr>
        <w:t>Bentley (2014) shows that Swiss chemist Henry Nestlé started the company that bears his name so that he could create the first commercially available milk meal for newborns. The goal of the milk food industry was to reduce newborn mortality rates caused by malnutrition. As a result of the product's rapid success in the European market, the company's core beliefs and principles now reflect the legacy of shared values they've established. Starting from a small but loyal base, the firm aspires to become the industry standard in nutrition, health, and well-being (Abhishek, 2020). Nestlé, headquartered in Switzerland, operates in over 150 countries, with over 465 plants and approximately 339000 employees worldwide. Nestlé's history teaches us that establishing a sustainable competitive edge takes a long time. Nestlé has become an industry powerhouse thanks to its exceptional R&amp;D, product value chain, efficient entrepreneurship, extensive geographical presence, substantial corporate values, and fantastic people working together to achieve them (Meadows, 2021).</w:t>
      </w:r>
    </w:p>
    <w:p>
      <w:pPr>
        <w:pStyle w:val="4"/>
        <w:spacing w:before="0" w:line="480" w:lineRule="auto"/>
        <w:jc w:val="both"/>
        <w:rPr>
          <w:rFonts w:ascii="Times New Roman" w:hAnsi="Times New Roman" w:cs="Times New Roman"/>
          <w:b/>
          <w:color w:val="auto"/>
          <w:sz w:val="28"/>
          <w:szCs w:val="28"/>
        </w:rPr>
      </w:pPr>
      <w:bookmarkStart w:id="3" w:name="_Toc121744918"/>
      <w:r>
        <w:rPr>
          <w:rFonts w:ascii="Times New Roman" w:hAnsi="Times New Roman" w:cs="Times New Roman"/>
          <w:b/>
          <w:color w:val="auto"/>
          <w:sz w:val="28"/>
          <w:szCs w:val="28"/>
        </w:rPr>
        <w:t>Mission</w:t>
      </w:r>
      <w:bookmarkEnd w:id="3"/>
      <w:r>
        <w:rPr>
          <w:rFonts w:ascii="Times New Roman" w:hAnsi="Times New Roman" w:cs="Times New Roman"/>
          <w:b/>
          <w:color w:val="auto"/>
          <w:sz w:val="28"/>
          <w:szCs w:val="28"/>
        </w:rPr>
        <w:t xml:space="preserve"> </w:t>
      </w:r>
    </w:p>
    <w:p>
      <w:pPr>
        <w:spacing w:after="0" w:line="480" w:lineRule="auto"/>
        <w:ind w:firstLine="480" w:firstLineChars="200"/>
        <w:jc w:val="both"/>
        <w:rPr>
          <w:rFonts w:ascii="Times New Roman" w:hAnsi="Times New Roman" w:cs="Times New Roman"/>
          <w:sz w:val="24"/>
          <w:szCs w:val="24"/>
        </w:rPr>
      </w:pPr>
      <w:r>
        <w:rPr>
          <w:rFonts w:ascii="Times New Roman" w:hAnsi="Times New Roman" w:cs="Times New Roman"/>
          <w:sz w:val="24"/>
          <w:szCs w:val="24"/>
        </w:rPr>
        <w:t>Nestlé's mission is to improve people's quality of life via better food, and they think this can be accomplished through scientific inquiry. Nestlé is committed to offering a wide variety of food and drink products to meet the evolving needs of its customers, regardless of their dietary restrictions or personal preferences. Nestlé places a premium on research in both their past and future. Good Food for Good Life is committed to the idea that there is still much to learn about health, well-being, and the role food plays in our lives, and they are constantly on the lookout for new information (Grebe, 2019).</w:t>
      </w:r>
    </w:p>
    <w:p>
      <w:pPr>
        <w:pStyle w:val="4"/>
        <w:spacing w:before="0" w:line="480" w:lineRule="auto"/>
        <w:jc w:val="both"/>
        <w:rPr>
          <w:rFonts w:ascii="Times New Roman" w:hAnsi="Times New Roman" w:cs="Times New Roman"/>
          <w:b/>
          <w:color w:val="auto"/>
          <w:sz w:val="28"/>
          <w:szCs w:val="28"/>
        </w:rPr>
      </w:pPr>
      <w:bookmarkStart w:id="4" w:name="_Toc121744919"/>
      <w:r>
        <w:rPr>
          <w:rFonts w:ascii="Times New Roman" w:hAnsi="Times New Roman" w:cs="Times New Roman"/>
          <w:b/>
          <w:color w:val="auto"/>
          <w:sz w:val="28"/>
          <w:szCs w:val="28"/>
        </w:rPr>
        <w:t>Vision</w:t>
      </w:r>
      <w:bookmarkEnd w:id="4"/>
    </w:p>
    <w:p>
      <w:pPr>
        <w:spacing w:after="0" w:line="480" w:lineRule="auto"/>
        <w:ind w:firstLine="480" w:firstLineChars="200"/>
        <w:jc w:val="both"/>
        <w:rPr>
          <w:rFonts w:ascii="Times New Roman" w:hAnsi="Times New Roman" w:cs="Times New Roman"/>
          <w:sz w:val="24"/>
          <w:szCs w:val="24"/>
        </w:rPr>
      </w:pPr>
      <w:r>
        <w:rPr>
          <w:rFonts w:ascii="Times New Roman" w:hAnsi="Times New Roman" w:cs="Times New Roman"/>
          <w:sz w:val="24"/>
          <w:szCs w:val="24"/>
        </w:rPr>
        <w:t>Marketing and selling food of constantly high quality is central to Nestlé's mission to satisfy the demands of a wide range of consumers daily (Aqila et al. 2022). To maintain good health throughout one's life, one must eat well. They work hard to ensure that the food available to customers is healthy, wholesome, and safe. Nestlé goods provide consumers with the essential components of flavor and enjoyment in addition to nutrition, health, and wellness. Consumers trust their products because they know Nestle's firm has been around for quite some time and because the organization has an extensive experience in marketing, R&amp;D, and product continuity. The goals are to provide the highest possible quality, from raw materials through supplier selection and transportation to finished products like recipes and packaging.</w:t>
      </w:r>
    </w:p>
    <w:p>
      <w:pPr>
        <w:spacing w:after="0" w:line="480" w:lineRule="auto"/>
        <w:ind w:firstLine="480" w:firstLineChars="200"/>
        <w:jc w:val="both"/>
        <w:rPr>
          <w:rFonts w:ascii="Times New Roman" w:hAnsi="Times New Roman" w:cs="Times New Roman"/>
          <w:sz w:val="24"/>
          <w:szCs w:val="24"/>
        </w:rPr>
      </w:pPr>
      <w:r>
        <w:rPr>
          <w:rFonts w:ascii="Times New Roman" w:hAnsi="Times New Roman" w:cs="Times New Roman"/>
          <w:sz w:val="24"/>
          <w:szCs w:val="24"/>
        </w:rPr>
        <w:t>Graham (2019) notes that knowing how well one's rivals are doing in the market is crucial for every firm. Profitability and above-average revenues are crucial for the company's stakeholders. This research paper will delve further into Nestlé's external environment by discussing the company's general environment, industry environment, and competitive environment, and a scan of the firm's possibilities and risks. Also included are the company's internal factors, such as the resources at its disposal, the kind of resources they have, the extent to which it can leverage those resources, the capabilities of the business, an analysis of the company's key strengths, and so on.</w:t>
      </w:r>
    </w:p>
    <w:p>
      <w:pPr>
        <w:pStyle w:val="2"/>
        <w:spacing w:before="0" w:line="480" w:lineRule="auto"/>
        <w:jc w:val="both"/>
        <w:rPr>
          <w:rFonts w:ascii="Times New Roman" w:hAnsi="Times New Roman" w:cs="Times New Roman"/>
          <w:b/>
          <w:color w:val="auto"/>
          <w:sz w:val="28"/>
          <w:szCs w:val="28"/>
        </w:rPr>
      </w:pPr>
      <w:bookmarkStart w:id="5" w:name="_Toc121744920"/>
      <w:r>
        <w:rPr>
          <w:rFonts w:ascii="Times New Roman" w:hAnsi="Times New Roman" w:cs="Times New Roman"/>
          <w:b/>
          <w:color w:val="auto"/>
          <w:sz w:val="28"/>
          <w:szCs w:val="28"/>
        </w:rPr>
        <w:t>Macro Environmental Analysis</w:t>
      </w:r>
      <w:bookmarkEnd w:id="5"/>
    </w:p>
    <w:p>
      <w:pPr>
        <w:pStyle w:val="3"/>
        <w:spacing w:before="0" w:line="480" w:lineRule="auto"/>
        <w:jc w:val="both"/>
        <w:rPr>
          <w:rFonts w:ascii="Times New Roman" w:hAnsi="Times New Roman" w:cs="Times New Roman"/>
          <w:b/>
          <w:color w:val="auto"/>
          <w:sz w:val="28"/>
          <w:szCs w:val="28"/>
        </w:rPr>
      </w:pPr>
      <w:bookmarkStart w:id="6" w:name="_Toc121744921"/>
      <w:r>
        <w:rPr>
          <w:rFonts w:ascii="Times New Roman" w:hAnsi="Times New Roman" w:cs="Times New Roman"/>
          <w:b/>
          <w:color w:val="auto"/>
          <w:sz w:val="28"/>
          <w:szCs w:val="28"/>
        </w:rPr>
        <w:t>PEST analysis</w:t>
      </w:r>
      <w:bookmarkEnd w:id="6"/>
    </w:p>
    <w:p>
      <w:pPr>
        <w:pStyle w:val="4"/>
        <w:spacing w:before="0" w:line="480" w:lineRule="auto"/>
        <w:jc w:val="both"/>
        <w:rPr>
          <w:rFonts w:ascii="Times New Roman" w:hAnsi="Times New Roman" w:cs="Times New Roman"/>
          <w:b/>
          <w:color w:val="auto"/>
          <w:sz w:val="28"/>
          <w:szCs w:val="28"/>
        </w:rPr>
      </w:pPr>
      <w:bookmarkStart w:id="7" w:name="_Toc121744922"/>
      <w:r>
        <w:rPr>
          <w:rFonts w:ascii="Times New Roman" w:hAnsi="Times New Roman" w:cs="Times New Roman"/>
          <w:b/>
          <w:color w:val="auto"/>
          <w:sz w:val="28"/>
          <w:szCs w:val="28"/>
        </w:rPr>
        <w:t>Political</w:t>
      </w:r>
      <w:bookmarkEnd w:id="7"/>
    </w:p>
    <w:p>
      <w:pPr>
        <w:spacing w:after="0" w:line="480" w:lineRule="auto"/>
        <w:ind w:firstLine="480" w:firstLineChars="200"/>
        <w:jc w:val="both"/>
        <w:rPr>
          <w:rFonts w:ascii="Times New Roman" w:hAnsi="Times New Roman" w:cs="Times New Roman"/>
          <w:sz w:val="24"/>
          <w:szCs w:val="24"/>
        </w:rPr>
      </w:pPr>
      <w:r>
        <w:rPr>
          <w:rFonts w:ascii="Times New Roman" w:hAnsi="Times New Roman" w:cs="Times New Roman"/>
          <w:sz w:val="24"/>
          <w:szCs w:val="24"/>
        </w:rPr>
        <w:t>The food business is susceptible to political concerns. In turn, this impacts the company's ability to implement its policy and make ends meet. Nestlé offers food assurance to reassure buyers that their goods are produced, imported, and delivered in a sanitary environment. On top of that, Nestlé's products are guaranteed and always come with the company's stamp of promise, so customers know they aren't getting duped (Dadush, 2018). The addition of the seal of assurance has bolstered customers' faith in and reliance on Nestlé goods. In addition to the political element, strict quality control was also important. This ensures that the quality of Nestlé's goods in one country is consistent with that in another. Global consumers are assured of complete satisfaction with the items.</w:t>
      </w:r>
    </w:p>
    <w:p>
      <w:pPr>
        <w:pStyle w:val="4"/>
        <w:spacing w:before="0" w:line="480" w:lineRule="auto"/>
        <w:jc w:val="both"/>
        <w:rPr>
          <w:rFonts w:ascii="Times New Roman" w:hAnsi="Times New Roman" w:cs="Times New Roman"/>
          <w:b/>
          <w:color w:val="auto"/>
          <w:sz w:val="28"/>
          <w:szCs w:val="28"/>
        </w:rPr>
      </w:pPr>
      <w:bookmarkStart w:id="8" w:name="_Toc121744923"/>
      <w:r>
        <w:rPr>
          <w:rFonts w:ascii="Times New Roman" w:hAnsi="Times New Roman" w:cs="Times New Roman"/>
          <w:b/>
          <w:color w:val="auto"/>
          <w:sz w:val="28"/>
          <w:szCs w:val="28"/>
        </w:rPr>
        <w:t>Economic</w:t>
      </w:r>
      <w:bookmarkEnd w:id="8"/>
    </w:p>
    <w:p>
      <w:pPr>
        <w:spacing w:after="0" w:line="480" w:lineRule="auto"/>
        <w:ind w:firstLine="480" w:firstLineChars="200"/>
        <w:jc w:val="both"/>
        <w:rPr>
          <w:rFonts w:ascii="Times New Roman" w:hAnsi="Times New Roman" w:cs="Times New Roman"/>
          <w:sz w:val="24"/>
          <w:szCs w:val="24"/>
        </w:rPr>
      </w:pPr>
      <w:r>
        <w:rPr>
          <w:rFonts w:ascii="Times New Roman" w:hAnsi="Times New Roman" w:cs="Times New Roman"/>
          <w:sz w:val="24"/>
          <w:szCs w:val="24"/>
        </w:rPr>
        <w:t>Despite its dominant position in the food sector, Nestlé helps out smaller businesses by sharing its knowledge and skills. As a result, businesses will be better able to compete in the expanded free trade zone, which is good for business and the economy. Also, Nestlé works with the government to help farmers with things like crop planning and harvesting by providing them with expert advice and resources (Koestler and Gertsch, 2017). The farmer will earn money, and Nestlé can stock up on high-quality, recently harvested ingredients. Nestlé could save a ton of money by not having to import raw materials from other countries if it had its local factories set up. Consumers will also reap benefits since they can purchase locally-made goods at a discount. More people will buy and utilize this product, increasing Nestlé's bottom line.</w:t>
      </w:r>
    </w:p>
    <w:p>
      <w:pPr>
        <w:pStyle w:val="4"/>
        <w:spacing w:before="0" w:line="480" w:lineRule="auto"/>
        <w:jc w:val="both"/>
        <w:rPr>
          <w:rFonts w:ascii="Times New Roman" w:hAnsi="Times New Roman" w:cs="Times New Roman"/>
          <w:b/>
          <w:color w:val="auto"/>
          <w:sz w:val="28"/>
          <w:szCs w:val="28"/>
        </w:rPr>
      </w:pPr>
      <w:bookmarkStart w:id="9" w:name="_Toc121744924"/>
      <w:r>
        <w:rPr>
          <w:rFonts w:ascii="Times New Roman" w:hAnsi="Times New Roman" w:cs="Times New Roman"/>
          <w:b/>
          <w:color w:val="auto"/>
          <w:sz w:val="28"/>
          <w:szCs w:val="28"/>
        </w:rPr>
        <w:t>Socio-Cultural</w:t>
      </w:r>
      <w:bookmarkEnd w:id="9"/>
    </w:p>
    <w:p>
      <w:pPr>
        <w:spacing w:after="0" w:line="480" w:lineRule="auto"/>
        <w:ind w:firstLine="480" w:firstLineChars="200"/>
        <w:jc w:val="both"/>
        <w:rPr>
          <w:rFonts w:ascii="Times New Roman" w:hAnsi="Times New Roman" w:cs="Times New Roman"/>
          <w:sz w:val="24"/>
          <w:szCs w:val="24"/>
        </w:rPr>
      </w:pPr>
      <w:r>
        <w:rPr>
          <w:rFonts w:ascii="Times New Roman" w:hAnsi="Times New Roman" w:cs="Times New Roman"/>
          <w:sz w:val="24"/>
          <w:szCs w:val="24"/>
        </w:rPr>
        <w:t>Whether or not people prefer to value products that include healthful advantages, a balanced diet, and an appropriate food supply, the key to improving health and well-being is the focus of every individual, even today. In contrast to junk food and similar items, it's clear that people prefer these sorts of products. Individuals from the generation Y cohorts, born between the 1980s and the 2000s, share some traits, such as adaptability and technology fluency (Bochert, Cismaru, and Foris, 2017). These traits should correspond with the businesses' aggressive adoption of technology, mainly as this is also the thread that connects the flood of technology to Europe.</w:t>
      </w:r>
    </w:p>
    <w:p>
      <w:pPr>
        <w:pStyle w:val="4"/>
        <w:spacing w:before="0" w:line="480" w:lineRule="auto"/>
        <w:jc w:val="both"/>
        <w:rPr>
          <w:rFonts w:ascii="Times New Roman" w:hAnsi="Times New Roman" w:cs="Times New Roman"/>
          <w:b/>
          <w:color w:val="auto"/>
          <w:sz w:val="28"/>
          <w:szCs w:val="28"/>
        </w:rPr>
      </w:pPr>
      <w:bookmarkStart w:id="10" w:name="_Toc121744925"/>
      <w:r>
        <w:rPr>
          <w:rFonts w:ascii="Times New Roman" w:hAnsi="Times New Roman" w:cs="Times New Roman"/>
          <w:b/>
          <w:color w:val="auto"/>
          <w:sz w:val="28"/>
          <w:szCs w:val="28"/>
        </w:rPr>
        <w:t>Technological</w:t>
      </w:r>
      <w:bookmarkEnd w:id="10"/>
    </w:p>
    <w:p>
      <w:pPr>
        <w:spacing w:after="0" w:line="480" w:lineRule="auto"/>
        <w:ind w:firstLine="480" w:firstLineChars="200"/>
        <w:jc w:val="both"/>
        <w:rPr>
          <w:rFonts w:ascii="Times New Roman" w:hAnsi="Times New Roman" w:cs="Times New Roman"/>
          <w:sz w:val="24"/>
          <w:szCs w:val="24"/>
        </w:rPr>
      </w:pPr>
      <w:r>
        <w:rPr>
          <w:rFonts w:ascii="Times New Roman" w:hAnsi="Times New Roman" w:cs="Times New Roman"/>
          <w:sz w:val="24"/>
          <w:szCs w:val="24"/>
        </w:rPr>
        <w:t>The market for internet and mobile devices is expanding so quickly that nearly everyone today will use them at some point. By leveraging this advantage through technology to advertise their products on cutting-edge gadgets, Nestlé may gain a competitive edge. Customers could obtain any information on their site. Workers at Nestlé might utilize this network to communicate with their peers in the food and beverage business in countries including Australia, Singapore, the United Kingdom, and others. Pham et al. (2020) say that they used technology to do research and development better to meet the needs of each country's local markets. If Nestlé knew what its customers in each country wanted, it could tailor its product marketing to meet their needs. For the Nestlé Company, the value of technological components has long been established.</w:t>
      </w:r>
    </w:p>
    <w:p>
      <w:pPr>
        <w:pStyle w:val="2"/>
        <w:spacing w:before="0" w:line="480" w:lineRule="auto"/>
        <w:jc w:val="both"/>
        <w:rPr>
          <w:rFonts w:ascii="Times New Roman" w:hAnsi="Times New Roman" w:cs="Times New Roman"/>
          <w:b/>
          <w:color w:val="auto"/>
          <w:sz w:val="28"/>
          <w:szCs w:val="28"/>
        </w:rPr>
      </w:pPr>
      <w:bookmarkStart w:id="11" w:name="_Toc121744926"/>
      <w:r>
        <w:rPr>
          <w:rFonts w:ascii="Times New Roman" w:hAnsi="Times New Roman" w:cs="Times New Roman"/>
          <w:b/>
          <w:color w:val="auto"/>
          <w:sz w:val="28"/>
          <w:szCs w:val="28"/>
        </w:rPr>
        <w:t>Industry Analysis</w:t>
      </w:r>
      <w:bookmarkEnd w:id="11"/>
    </w:p>
    <w:p>
      <w:pPr>
        <w:pStyle w:val="3"/>
        <w:spacing w:before="0" w:line="480" w:lineRule="auto"/>
        <w:jc w:val="both"/>
        <w:rPr>
          <w:rFonts w:ascii="Times New Roman" w:hAnsi="Times New Roman" w:cs="Times New Roman"/>
          <w:b/>
          <w:color w:val="auto"/>
          <w:sz w:val="28"/>
          <w:szCs w:val="28"/>
        </w:rPr>
      </w:pPr>
      <w:bookmarkStart w:id="12" w:name="_Toc121744927"/>
      <w:r>
        <w:rPr>
          <w:rFonts w:ascii="Times New Roman" w:hAnsi="Times New Roman" w:cs="Times New Roman"/>
          <w:b/>
          <w:color w:val="auto"/>
          <w:sz w:val="28"/>
          <w:szCs w:val="28"/>
        </w:rPr>
        <w:t>Porter's Five Forces Model</w:t>
      </w:r>
      <w:bookmarkEnd w:id="12"/>
    </w:p>
    <w:p>
      <w:pPr>
        <w:spacing w:after="0" w:line="480" w:lineRule="auto"/>
        <w:ind w:firstLine="480" w:firstLineChars="200"/>
        <w:jc w:val="both"/>
        <w:rPr>
          <w:rFonts w:ascii="Times New Roman" w:hAnsi="Times New Roman" w:cs="Times New Roman"/>
          <w:sz w:val="24"/>
          <w:szCs w:val="24"/>
        </w:rPr>
      </w:pPr>
      <w:r>
        <w:rPr>
          <w:rFonts w:ascii="Times New Roman" w:hAnsi="Times New Roman" w:cs="Times New Roman"/>
          <w:sz w:val="24"/>
          <w:szCs w:val="24"/>
        </w:rPr>
        <w:t>According to Dobbs (2014), the five forces of competition determine the degree of competition and subsequent profit potential in any given market. The goal of developing Porter's Five Forces Model was to have a consistent structure when analyzing industries and creating business plans—identified five factors that influence the level of competition, which provides insight into a market's potential for success and growth.</w:t>
      </w:r>
    </w:p>
    <w:p>
      <w:pPr>
        <w:pStyle w:val="4"/>
        <w:spacing w:before="0" w:line="480" w:lineRule="auto"/>
        <w:jc w:val="both"/>
        <w:rPr>
          <w:rFonts w:ascii="Times New Roman" w:hAnsi="Times New Roman" w:cs="Times New Roman"/>
          <w:b/>
          <w:color w:val="auto"/>
          <w:sz w:val="28"/>
          <w:szCs w:val="28"/>
        </w:rPr>
      </w:pPr>
      <w:bookmarkStart w:id="13" w:name="_Toc121744928"/>
      <w:r>
        <w:rPr>
          <w:rFonts w:ascii="Times New Roman" w:hAnsi="Times New Roman" w:cs="Times New Roman"/>
          <w:b/>
          <w:color w:val="auto"/>
          <w:sz w:val="28"/>
          <w:szCs w:val="28"/>
        </w:rPr>
        <w:t>Threats of New Entrants</w:t>
      </w:r>
      <w:bookmarkEnd w:id="13"/>
    </w:p>
    <w:p>
      <w:pPr>
        <w:spacing w:after="0" w:line="480" w:lineRule="auto"/>
        <w:ind w:firstLine="480" w:firstLineChars="200"/>
        <w:jc w:val="both"/>
        <w:rPr>
          <w:rFonts w:ascii="Times New Roman" w:hAnsi="Times New Roman" w:cs="Times New Roman"/>
          <w:sz w:val="24"/>
          <w:szCs w:val="24"/>
        </w:rPr>
      </w:pPr>
      <w:r>
        <w:rPr>
          <w:rFonts w:ascii="Times New Roman" w:hAnsi="Times New Roman" w:cs="Times New Roman"/>
          <w:sz w:val="24"/>
          <w:szCs w:val="24"/>
        </w:rPr>
        <w:t>As a whole, the food processing business is massive and very aggressive. The success of an industrial business is unusual. Therefore, more firms enter the market yearly to secure a larger share of this lucrative sector. Stobart (2016) argues that Nestle is fortunate in that it has been in business for almost a century and can look back on a lengthy track record of producing high-quality goods and ensuring customer happiness. Consequently, new entrants must seek to take some of Nestlé's market share to succeed. The threat of new competitors is relatively low because Nestlé is always a target.</w:t>
      </w:r>
    </w:p>
    <w:p>
      <w:pPr>
        <w:pStyle w:val="4"/>
        <w:spacing w:before="0" w:line="480" w:lineRule="auto"/>
        <w:jc w:val="both"/>
        <w:rPr>
          <w:rFonts w:ascii="Times New Roman" w:hAnsi="Times New Roman" w:cs="Times New Roman"/>
          <w:b/>
          <w:color w:val="auto"/>
          <w:sz w:val="28"/>
          <w:szCs w:val="28"/>
        </w:rPr>
      </w:pPr>
      <w:bookmarkStart w:id="14" w:name="_Toc121744929"/>
      <w:r>
        <w:rPr>
          <w:rFonts w:ascii="Times New Roman" w:hAnsi="Times New Roman" w:cs="Times New Roman"/>
          <w:b/>
          <w:color w:val="auto"/>
          <w:sz w:val="28"/>
          <w:szCs w:val="28"/>
        </w:rPr>
        <w:t>Threats of Substitute Products</w:t>
      </w:r>
      <w:bookmarkEnd w:id="14"/>
    </w:p>
    <w:p>
      <w:pPr>
        <w:spacing w:after="0" w:line="480" w:lineRule="auto"/>
        <w:ind w:firstLine="480" w:firstLineChars="200"/>
        <w:jc w:val="both"/>
        <w:rPr>
          <w:rFonts w:ascii="Times New Roman" w:hAnsi="Times New Roman" w:cs="Times New Roman"/>
          <w:sz w:val="24"/>
          <w:szCs w:val="24"/>
        </w:rPr>
      </w:pPr>
      <w:r>
        <w:rPr>
          <w:rFonts w:ascii="Times New Roman" w:hAnsi="Times New Roman" w:cs="Times New Roman"/>
          <w:sz w:val="24"/>
          <w:szCs w:val="24"/>
        </w:rPr>
        <w:t>Nestlé faces competition from low-priced knockoffs because of the nature of its market (Jones, 2017). Plenty of other companies produce goods that directly compete with Nestlé, from ice cream and frozen meals to candies and pet food. Because of the intense rivalry in their industry, Nestlé must always seek out new methods to enhance its goods and create new development sources if it wants to continue growing. To stay competitive, Nestlé has been emphasizing the health and wellness benefits of its products in recent years.</w:t>
      </w:r>
    </w:p>
    <w:p>
      <w:pPr>
        <w:pStyle w:val="4"/>
        <w:spacing w:before="0" w:line="480" w:lineRule="auto"/>
        <w:jc w:val="both"/>
        <w:rPr>
          <w:rFonts w:ascii="Times New Roman" w:hAnsi="Times New Roman" w:cs="Times New Roman"/>
          <w:b/>
          <w:color w:val="auto"/>
          <w:sz w:val="28"/>
          <w:szCs w:val="28"/>
        </w:rPr>
      </w:pPr>
      <w:bookmarkStart w:id="15" w:name="_Toc121744930"/>
      <w:r>
        <w:rPr>
          <w:rFonts w:ascii="Times New Roman" w:hAnsi="Times New Roman" w:cs="Times New Roman"/>
          <w:b/>
          <w:color w:val="auto"/>
          <w:sz w:val="28"/>
          <w:szCs w:val="28"/>
        </w:rPr>
        <w:t>Bargaining Power of Supplier</w:t>
      </w:r>
      <w:bookmarkEnd w:id="15"/>
    </w:p>
    <w:p>
      <w:pPr>
        <w:spacing w:after="0" w:line="480" w:lineRule="auto"/>
        <w:ind w:firstLine="480" w:firstLineChars="200"/>
        <w:jc w:val="both"/>
        <w:rPr>
          <w:rFonts w:ascii="Times New Roman" w:hAnsi="Times New Roman" w:cs="Times New Roman"/>
          <w:sz w:val="24"/>
          <w:szCs w:val="24"/>
        </w:rPr>
      </w:pPr>
      <w:r>
        <w:rPr>
          <w:rFonts w:ascii="Times New Roman" w:hAnsi="Times New Roman" w:cs="Times New Roman"/>
          <w:sz w:val="24"/>
          <w:szCs w:val="24"/>
        </w:rPr>
        <w:t>Nestlé takes excellent pleasure in the partnerships it has built and continues to nurture with its suppliers worldwide. Nestlé has greater leverage in negotiations than its agricultural commodity suppliers because of Nestlé's size and because the suppliers supply a product that is not very novel. Furthermore, McGrath et al. (2021) suggest that Nestlé tries to establish and maintain long-term partnerships with its suppliers since doing so helps to guarantee the quality of the raw materials being acquired. Nestlé also provides its suppliers with helpful tips on increasing productivity and decreasing waste.</w:t>
      </w:r>
    </w:p>
    <w:p>
      <w:pPr>
        <w:pStyle w:val="4"/>
        <w:spacing w:before="0" w:line="480" w:lineRule="auto"/>
        <w:jc w:val="both"/>
        <w:rPr>
          <w:rFonts w:ascii="Times New Roman" w:hAnsi="Times New Roman" w:cs="Times New Roman"/>
          <w:b/>
          <w:color w:val="auto"/>
          <w:sz w:val="28"/>
          <w:szCs w:val="28"/>
        </w:rPr>
      </w:pPr>
      <w:bookmarkStart w:id="16" w:name="_Toc121744931"/>
      <w:r>
        <w:rPr>
          <w:rFonts w:ascii="Times New Roman" w:hAnsi="Times New Roman" w:cs="Times New Roman"/>
          <w:b/>
          <w:color w:val="auto"/>
          <w:sz w:val="28"/>
          <w:szCs w:val="28"/>
        </w:rPr>
        <w:t>Bargaining Power of Buyer</w:t>
      </w:r>
      <w:bookmarkEnd w:id="16"/>
    </w:p>
    <w:p>
      <w:pPr>
        <w:spacing w:after="0" w:line="480" w:lineRule="auto"/>
        <w:ind w:firstLine="480" w:firstLineChars="200"/>
        <w:jc w:val="both"/>
        <w:rPr>
          <w:rFonts w:ascii="Times New Roman" w:hAnsi="Times New Roman" w:cs="Times New Roman"/>
          <w:sz w:val="24"/>
          <w:szCs w:val="24"/>
        </w:rPr>
      </w:pPr>
      <w:r>
        <w:rPr>
          <w:rFonts w:ascii="Times New Roman" w:hAnsi="Times New Roman" w:cs="Times New Roman"/>
          <w:sz w:val="24"/>
          <w:szCs w:val="24"/>
        </w:rPr>
        <w:t>Customers can exert considerable leverage over their purchases of Nestlé goods. Alternatives to Nestlé goods are readily available, putting the customer's tastes front and center. Nestlé recognizes the importance of listening to its customers and acting accordingly. As people become more aware of maintaining a healthy lifestyle, companies like Nestlé are starting to include health and wellness considerations in their product development (Chung et al. 2020).</w:t>
      </w:r>
    </w:p>
    <w:p>
      <w:pPr>
        <w:pStyle w:val="4"/>
        <w:spacing w:before="0" w:line="480" w:lineRule="auto"/>
        <w:jc w:val="both"/>
        <w:rPr>
          <w:rFonts w:ascii="Times New Roman" w:hAnsi="Times New Roman" w:cs="Times New Roman"/>
          <w:b/>
          <w:color w:val="auto"/>
          <w:sz w:val="28"/>
          <w:szCs w:val="28"/>
        </w:rPr>
      </w:pPr>
      <w:bookmarkStart w:id="17" w:name="_Toc121744932"/>
      <w:r>
        <w:rPr>
          <w:rFonts w:ascii="Times New Roman" w:hAnsi="Times New Roman" w:cs="Times New Roman"/>
          <w:b/>
          <w:color w:val="auto"/>
          <w:sz w:val="28"/>
          <w:szCs w:val="28"/>
        </w:rPr>
        <w:t>Intensity of Rivalry</w:t>
      </w:r>
      <w:bookmarkEnd w:id="17"/>
      <w:r>
        <w:rPr>
          <w:rFonts w:ascii="Times New Roman" w:hAnsi="Times New Roman" w:cs="Times New Roman"/>
          <w:b/>
          <w:color w:val="auto"/>
          <w:sz w:val="28"/>
          <w:szCs w:val="28"/>
        </w:rPr>
        <w:t xml:space="preserve"> </w:t>
      </w:r>
    </w:p>
    <w:p>
      <w:pPr>
        <w:spacing w:after="0" w:line="480" w:lineRule="auto"/>
        <w:ind w:firstLine="480" w:firstLineChars="200"/>
        <w:jc w:val="both"/>
        <w:rPr>
          <w:rFonts w:ascii="Times New Roman" w:hAnsi="Times New Roman" w:cs="Times New Roman"/>
          <w:sz w:val="24"/>
          <w:szCs w:val="24"/>
        </w:rPr>
      </w:pPr>
      <w:r>
        <w:rPr>
          <w:rFonts w:ascii="Times New Roman" w:hAnsi="Times New Roman" w:cs="Times New Roman"/>
          <w:sz w:val="24"/>
          <w:szCs w:val="24"/>
        </w:rPr>
        <w:t>Although Nestle is a national and international powerhouse in the food processing sector, it has faced stiff competition from Kraft, Masterfoods, and Unilever. These firms, among many others, are engaged in ongoing competition to achieve more tremendous success than their rivals. As several of Nestle's food-making competitors made substantial gains in operational efficiency, the company faced more challenging competition. Food processors are engaged in heated competition, which is excellent news for shoppers. To the extent that these businesses compete with one another, customers will have access to ever-improving products.</w:t>
      </w:r>
    </w:p>
    <w:p>
      <w:pPr>
        <w:pStyle w:val="3"/>
        <w:spacing w:before="0" w:line="480" w:lineRule="auto"/>
        <w:jc w:val="both"/>
        <w:rPr>
          <w:rFonts w:ascii="Times New Roman" w:hAnsi="Times New Roman" w:cs="Times New Roman"/>
          <w:b/>
          <w:color w:val="auto"/>
          <w:sz w:val="28"/>
          <w:szCs w:val="28"/>
        </w:rPr>
      </w:pPr>
      <w:bookmarkStart w:id="18" w:name="_Toc121744933"/>
      <w:r>
        <w:rPr>
          <w:rFonts w:ascii="Times New Roman" w:hAnsi="Times New Roman" w:cs="Times New Roman"/>
          <w:b/>
          <w:color w:val="auto"/>
          <w:sz w:val="28"/>
          <w:szCs w:val="28"/>
        </w:rPr>
        <w:t>SWOT Analysis</w:t>
      </w:r>
      <w:bookmarkEnd w:id="18"/>
    </w:p>
    <w:p>
      <w:pPr>
        <w:pStyle w:val="4"/>
        <w:spacing w:before="0" w:line="480" w:lineRule="auto"/>
        <w:jc w:val="both"/>
        <w:rPr>
          <w:rFonts w:ascii="Times New Roman" w:hAnsi="Times New Roman" w:cs="Times New Roman"/>
          <w:b/>
          <w:color w:val="auto"/>
          <w:sz w:val="28"/>
          <w:szCs w:val="28"/>
        </w:rPr>
      </w:pPr>
      <w:bookmarkStart w:id="19" w:name="_Toc121744934"/>
      <w:r>
        <w:rPr>
          <w:rFonts w:ascii="Times New Roman" w:hAnsi="Times New Roman" w:cs="Times New Roman"/>
          <w:b/>
          <w:color w:val="auto"/>
          <w:sz w:val="28"/>
          <w:szCs w:val="28"/>
        </w:rPr>
        <w:t>Strengths</w:t>
      </w:r>
      <w:bookmarkEnd w:id="19"/>
    </w:p>
    <w:p>
      <w:pPr>
        <w:spacing w:after="0" w:line="480" w:lineRule="auto"/>
        <w:ind w:firstLine="480" w:firstLineChars="200"/>
        <w:jc w:val="both"/>
        <w:rPr>
          <w:rFonts w:ascii="Times New Roman" w:hAnsi="Times New Roman" w:cs="Times New Roman"/>
          <w:sz w:val="24"/>
          <w:szCs w:val="24"/>
        </w:rPr>
      </w:pPr>
      <w:r>
        <w:rPr>
          <w:rFonts w:ascii="Times New Roman" w:hAnsi="Times New Roman" w:cs="Times New Roman"/>
          <w:sz w:val="24"/>
          <w:szCs w:val="24"/>
        </w:rPr>
        <w:t>Nestle group, one of the leading food companies in the world, enjoys a sterling reputation as a respected name in consumer goods worldwide (Bollerey, 2019). Its name appears on more than 8,000 different items, all of which work to increase the company's profit margin. When it comes to the worldwide food processing industry, Nestle Group is one of the most rapidly expanding corporations. It has already found success in the cereal and beverage markets because of its joint venture strategy. The Nestle Group operates in urban and rural regions because of its extensive distribution network. Nestle Group's income statement for the past five years shows that the company is in a healthy financial position to maintain its position as a market leader. It has been in business for almost 150 years, giving it the credibility it needs to do business in over 189 nations (Rahman, 2019).</w:t>
      </w:r>
    </w:p>
    <w:p>
      <w:pPr>
        <w:pStyle w:val="4"/>
        <w:spacing w:before="0" w:line="480" w:lineRule="auto"/>
        <w:jc w:val="both"/>
        <w:rPr>
          <w:rFonts w:ascii="Times New Roman" w:hAnsi="Times New Roman" w:cs="Times New Roman"/>
          <w:b/>
          <w:color w:val="auto"/>
          <w:sz w:val="28"/>
          <w:szCs w:val="28"/>
        </w:rPr>
      </w:pPr>
      <w:bookmarkStart w:id="20" w:name="_Toc121744935"/>
      <w:r>
        <w:rPr>
          <w:rFonts w:ascii="Times New Roman" w:hAnsi="Times New Roman" w:cs="Times New Roman"/>
          <w:b/>
          <w:color w:val="auto"/>
          <w:sz w:val="28"/>
          <w:szCs w:val="28"/>
        </w:rPr>
        <w:t>Weaknesses</w:t>
      </w:r>
      <w:bookmarkEnd w:id="20"/>
    </w:p>
    <w:p>
      <w:pPr>
        <w:spacing w:after="0" w:line="480" w:lineRule="auto"/>
        <w:ind w:firstLine="480" w:firstLineChars="200"/>
        <w:jc w:val="both"/>
        <w:rPr>
          <w:rFonts w:ascii="Times New Roman" w:hAnsi="Times New Roman" w:cs="Times New Roman"/>
          <w:sz w:val="24"/>
          <w:szCs w:val="24"/>
        </w:rPr>
      </w:pPr>
      <w:r>
        <w:rPr>
          <w:rFonts w:ascii="Times New Roman" w:hAnsi="Times New Roman" w:cs="Times New Roman"/>
          <w:sz w:val="24"/>
          <w:szCs w:val="24"/>
        </w:rPr>
        <w:t>The company's promotion of infant formula has drawn criticism and a boycott from 19 prominent NGOs, yet only six companies have been penalized for their part in this discriminatory conduct. The company's actions led to unfavorable outcomes, including child labor, monopolization of bottled water for financial gain, and rigid adherence to extremely high prices. The company's main flaws lie in its inability to manage its global operations effectively and numerous unique brands, guarantee product quality and safety, forestall legal action, and cut back on unethical tactics (Aren, 2019).</w:t>
      </w:r>
    </w:p>
    <w:p>
      <w:pPr>
        <w:pStyle w:val="4"/>
        <w:spacing w:before="0" w:line="480" w:lineRule="auto"/>
        <w:jc w:val="both"/>
        <w:rPr>
          <w:rFonts w:ascii="Times New Roman" w:hAnsi="Times New Roman" w:cs="Times New Roman"/>
          <w:b/>
          <w:color w:val="auto"/>
          <w:sz w:val="28"/>
          <w:szCs w:val="28"/>
        </w:rPr>
      </w:pPr>
      <w:bookmarkStart w:id="21" w:name="_Toc121744936"/>
      <w:r>
        <w:rPr>
          <w:rFonts w:ascii="Times New Roman" w:hAnsi="Times New Roman" w:cs="Times New Roman"/>
          <w:b/>
          <w:color w:val="auto"/>
          <w:sz w:val="28"/>
          <w:szCs w:val="28"/>
        </w:rPr>
        <w:t>Opportunities</w:t>
      </w:r>
      <w:bookmarkEnd w:id="21"/>
    </w:p>
    <w:p>
      <w:pPr>
        <w:spacing w:after="0" w:line="480" w:lineRule="auto"/>
        <w:ind w:firstLine="480" w:firstLineChars="200"/>
        <w:jc w:val="both"/>
        <w:rPr>
          <w:rFonts w:ascii="Times New Roman" w:hAnsi="Times New Roman" w:cs="Times New Roman"/>
          <w:sz w:val="24"/>
          <w:szCs w:val="24"/>
        </w:rPr>
      </w:pPr>
      <w:r>
        <w:rPr>
          <w:rFonts w:ascii="Times New Roman" w:hAnsi="Times New Roman" w:cs="Times New Roman"/>
          <w:sz w:val="24"/>
          <w:szCs w:val="24"/>
        </w:rPr>
        <w:t>Islam (2022) suggests that with its established supply chain and strategic partnerships with other businesses like Coca-Cola, L'Oreal, Colgate-Palmolive, and others, Nestle Group has the potential to expand into new areas. Nestle's annual reports show that the company is increasingly focused on expanding its product line beyond only food. People are becoming more health awareness throughout the world, providing an opening for this firm to provide convenient and nutritious breakfast options. There are 21 research facilities dedicated to improving product quality and security.</w:t>
      </w:r>
    </w:p>
    <w:p>
      <w:pPr>
        <w:pStyle w:val="4"/>
        <w:spacing w:before="0" w:line="480" w:lineRule="auto"/>
        <w:jc w:val="both"/>
        <w:rPr>
          <w:rFonts w:ascii="Times New Roman" w:hAnsi="Times New Roman" w:cs="Times New Roman"/>
          <w:b/>
          <w:color w:val="auto"/>
          <w:sz w:val="28"/>
          <w:szCs w:val="28"/>
        </w:rPr>
      </w:pPr>
      <w:bookmarkStart w:id="22" w:name="_Toc121744937"/>
      <w:r>
        <w:rPr>
          <w:rFonts w:ascii="Times New Roman" w:hAnsi="Times New Roman" w:cs="Times New Roman"/>
          <w:b/>
          <w:color w:val="auto"/>
          <w:sz w:val="28"/>
          <w:szCs w:val="28"/>
        </w:rPr>
        <w:t>Threats</w:t>
      </w:r>
      <w:bookmarkEnd w:id="22"/>
    </w:p>
    <w:p>
      <w:pPr>
        <w:spacing w:after="0" w:line="480" w:lineRule="auto"/>
        <w:ind w:firstLine="480" w:firstLineChars="200"/>
        <w:jc w:val="both"/>
        <w:rPr>
          <w:rFonts w:ascii="Times New Roman" w:hAnsi="Times New Roman" w:cs="Times New Roman"/>
          <w:sz w:val="24"/>
          <w:szCs w:val="24"/>
        </w:rPr>
      </w:pPr>
      <w:r>
        <w:rPr>
          <w:rFonts w:ascii="Times New Roman" w:hAnsi="Times New Roman" w:cs="Times New Roman"/>
          <w:sz w:val="24"/>
          <w:szCs w:val="24"/>
        </w:rPr>
        <w:t>Intense competition for every product on domestic and international markets makes it hard for Nestle Group to stand apart. Total sales and net profit margin are vulnerable to sudden drops in the event of a drop in demand or a rise in costs due to fluctuations in the cost of raw materials. The decline in purchasing power caused by the global financial crisis hampered the development of the global economy. India lost a fortune when it discovered in 2015 that its Maggi noodle product had the lead at levels over the legal limit, forcing the country to discard 400 million packages of noodles (Sharma and Kharas, 2017). Consumers have a wide range of options because most firms in this market cater to various product types.</w:t>
      </w:r>
    </w:p>
    <w:p>
      <w:pPr>
        <w:pStyle w:val="2"/>
        <w:spacing w:before="0" w:line="480" w:lineRule="auto"/>
        <w:jc w:val="both"/>
        <w:rPr>
          <w:rFonts w:ascii="Times New Roman" w:hAnsi="Times New Roman" w:cs="Times New Roman"/>
          <w:b/>
          <w:color w:val="auto"/>
          <w:sz w:val="28"/>
          <w:szCs w:val="28"/>
        </w:rPr>
      </w:pPr>
      <w:bookmarkStart w:id="23" w:name="_Toc121744938"/>
      <w:r>
        <w:rPr>
          <w:rFonts w:ascii="Times New Roman" w:hAnsi="Times New Roman" w:cs="Times New Roman"/>
          <w:b/>
          <w:color w:val="auto"/>
          <w:sz w:val="28"/>
          <w:szCs w:val="28"/>
        </w:rPr>
        <w:t>Strategy Objectives &amp; Goals</w:t>
      </w:r>
      <w:bookmarkEnd w:id="23"/>
    </w:p>
    <w:p>
      <w:pPr>
        <w:pStyle w:val="3"/>
        <w:spacing w:before="0" w:line="480" w:lineRule="auto"/>
        <w:jc w:val="both"/>
        <w:rPr>
          <w:rFonts w:ascii="Times New Roman" w:hAnsi="Times New Roman" w:cs="Times New Roman"/>
          <w:b/>
          <w:color w:val="auto"/>
          <w:sz w:val="28"/>
          <w:szCs w:val="28"/>
        </w:rPr>
      </w:pPr>
      <w:bookmarkStart w:id="24" w:name="_Toc121744939"/>
      <w:r>
        <w:rPr>
          <w:rFonts w:ascii="Times New Roman" w:hAnsi="Times New Roman" w:cs="Times New Roman"/>
          <w:b/>
          <w:color w:val="auto"/>
          <w:sz w:val="28"/>
          <w:szCs w:val="28"/>
        </w:rPr>
        <w:t>Marketing Objectives</w:t>
      </w:r>
      <w:bookmarkEnd w:id="24"/>
    </w:p>
    <w:p>
      <w:pPr>
        <w:spacing w:after="0" w:line="480" w:lineRule="auto"/>
        <w:ind w:firstLine="480" w:firstLineChars="200"/>
        <w:jc w:val="both"/>
        <w:rPr>
          <w:rFonts w:ascii="Times New Roman" w:hAnsi="Times New Roman" w:cs="Times New Roman"/>
          <w:sz w:val="24"/>
          <w:szCs w:val="24"/>
        </w:rPr>
      </w:pPr>
      <w:r>
        <w:rPr>
          <w:rFonts w:ascii="Times New Roman" w:hAnsi="Times New Roman" w:cs="Times New Roman"/>
          <w:sz w:val="24"/>
          <w:szCs w:val="24"/>
        </w:rPr>
        <w:t>Market research and development in the worldwide fast-moving consumer goods industry has been central to Nestle's efforts to achieve its corporate goals and ensure its continued success (Varma and Ravi, 2017).</w:t>
      </w:r>
    </w:p>
    <w:p>
      <w:pPr>
        <w:pStyle w:val="3"/>
        <w:spacing w:before="0" w:line="480" w:lineRule="auto"/>
        <w:jc w:val="both"/>
        <w:rPr>
          <w:rFonts w:ascii="Times New Roman" w:hAnsi="Times New Roman" w:cs="Times New Roman"/>
          <w:b/>
          <w:color w:val="auto"/>
          <w:sz w:val="28"/>
          <w:szCs w:val="28"/>
        </w:rPr>
      </w:pPr>
      <w:bookmarkStart w:id="25" w:name="_Toc121744940"/>
      <w:r>
        <w:rPr>
          <w:rFonts w:ascii="Times New Roman" w:hAnsi="Times New Roman" w:cs="Times New Roman"/>
          <w:b/>
          <w:color w:val="auto"/>
          <w:sz w:val="28"/>
          <w:szCs w:val="28"/>
        </w:rPr>
        <w:t>Financial Objectives</w:t>
      </w:r>
      <w:bookmarkEnd w:id="25"/>
    </w:p>
    <w:p>
      <w:pPr>
        <w:spacing w:after="0" w:line="480" w:lineRule="auto"/>
        <w:ind w:firstLine="480" w:firstLineChars="200"/>
        <w:jc w:val="both"/>
        <w:rPr>
          <w:rFonts w:ascii="Times New Roman" w:hAnsi="Times New Roman" w:cs="Times New Roman"/>
          <w:sz w:val="24"/>
          <w:szCs w:val="24"/>
        </w:rPr>
      </w:pPr>
      <w:r>
        <w:rPr>
          <w:rFonts w:ascii="Times New Roman" w:hAnsi="Times New Roman" w:cs="Times New Roman"/>
          <w:sz w:val="24"/>
          <w:szCs w:val="24"/>
        </w:rPr>
        <w:t>Nestle's financial objectives have focused on achieving its prevalent value creation model by evaluating its corporate structure, core competencies, evolving economic trends, return on investment, interest rates in the real economy, a contemplation of solid cash flow establishment, development opportunities in the financial market, along with operating expenditure and property procurements by the corporation (Kotler, Hessekiel and Lee, 2012). This has been done in conjunction with public investment and property procurements by the company.</w:t>
      </w:r>
    </w:p>
    <w:p>
      <w:pPr>
        <w:pStyle w:val="3"/>
        <w:spacing w:before="0" w:line="480" w:lineRule="auto"/>
        <w:jc w:val="both"/>
        <w:rPr>
          <w:rFonts w:ascii="Times New Roman" w:hAnsi="Times New Roman" w:cs="Times New Roman"/>
          <w:b/>
          <w:color w:val="auto"/>
          <w:sz w:val="28"/>
          <w:szCs w:val="28"/>
        </w:rPr>
      </w:pPr>
      <w:bookmarkStart w:id="26" w:name="_Toc121744941"/>
      <w:r>
        <w:rPr>
          <w:rFonts w:ascii="Times New Roman" w:hAnsi="Times New Roman" w:cs="Times New Roman"/>
          <w:b/>
          <w:color w:val="auto"/>
          <w:sz w:val="28"/>
          <w:szCs w:val="28"/>
        </w:rPr>
        <w:t>Strategies</w:t>
      </w:r>
      <w:bookmarkEnd w:id="26"/>
    </w:p>
    <w:p>
      <w:pPr>
        <w:pStyle w:val="4"/>
        <w:spacing w:before="0" w:line="480" w:lineRule="auto"/>
        <w:jc w:val="both"/>
        <w:rPr>
          <w:rFonts w:ascii="Times New Roman" w:hAnsi="Times New Roman" w:cs="Times New Roman"/>
          <w:b/>
          <w:color w:val="auto"/>
          <w:sz w:val="28"/>
          <w:szCs w:val="28"/>
        </w:rPr>
      </w:pPr>
      <w:bookmarkStart w:id="27" w:name="_Toc121744942"/>
      <w:r>
        <w:rPr>
          <w:rFonts w:ascii="Times New Roman" w:hAnsi="Times New Roman" w:cs="Times New Roman"/>
          <w:b/>
          <w:color w:val="auto"/>
          <w:sz w:val="28"/>
          <w:szCs w:val="28"/>
        </w:rPr>
        <w:t>Differentiation</w:t>
      </w:r>
      <w:bookmarkEnd w:id="27"/>
    </w:p>
    <w:p>
      <w:pPr>
        <w:spacing w:after="0" w:line="480" w:lineRule="auto"/>
        <w:ind w:firstLine="480" w:firstLineChars="200"/>
        <w:jc w:val="both"/>
        <w:rPr>
          <w:rFonts w:ascii="Times New Roman" w:hAnsi="Times New Roman" w:cs="Times New Roman"/>
          <w:sz w:val="24"/>
          <w:szCs w:val="24"/>
        </w:rPr>
      </w:pPr>
      <w:r>
        <w:rPr>
          <w:rFonts w:ascii="Times New Roman" w:hAnsi="Times New Roman" w:cs="Times New Roman"/>
          <w:sz w:val="24"/>
          <w:szCs w:val="24"/>
        </w:rPr>
        <w:t xml:space="preserve">Nestlé has followed the differentiation approach by providing a more comprehensive selection of premium items at higher prices. Mohajan (2015) states that Nestlé's massive research and development (R&amp;D) investment allows the company to maintain its position as the world's preeminent food and drink manufacturer. In contrast to its rivals, Nestlé can provide its clients with high-quality, forward-thinking, and healthful goods. In addition, Nestlé actively differentiates its products from its competitors by capitalizing on its competent staff, unique product characteristics, superior technological background, spectacular services, and commendable advertising campaigns (Ochkur, 2020).  </w:t>
      </w:r>
    </w:p>
    <w:p>
      <w:pPr>
        <w:spacing w:after="0" w:line="480" w:lineRule="auto"/>
        <w:ind w:firstLine="480" w:firstLineChars="200"/>
        <w:jc w:val="both"/>
        <w:rPr>
          <w:rFonts w:ascii="Times New Roman" w:hAnsi="Times New Roman" w:cs="Times New Roman"/>
          <w:sz w:val="24"/>
          <w:szCs w:val="24"/>
        </w:rPr>
      </w:pPr>
      <w:r>
        <w:rPr>
          <w:rFonts w:ascii="Times New Roman" w:hAnsi="Times New Roman" w:cs="Times New Roman"/>
          <w:sz w:val="24"/>
          <w:szCs w:val="24"/>
        </w:rPr>
        <w:t>CSV is one of the core tenets to generate the company's shareholders and community. The corporation bases its actions on this concept to fulfill its public commitments and improve people's quality of life. The firm does not have any stated goals, but it does take into account a set of core practices to improve its business decisions. Tze et al. (2022) note that to stay a market leader and help achieve long-term success, the firm's core strategic objective is to comprehend its customers' behavior, trends, and needs and meet those demands. Since many modern consumers lack time to cook from scratch, they need ready-to-eat meals and liquid beverages, which the company is happy to supply. Nestle's market analysis revealed that consumers are interested in leading better, more convenient lives; as a result, the business has shifted its focus to produce more items that promote excellent nutrition and overall health.</w:t>
      </w:r>
    </w:p>
    <w:p>
      <w:pPr>
        <w:pStyle w:val="4"/>
        <w:spacing w:before="0" w:line="480" w:lineRule="auto"/>
        <w:jc w:val="both"/>
        <w:rPr>
          <w:rFonts w:ascii="Times New Roman" w:hAnsi="Times New Roman" w:cs="Times New Roman"/>
          <w:b/>
          <w:color w:val="auto"/>
          <w:sz w:val="28"/>
          <w:szCs w:val="28"/>
        </w:rPr>
      </w:pPr>
      <w:bookmarkStart w:id="28" w:name="_Toc121744943"/>
      <w:r>
        <w:rPr>
          <w:rFonts w:ascii="Times New Roman" w:hAnsi="Times New Roman" w:cs="Times New Roman"/>
          <w:b/>
          <w:color w:val="auto"/>
          <w:sz w:val="28"/>
          <w:szCs w:val="28"/>
        </w:rPr>
        <w:t>Cost leadership</w:t>
      </w:r>
      <w:bookmarkEnd w:id="28"/>
    </w:p>
    <w:p>
      <w:pPr>
        <w:spacing w:after="0" w:line="480" w:lineRule="auto"/>
        <w:ind w:firstLine="480" w:firstLineChars="200"/>
        <w:jc w:val="both"/>
        <w:rPr>
          <w:rFonts w:ascii="Times New Roman" w:hAnsi="Times New Roman" w:cs="Times New Roman"/>
          <w:sz w:val="24"/>
          <w:szCs w:val="24"/>
        </w:rPr>
      </w:pPr>
      <w:r>
        <w:rPr>
          <w:rFonts w:ascii="Times New Roman" w:hAnsi="Times New Roman" w:cs="Times New Roman"/>
          <w:sz w:val="24"/>
          <w:szCs w:val="24"/>
        </w:rPr>
        <w:t xml:space="preserve">The cost-leadership approach has given Nestlé a significant competitive edge. The firm strives to produce and sell its goods at the lowest possible prices in the market. The company's massive production, raw material, and marketing infrastructure made it simple for Nestlé to adopt this strategy. As Wood, Pitta, and Franzak (2008) illustrated, by advertising its extensive product line at relatively low prices, Nestlé successfully captured market share and established a devoted customer base in most emerging nations. </w:t>
      </w:r>
    </w:p>
    <w:p>
      <w:pPr>
        <w:spacing w:after="0" w:line="480" w:lineRule="auto"/>
        <w:ind w:firstLine="480" w:firstLineChars="200"/>
        <w:jc w:val="both"/>
        <w:rPr>
          <w:rFonts w:ascii="Times New Roman" w:hAnsi="Times New Roman" w:cs="Times New Roman"/>
          <w:sz w:val="24"/>
          <w:szCs w:val="24"/>
        </w:rPr>
      </w:pPr>
      <w:r>
        <w:rPr>
          <w:rFonts w:ascii="Times New Roman" w:hAnsi="Times New Roman" w:cs="Times New Roman"/>
          <w:sz w:val="24"/>
          <w:szCs w:val="24"/>
        </w:rPr>
        <w:t>The company's founder firmly believed that a healthy diet was critical to ensuring a long and fruitful life. Therefore the firm's primary mission is to provide consumers with nutritious and delicious options. It has already implemented many measures to boost efficiency, such as lowering conversion costs, leveraging its purchasing power by building global procurement centers, expanding the usage of shared services, empowering local and regional decision-makers to move swiftly, and so on. This firm dominates many market niches and sustains its rapid expansion by prudent financial management; moreover, it routinely evaluates its brand portfolio, reconsiders its capital structure, and considers potential mergers and acquisitions.</w:t>
      </w:r>
    </w:p>
    <w:p>
      <w:pPr>
        <w:pStyle w:val="2"/>
        <w:spacing w:before="0" w:line="480" w:lineRule="auto"/>
        <w:jc w:val="both"/>
        <w:rPr>
          <w:rFonts w:ascii="Times New Roman" w:hAnsi="Times New Roman" w:cs="Times New Roman"/>
          <w:b/>
          <w:color w:val="auto"/>
          <w:sz w:val="28"/>
          <w:szCs w:val="28"/>
        </w:rPr>
      </w:pPr>
      <w:bookmarkStart w:id="29" w:name="_Toc121744944"/>
      <w:r>
        <w:rPr>
          <w:rFonts w:ascii="Times New Roman" w:hAnsi="Times New Roman" w:cs="Times New Roman"/>
          <w:b/>
          <w:color w:val="auto"/>
          <w:sz w:val="28"/>
          <w:szCs w:val="28"/>
        </w:rPr>
        <w:t>Evaluation of the Nestlé Roadmap to Good Food and Good Living Strategy</w:t>
      </w:r>
      <w:bookmarkEnd w:id="29"/>
    </w:p>
    <w:p>
      <w:pPr>
        <w:spacing w:after="0" w:line="480" w:lineRule="auto"/>
        <w:ind w:firstLine="480" w:firstLineChars="200"/>
        <w:jc w:val="both"/>
        <w:rPr>
          <w:rFonts w:ascii="Times New Roman" w:hAnsi="Times New Roman" w:cs="Times New Roman"/>
          <w:sz w:val="24"/>
          <w:szCs w:val="24"/>
        </w:rPr>
      </w:pPr>
      <w:r>
        <w:rPr>
          <w:rFonts w:ascii="Times New Roman" w:hAnsi="Times New Roman" w:cs="Times New Roman"/>
          <w:sz w:val="24"/>
          <w:szCs w:val="24"/>
        </w:rPr>
        <w:t>Nestlé is one of the biggest owners of L'Oréal, the most significant cosmetics firm on the planet. Nestlé's mission, "Good Food, Good Life," is to give people the best-tasting, healthiest options in various food and drink classifications and eating occasions (Khan and Hassan, 2014). They also want to stress that leadership isn't just about size; it's also about how you act and the trust you earn over time by keeping your promises.</w:t>
      </w:r>
    </w:p>
    <w:p>
      <w:pPr>
        <w:spacing w:after="0" w:line="480" w:lineRule="auto"/>
        <w:ind w:firstLine="480" w:firstLineChars="200"/>
        <w:jc w:val="both"/>
        <w:rPr>
          <w:rFonts w:ascii="Times New Roman" w:hAnsi="Times New Roman" w:cs="Times New Roman"/>
          <w:sz w:val="24"/>
          <w:szCs w:val="24"/>
        </w:rPr>
      </w:pPr>
      <w:r>
        <w:rPr>
          <w:rFonts w:ascii="Times New Roman" w:hAnsi="Times New Roman" w:cs="Times New Roman"/>
          <w:sz w:val="24"/>
          <w:szCs w:val="24"/>
        </w:rPr>
        <w:t>When evaluating Nestlé's strategic position - its primary strengths and weaknesses - it is crucial to highlight the internal corporate resources. Paul Bulcke, Chairman, and CEO of Nestlé set the company on a course to achieve worldwide sustainable competitiveness through several strategic pillars, including low-cost, highly reliable operations; renovation and innovation of the Nestlé product line; universal availability and capability to modify products to the local market conditions; enhanced communication with clients via better branding; and research and development capacities with a purpose of meeting to consumers' needs (Neves, 2013). With 32 R&amp;D labs and over 5,000 personnel dedicated to R&amp;D, the firm boasts the world's most significant R&amp;D network of any food company.</w:t>
      </w:r>
    </w:p>
    <w:p>
      <w:pPr>
        <w:spacing w:after="0" w:line="480" w:lineRule="auto"/>
        <w:ind w:firstLine="480" w:firstLineChars="200"/>
        <w:jc w:val="both"/>
        <w:rPr>
          <w:rFonts w:ascii="Times New Roman" w:hAnsi="Times New Roman" w:cs="Times New Roman"/>
          <w:sz w:val="24"/>
          <w:szCs w:val="24"/>
        </w:rPr>
      </w:pPr>
      <w:r>
        <w:rPr>
          <w:rFonts w:ascii="Times New Roman" w:hAnsi="Times New Roman" w:cs="Times New Roman"/>
          <w:sz w:val="24"/>
          <w:szCs w:val="24"/>
        </w:rPr>
        <w:t>Akinsipe Olasunkanmi (2021) notes that Nestlé's long-term corporate goals are to be known as the world's largest and most successful food manufacturer and leader in Nutrition, Health, and Health and well-being, appreciated by all of its stockholders while making sure that the Nestlé brand is associated with products of the highest caliber and attaining the rank of "Nestlé Model," a phrase that refers to Nestlé's goals of "organic growth between 4% and 6% annually; continued year-after-year adjustments in easiness. Recently, the firm has adopted a growth and diversification strategy. Brands have moved into different product groups, such as baby foods, bottled water, coffee, drinks, food service, sports nutrition, weight management, etc., by buying and selling businesses to create a more equitable corporate structure. For instance, Nestlé bought Pfizer Nutrition, strengthening its position in the international infant nutrition market.</w:t>
      </w:r>
    </w:p>
    <w:p>
      <w:pPr>
        <w:spacing w:after="0" w:line="480" w:lineRule="auto"/>
        <w:ind w:firstLine="480" w:firstLineChars="200"/>
        <w:jc w:val="both"/>
        <w:rPr>
          <w:rFonts w:ascii="Times New Roman" w:hAnsi="Times New Roman" w:cs="Times New Roman"/>
          <w:sz w:val="24"/>
          <w:szCs w:val="24"/>
        </w:rPr>
      </w:pPr>
      <w:r>
        <w:rPr>
          <w:rFonts w:ascii="Times New Roman" w:hAnsi="Times New Roman" w:cs="Times New Roman"/>
          <w:sz w:val="24"/>
          <w:szCs w:val="24"/>
        </w:rPr>
        <w:t>Nestlé concentrates its knowledge of system technology in one place to maintain a competitive advantage. Nestlé's latest public opening of a new System Technology Centre (STC) in Switzerland consolidates, in one place, the competence utilized to help integrate products, capsules, and machines such as those utilized in its Nespresso and Nescafé Dolce Gusto beverage systems and is expected to have a substantial impact on future profits (Akinsipe Olasunkanmi, 2021). Moreover, the corporation has established a new center to integrate nutritional and biological research in developing therapeutic meals. To ensure that its goods are healthier and more delicious than the competition, Nestlé is reviewing its whole product line.</w:t>
      </w:r>
    </w:p>
    <w:p>
      <w:pPr>
        <w:pStyle w:val="3"/>
        <w:spacing w:before="0" w:line="480" w:lineRule="auto"/>
        <w:jc w:val="both"/>
        <w:rPr>
          <w:rFonts w:ascii="Times New Roman" w:hAnsi="Times New Roman" w:cs="Times New Roman"/>
          <w:b/>
          <w:color w:val="auto"/>
          <w:sz w:val="28"/>
          <w:szCs w:val="28"/>
        </w:rPr>
      </w:pPr>
      <w:bookmarkStart w:id="30" w:name="_Toc121744945"/>
      <w:r>
        <w:rPr>
          <w:rFonts w:ascii="Times New Roman" w:hAnsi="Times New Roman" w:cs="Times New Roman"/>
          <w:b/>
          <w:color w:val="auto"/>
          <w:sz w:val="28"/>
          <w:szCs w:val="28"/>
        </w:rPr>
        <w:t>Sustainability of Competitive Advantage</w:t>
      </w:r>
      <w:bookmarkEnd w:id="30"/>
    </w:p>
    <w:p>
      <w:pPr>
        <w:spacing w:after="0" w:line="480" w:lineRule="auto"/>
        <w:ind w:firstLine="480" w:firstLineChars="200"/>
        <w:jc w:val="both"/>
        <w:rPr>
          <w:rFonts w:ascii="Times New Roman" w:hAnsi="Times New Roman" w:cs="Times New Roman"/>
          <w:sz w:val="24"/>
          <w:szCs w:val="24"/>
        </w:rPr>
      </w:pPr>
      <w:r>
        <w:rPr>
          <w:rFonts w:ascii="Times New Roman" w:hAnsi="Times New Roman" w:cs="Times New Roman"/>
          <w:sz w:val="24"/>
          <w:szCs w:val="24"/>
        </w:rPr>
        <w:t>A sustainable competitive edge develops slowly over time from a collection of advantages across the value chain that is difficult to replicate (Chen, 2018). It's impossible to have both fantastic goods, robust R&amp;D, the broadest possible geographic presence, and an entrepreneurial spirit, or genuinely exceptional people without having both.</w:t>
      </w:r>
    </w:p>
    <w:p>
      <w:pPr>
        <w:spacing w:after="0" w:line="480" w:lineRule="auto"/>
        <w:ind w:firstLine="480" w:firstLineChars="200"/>
        <w:jc w:val="both"/>
        <w:rPr>
          <w:rFonts w:ascii="Times New Roman" w:hAnsi="Times New Roman" w:cs="Times New Roman"/>
          <w:sz w:val="24"/>
          <w:szCs w:val="24"/>
        </w:rPr>
      </w:pPr>
      <w:r>
        <w:rPr>
          <w:rFonts w:ascii="Times New Roman" w:hAnsi="Times New Roman" w:cs="Times New Roman"/>
          <w:sz w:val="24"/>
          <w:szCs w:val="24"/>
        </w:rPr>
        <w:t>Instead of depending solely on its natural resources, a country might develop its competitive edge, as proposed by Porter. Kurosawa and Wubs (2019) argue that Switzerland's global reputation has been built partly on the reputation of the multinational conglomerate Nestle. The term "factor conditions" refers to the circumstances under which a country generates its factors of production (Mann and Byun, 2011). Although Japan has no metal or steel on its soil, the country has come to be identified with the production of metal automobiles. Factor circumstances also include making the most of a country's human and material resources, as Nestle has done through its importation of raw materials and subsequent processing to meet the company's specific requirements.</w:t>
      </w:r>
    </w:p>
    <w:p>
      <w:pPr>
        <w:spacing w:after="0" w:line="480" w:lineRule="auto"/>
        <w:ind w:firstLine="480" w:firstLineChars="200"/>
        <w:jc w:val="both"/>
        <w:rPr>
          <w:rFonts w:ascii="Times New Roman" w:hAnsi="Times New Roman" w:cs="Times New Roman"/>
          <w:sz w:val="24"/>
          <w:szCs w:val="24"/>
        </w:rPr>
      </w:pPr>
      <w:r>
        <w:rPr>
          <w:rFonts w:ascii="Times New Roman" w:hAnsi="Times New Roman" w:cs="Times New Roman"/>
          <w:sz w:val="24"/>
          <w:szCs w:val="24"/>
        </w:rPr>
        <w:t>For example, suppose a product is in great demand in the local market. In that case, the business can use that fact to its advantage by putting more resources into producing and marketing that product. There was a significant need for nutritious meals. Nestle was founded in Switzerland in response to this need, and it has since grown to become a global behemoth. The growth and healthy competition among Nestle's ancillary and supporting sectors allow the company to capitalize on its cost advantage and prioritize innovation to maintain its market distinctiveness (Tybout and Calkins, 2019). Environmental factors influence organizational strategy and culture. There was a strong emphasis on acting after careful study in Switzerland, and these same ideas have been at the heart of Nestle ever since it was founded.</w:t>
      </w:r>
    </w:p>
    <w:p>
      <w:pPr>
        <w:pStyle w:val="2"/>
        <w:spacing w:before="0" w:line="480" w:lineRule="auto"/>
        <w:jc w:val="both"/>
        <w:rPr>
          <w:rFonts w:ascii="Times New Roman" w:hAnsi="Times New Roman" w:cs="Times New Roman"/>
          <w:b/>
          <w:color w:val="auto"/>
          <w:sz w:val="28"/>
          <w:szCs w:val="28"/>
        </w:rPr>
      </w:pPr>
      <w:bookmarkStart w:id="31" w:name="_Toc121744946"/>
      <w:r>
        <w:rPr>
          <w:rFonts w:ascii="Times New Roman" w:hAnsi="Times New Roman" w:cs="Times New Roman"/>
          <w:b/>
          <w:color w:val="auto"/>
          <w:sz w:val="28"/>
          <w:szCs w:val="28"/>
        </w:rPr>
        <w:t>Nestlé's strategic direction</w:t>
      </w:r>
      <w:bookmarkEnd w:id="31"/>
    </w:p>
    <w:p>
      <w:pPr>
        <w:spacing w:after="0" w:line="480" w:lineRule="auto"/>
        <w:ind w:firstLine="480" w:firstLineChars="200"/>
        <w:jc w:val="both"/>
        <w:rPr>
          <w:rFonts w:ascii="Times New Roman" w:hAnsi="Times New Roman" w:cs="Times New Roman"/>
          <w:sz w:val="24"/>
          <w:szCs w:val="24"/>
        </w:rPr>
      </w:pPr>
      <w:r>
        <w:rPr>
          <w:rFonts w:ascii="Times New Roman" w:hAnsi="Times New Roman" w:cs="Times New Roman"/>
          <w:sz w:val="24"/>
          <w:szCs w:val="24"/>
        </w:rPr>
        <w:t>The worldwide market has always been vital for any multinational firm to create a substantial market for consumer items. The majority of its income, at 95%, comes from its overseas operations. Ghauri and Cateora (2014) state that Nestlé's rapid growth and global presence may be attributed in large part to the global nature of the company's organizational structure. With its history of reliable technology and established product lines, Nestlé is well-positioned to take advantage of overseas production at a reduced cost.</w:t>
      </w:r>
    </w:p>
    <w:p>
      <w:pPr>
        <w:spacing w:after="0" w:line="480" w:lineRule="auto"/>
        <w:ind w:firstLine="480" w:firstLineChars="200"/>
        <w:jc w:val="both"/>
        <w:rPr>
          <w:rFonts w:ascii="Times New Roman" w:hAnsi="Times New Roman" w:cs="Times New Roman"/>
          <w:sz w:val="24"/>
          <w:szCs w:val="24"/>
        </w:rPr>
      </w:pPr>
      <w:r>
        <w:rPr>
          <w:rFonts w:ascii="Times New Roman" w:hAnsi="Times New Roman" w:cs="Times New Roman"/>
          <w:sz w:val="24"/>
          <w:szCs w:val="24"/>
        </w:rPr>
        <w:t xml:space="preserve">Nestlé bought the well-known British maker of canned and preserved goods, Crosse and Blackwell, and combined with the company that makes Maggi soups and spices to expand into new markets (Hassan, 2019). Even more so, Nestlé has engaged in several mergers and acquisitions throughout the years. By forming a partnership with Coca-Cola and its beverage partners worldwide, Nestlé is shifting its focus from milk and confectionary to drinks (Ben, 2021). The firms have formed a solid partnership, which has helped them make strategic plans to expand their black and green tea beverage businesses. Nestlé's primary competitive advantage is the strength of its brand name recognition. The company has developed and joined joint ventures to promote its growth in new business sectors related to fitness to diversify away from its existing industry. Nestlé is at the forefront of innovation because of its robust R&amp;D capabilities, which allow the company to provide a wide range of products to meet the needs of its customers. </w:t>
      </w:r>
    </w:p>
    <w:p>
      <w:pPr>
        <w:pStyle w:val="2"/>
        <w:spacing w:before="0" w:line="480" w:lineRule="auto"/>
        <w:jc w:val="both"/>
        <w:rPr>
          <w:rFonts w:ascii="Times New Roman" w:hAnsi="Times New Roman" w:cs="Times New Roman"/>
          <w:b/>
          <w:color w:val="auto"/>
          <w:sz w:val="28"/>
          <w:szCs w:val="28"/>
        </w:rPr>
      </w:pPr>
      <w:bookmarkStart w:id="32" w:name="_Toc121744947"/>
      <w:r>
        <w:rPr>
          <w:rFonts w:ascii="Times New Roman" w:hAnsi="Times New Roman" w:cs="Times New Roman"/>
          <w:b/>
          <w:color w:val="auto"/>
          <w:sz w:val="28"/>
          <w:szCs w:val="28"/>
        </w:rPr>
        <w:t>Strategic Challenges Facing Nestle</w:t>
      </w:r>
      <w:bookmarkEnd w:id="32"/>
    </w:p>
    <w:p>
      <w:pPr>
        <w:spacing w:after="0" w:line="480" w:lineRule="auto"/>
        <w:ind w:firstLine="480" w:firstLineChars="200"/>
        <w:jc w:val="both"/>
        <w:rPr>
          <w:rFonts w:ascii="Times New Roman" w:hAnsi="Times New Roman" w:cs="Times New Roman"/>
          <w:sz w:val="24"/>
          <w:szCs w:val="24"/>
        </w:rPr>
      </w:pPr>
      <w:r>
        <w:rPr>
          <w:rFonts w:ascii="Times New Roman" w:hAnsi="Times New Roman" w:cs="Times New Roman"/>
          <w:sz w:val="24"/>
          <w:szCs w:val="24"/>
        </w:rPr>
        <w:t>The World Health Organization (WHO) has been very critical of Nestlé's performance because of the company's allegedly deceptive marketing strategy, which aims to convince women that infant formula is preferable to breast milk (Andia and Chorev, 2017). However, Nestlé faces a locked-in consumer scenario since more and more moms opt to use powdered milk rather than breast milk, ending their milk production. Nestlé's detractors have claimed that infant mortality rates are rising because more moms opt for convenience foods like instant formula (Sethi, 2012). The infant formula crisis has been another eminent disaster for Nestlé, leading to a consumer boycott of the business. Nestlé began working closely with the International Council of Infant Industries (ICIFI), the industry's self-regulatory organization, to respond to criticism from the World Health Organization. After Saunders and Earnest were elected president of ICIFI, they began negotiations with the World Health Organization (WHO), which resulted in the termination of the boycott of Nestlé's infant food products in 1984 (Boyd, 2012).</w:t>
      </w:r>
    </w:p>
    <w:p>
      <w:pPr>
        <w:spacing w:after="0" w:line="480" w:lineRule="auto"/>
        <w:ind w:firstLine="480" w:firstLineChars="200"/>
        <w:jc w:val="both"/>
        <w:rPr>
          <w:rFonts w:ascii="Times New Roman" w:hAnsi="Times New Roman" w:cs="Times New Roman"/>
          <w:sz w:val="24"/>
          <w:szCs w:val="24"/>
        </w:rPr>
      </w:pPr>
      <w:r>
        <w:rPr>
          <w:rFonts w:ascii="Times New Roman" w:hAnsi="Times New Roman" w:cs="Times New Roman"/>
          <w:sz w:val="24"/>
          <w:szCs w:val="24"/>
        </w:rPr>
        <w:t>The Nesfluid is a prime example of the functional food and beverage industry's missteps. According to functional food specialist Julian Mellentin, Nestlé's Nesfluid debut failed due mainly to a confusing introduction since the brand offered hydration, nutrition, and alphabet soup as health advantages in a doubtful tasting beverage selection. According to the numbers, despite a substantial marketing budget and low prices, Nesfluid failed to gain consumer traction and was pulled off the shelves 18 months after its introduction. Nestlé's attempt to penetrate the mass market by releasing a wide variety of products at once, including coconut water and whey protein blend, was doomed to failure because of the conflicting goals of the two ingredients.</w:t>
      </w:r>
    </w:p>
    <w:p>
      <w:pPr>
        <w:pStyle w:val="2"/>
        <w:spacing w:before="0" w:line="480" w:lineRule="auto"/>
        <w:jc w:val="both"/>
        <w:rPr>
          <w:rFonts w:ascii="Times New Roman" w:hAnsi="Times New Roman" w:cs="Times New Roman"/>
          <w:b/>
          <w:color w:val="auto"/>
          <w:sz w:val="28"/>
          <w:szCs w:val="28"/>
        </w:rPr>
      </w:pPr>
      <w:bookmarkStart w:id="33" w:name="_Toc121744948"/>
      <w:r>
        <w:rPr>
          <w:rFonts w:ascii="Times New Roman" w:hAnsi="Times New Roman" w:cs="Times New Roman"/>
          <w:b/>
          <w:color w:val="auto"/>
          <w:sz w:val="28"/>
          <w:szCs w:val="28"/>
        </w:rPr>
        <w:t>Conclusion</w:t>
      </w:r>
      <w:bookmarkEnd w:id="33"/>
      <w:r>
        <w:rPr>
          <w:rFonts w:ascii="Times New Roman" w:hAnsi="Times New Roman" w:cs="Times New Roman"/>
          <w:b/>
          <w:color w:val="auto"/>
          <w:sz w:val="28"/>
          <w:szCs w:val="28"/>
        </w:rPr>
        <w:t xml:space="preserve"> </w:t>
      </w:r>
    </w:p>
    <w:p>
      <w:pPr>
        <w:spacing w:after="0" w:line="480" w:lineRule="auto"/>
        <w:ind w:firstLine="480" w:firstLineChars="200"/>
        <w:jc w:val="both"/>
        <w:rPr>
          <w:rFonts w:ascii="Times New Roman" w:hAnsi="Times New Roman" w:cs="Times New Roman"/>
          <w:sz w:val="24"/>
          <w:szCs w:val="24"/>
        </w:rPr>
      </w:pPr>
      <w:r>
        <w:rPr>
          <w:rFonts w:ascii="Times New Roman" w:hAnsi="Times New Roman" w:cs="Times New Roman"/>
          <w:sz w:val="24"/>
          <w:szCs w:val="24"/>
        </w:rPr>
        <w:t>Nestle is the most prominent firm in the world. It has the expertise and training to comprehend consumers' wants and act immediately and thoroughly. It also has a considerable number of staff, a wide range of sales channels, and a robust financial foundation. However, other economic variables show that it is a very profitable company that makes food. But this firm was sued in many places worldwide and lost money because it had to follow court orders, pay compensation, or throw away food packages. In this situation, the corporation's management should set ethical standards and strengthen corporate values to make better products and lessen the number of pronouncements.</w:t>
      </w:r>
    </w:p>
    <w:p>
      <w:pPr>
        <w:spacing w:after="0" w:line="480" w:lineRule="auto"/>
        <w:ind w:firstLine="480" w:firstLineChars="200"/>
        <w:jc w:val="both"/>
        <w:rPr>
          <w:rFonts w:ascii="Times New Roman" w:hAnsi="Times New Roman" w:cs="Times New Roman"/>
          <w:sz w:val="24"/>
          <w:szCs w:val="24"/>
        </w:rPr>
      </w:pPr>
      <w:r>
        <w:rPr>
          <w:rFonts w:ascii="Times New Roman" w:hAnsi="Times New Roman" w:cs="Times New Roman"/>
          <w:sz w:val="24"/>
          <w:szCs w:val="24"/>
        </w:rPr>
        <w:t>In conclusion, Nestlé has maintained its position in the list of the wealthy five hundred firms thanks to several good features behind its massive product assortment. Through effective management, innovation, integration, and research and development, the firm has become a global leader in the food and nutrition industry and a model for other businesses worldwide. The firm has been the target of several lawsuits and is widely recognized as one of the most boycotted in the world, although its sales have shown a minimal decline since its beginning. That results from the value chain creation and optimized procedures that make Nestle an integral part of people's lives in the 130 nations it serves.</w:t>
      </w:r>
    </w:p>
    <w:p>
      <w:pPr>
        <w:pStyle w:val="2"/>
        <w:spacing w:before="0" w:line="480" w:lineRule="auto"/>
        <w:jc w:val="both"/>
        <w:rPr>
          <w:rFonts w:ascii="Times New Roman" w:hAnsi="Times New Roman" w:cs="Times New Roman"/>
          <w:b/>
          <w:color w:val="auto"/>
          <w:sz w:val="28"/>
          <w:szCs w:val="28"/>
        </w:rPr>
      </w:pPr>
      <w:bookmarkStart w:id="34" w:name="_Toc121744949"/>
      <w:r>
        <w:rPr>
          <w:rFonts w:ascii="Times New Roman" w:hAnsi="Times New Roman" w:cs="Times New Roman"/>
          <w:b/>
          <w:color w:val="auto"/>
          <w:sz w:val="28"/>
          <w:szCs w:val="28"/>
        </w:rPr>
        <w:t>Recommendations</w:t>
      </w:r>
      <w:bookmarkEnd w:id="34"/>
    </w:p>
    <w:p>
      <w:pPr>
        <w:spacing w:after="0" w:line="480" w:lineRule="auto"/>
        <w:ind w:firstLine="480" w:firstLineChars="200"/>
        <w:jc w:val="both"/>
        <w:rPr>
          <w:rFonts w:ascii="Times New Roman" w:hAnsi="Times New Roman" w:cs="Times New Roman"/>
          <w:sz w:val="24"/>
          <w:szCs w:val="24"/>
        </w:rPr>
      </w:pPr>
      <w:r>
        <w:rPr>
          <w:rFonts w:ascii="Times New Roman" w:hAnsi="Times New Roman" w:cs="Times New Roman"/>
          <w:sz w:val="24"/>
          <w:szCs w:val="24"/>
        </w:rPr>
        <w:t>Nestle's strategies and branding are both relatively well-developed. However, the organization should enhance its reputation as a corporation that practices corporate responsibility. Nestle is one of the most boycotted businesses in the world, as was already said, due to the notion that it engages in corporate crime regarding environmental standards (O'Handley, 2019). The business must make sure that particular image is changed. Additionally, instead of continually investing more in Nestle products to boost their value, those that aren't performing well in particular countries should be withdrawn. To avoid incurring sunk costs, some items should be overlooked because of the culture of the market that Nestle works in.</w:t>
      </w:r>
    </w:p>
    <w:p>
      <w:pPr>
        <w:spacing w:after="0" w:line="480" w:lineRule="auto"/>
        <w:ind w:firstLine="480" w:firstLineChars="200"/>
        <w:jc w:val="both"/>
        <w:rPr>
          <w:rFonts w:ascii="Times New Roman" w:hAnsi="Times New Roman" w:cs="Times New Roman"/>
          <w:sz w:val="24"/>
          <w:szCs w:val="24"/>
        </w:rPr>
      </w:pPr>
      <w:r>
        <w:rPr>
          <w:rFonts w:ascii="Times New Roman" w:hAnsi="Times New Roman" w:cs="Times New Roman"/>
          <w:sz w:val="24"/>
          <w:szCs w:val="24"/>
        </w:rPr>
        <w:t>The second choice is the corporation committing to and concentrating on innovation and creativity. The corporation will produce innovative items with the aid of creativity and innovation, boosting sales volume and overcoming obstacles like the implementation of a sugar tax and Brexit. The organization may significantly improve its core strengths, create new markets, and combat negative external pressures by investing in market research. However, to ensure the solutions are suitable, they must be evaluated using the suitability, acceptability, and feasibility (SAFE) framework.</w:t>
      </w:r>
    </w:p>
    <w:p>
      <w:pPr>
        <w:spacing w:after="0" w:line="480" w:lineRule="auto"/>
        <w:ind w:firstLine="480" w:firstLineChars="200"/>
        <w:jc w:val="both"/>
        <w:rPr>
          <w:rFonts w:ascii="Times New Roman" w:hAnsi="Times New Roman" w:cs="Times New Roman"/>
          <w:sz w:val="24"/>
          <w:szCs w:val="24"/>
        </w:rPr>
      </w:pPr>
      <w:r>
        <w:rPr>
          <w:rFonts w:ascii="Times New Roman" w:hAnsi="Times New Roman" w:cs="Times New Roman"/>
          <w:sz w:val="24"/>
          <w:szCs w:val="24"/>
        </w:rPr>
        <w:t>Due to the incompetence of a few of its best-selling goods, like Nesfluid and Maggi, Nestlé's revenues and market share have been declining steadily in recent years. It has been shown scientifically that these items contain toxic compounds that are bad for people. Nestlé needs to establish itself as a leader in health, nutrition, and wellness by collaborating with specialists who can improve the company's current and future goods by making them more nutritious and free of genetically modified organisms (GMOs). Additionally, Nestlé's chocolate and confectionery division is seeing declining sales. Furthermore, Nestlé Pure Life's water business represents a net drain on the company's profit margin (Coe, Kelly, and Yeung, 2019). However, Nestlé's high-sugar products go against the customer health and well-being ideal. Nestlé has to use its research and development (R&amp;D) network to create healthier goods while providing quality and safety guarantees to boost its operational effectiveness and brand image.</w:t>
      </w:r>
    </w:p>
    <w:p>
      <w:pPr>
        <w:pStyle w:val="3"/>
        <w:spacing w:before="0" w:line="480" w:lineRule="auto"/>
        <w:jc w:val="both"/>
        <w:rPr>
          <w:rFonts w:ascii="Times New Roman" w:hAnsi="Times New Roman" w:cs="Times New Roman"/>
          <w:b/>
          <w:color w:val="auto"/>
          <w:sz w:val="28"/>
          <w:szCs w:val="28"/>
        </w:rPr>
      </w:pPr>
      <w:bookmarkStart w:id="35" w:name="_Toc121744950"/>
      <w:r>
        <w:rPr>
          <w:rFonts w:ascii="Times New Roman" w:hAnsi="Times New Roman" w:cs="Times New Roman"/>
          <w:b/>
          <w:color w:val="auto"/>
          <w:sz w:val="28"/>
          <w:szCs w:val="28"/>
        </w:rPr>
        <w:t>Providing creative customer service</w:t>
      </w:r>
      <w:bookmarkEnd w:id="35"/>
    </w:p>
    <w:p>
      <w:pPr>
        <w:spacing w:after="0" w:line="480" w:lineRule="auto"/>
        <w:ind w:firstLine="480" w:firstLineChars="200"/>
        <w:jc w:val="both"/>
        <w:rPr>
          <w:rFonts w:ascii="Times New Roman" w:hAnsi="Times New Roman" w:cs="Times New Roman"/>
          <w:sz w:val="24"/>
          <w:szCs w:val="24"/>
        </w:rPr>
      </w:pPr>
      <w:r>
        <w:rPr>
          <w:rFonts w:ascii="Times New Roman" w:hAnsi="Times New Roman" w:cs="Times New Roman"/>
          <w:sz w:val="24"/>
          <w:szCs w:val="24"/>
        </w:rPr>
        <w:t>Nestle may enhance its customer satisfaction largely by increasing its services to its clients and concentrating on customer contentment. Nestle's service quality may be boosted through paying more attention to consumers, being proactive, understanding the customers, gratifying disgruntled customers, making the consumer feel heard, safeguarding a brand from the bad limelight, and developing a favorable image. Nestle should start paying attention to what the customers require in their goods. Some consumers may reply badly about client service satisfaction, hurting the brand and the firm. Luckily, paying attention to what folks are saying about Nestle will be effective through current client service methods like social media, whereby dialogues involving the services of Nestle among its consumers may be recorded.</w:t>
      </w:r>
    </w:p>
    <w:p>
      <w:pPr>
        <w:spacing w:after="0" w:line="480" w:lineRule="auto"/>
        <w:ind w:firstLine="480" w:firstLineChars="200"/>
        <w:jc w:val="both"/>
        <w:rPr>
          <w:rFonts w:ascii="Times New Roman" w:hAnsi="Times New Roman" w:cs="Times New Roman"/>
          <w:sz w:val="24"/>
          <w:szCs w:val="24"/>
        </w:rPr>
      </w:pPr>
      <w:r>
        <w:rPr>
          <w:rFonts w:ascii="Times New Roman" w:hAnsi="Times New Roman" w:cs="Times New Roman"/>
          <w:sz w:val="24"/>
          <w:szCs w:val="24"/>
        </w:rPr>
        <w:t>The company may undertake regional polls to understand better how customers in different parts of the world feel about Nestle's offerings. By conducting surveys, businesses may learn what techniques work best to satisfy customer needs (Gonzalez, 2019). For instance, if participants complain that Nestle's goods are of bad quality, the company might benefit from hearing different perspectives on enhancing product quality. The surveys will give Nestle's management plenty of opportunities for in-person connection with customers, allowing them to address customer concerns better and build upon strengths. Importantly, eradicating the bad customer evaluations about the corporation will depend on teaching purchasers about the Nestle goods, including their consumption, especially among newborns.</w:t>
      </w:r>
    </w:p>
    <w:p>
      <w:pPr>
        <w:spacing w:after="0" w:line="480" w:lineRule="auto"/>
        <w:ind w:firstLine="480" w:firstLineChars="200"/>
        <w:jc w:val="both"/>
        <w:rPr>
          <w:rFonts w:ascii="Times New Roman" w:hAnsi="Times New Roman" w:cs="Times New Roman"/>
          <w:sz w:val="24"/>
          <w:szCs w:val="24"/>
        </w:rPr>
      </w:pPr>
      <w:r>
        <w:rPr>
          <w:rFonts w:ascii="Times New Roman" w:hAnsi="Times New Roman" w:cs="Times New Roman"/>
          <w:sz w:val="24"/>
          <w:szCs w:val="24"/>
        </w:rPr>
        <w:t>Most consumers have a poor opinion of Nestle because they do not understand how best to use its products (Laforet, 2011). Customer satisfaction may be increased if Nestle creates many ways for customers to contact them and voice their concerns. Businesses in today's digital age have figured out how to use platforms like Twitter and Snapchat. As a result, certain social media sites are more popular than others among the general public's preferred methods of online interaction. Therefore, Nestle should expand its use of social media platforms to improve its customer assistance and better respond to the wide range of feedback and concerns it is bound to get. Nestle can learn more about what its consumers want and need by listening to their comments and criticisms. Nestle might use alternative contact channels, such as toll-free phones and email assistance, which it could subscribe to. Furthermore, the company should follow up with unhappy customers and understand how to help them. Increased customer satisfaction can be attributed to the trust and appreciation fostered by regular customer follow-ups.</w:t>
      </w:r>
    </w:p>
    <w:p>
      <w:pPr>
        <w:spacing w:after="0" w:line="480" w:lineRule="auto"/>
        <w:ind w:firstLine="480" w:firstLineChars="200"/>
        <w:jc w:val="both"/>
        <w:rPr>
          <w:rFonts w:ascii="Times New Roman" w:hAnsi="Times New Roman" w:cs="Times New Roman"/>
          <w:sz w:val="24"/>
          <w:szCs w:val="24"/>
        </w:rPr>
      </w:pPr>
      <w:r>
        <w:rPr>
          <w:rFonts w:ascii="Times New Roman" w:hAnsi="Times New Roman" w:cs="Times New Roman"/>
          <w:sz w:val="24"/>
          <w:szCs w:val="24"/>
        </w:rPr>
        <w:t>Using the right resources, the company may develop preventative customer service strategies instead of reactive ones. Nestle's management may educate their couriers on the importance of being honest and properly managing customers' expectations of the company's marketing campaigns. A major reason why customers are unhappy. Dissatisfied customers result when a service or item does not live up to their anticipations (Hult et al. 2019). Nestle must watch what it advertises very closely to ensure it's not making promises it can't keep. Nestle would be wise to learn more about its varied clientele if it wants to keep them happy. The corporation can use its marketing and customer service staff to learn what its customers want. Collecting information about consumers' desires and requirements is the first step in satisfying those wants and needs.</w:t>
      </w:r>
    </w:p>
    <w:p>
      <w:pPr>
        <w:spacing w:after="0" w:line="480" w:lineRule="auto"/>
        <w:ind w:firstLine="480" w:firstLineChars="200"/>
        <w:jc w:val="both"/>
        <w:rPr>
          <w:rFonts w:ascii="Times New Roman" w:hAnsi="Times New Roman" w:cs="Times New Roman"/>
          <w:sz w:val="24"/>
          <w:szCs w:val="24"/>
        </w:rPr>
      </w:pPr>
      <w:r>
        <w:rPr>
          <w:rFonts w:ascii="Times New Roman" w:hAnsi="Times New Roman" w:cs="Times New Roman"/>
          <w:sz w:val="24"/>
          <w:szCs w:val="24"/>
        </w:rPr>
        <w:t>Finally, the organization can meet the needs of each consumer in a way that makes them feel important and valued. Nestle should be prepared to admit to making some minor faults in their services and goods and should therefore move forwards in times of such difficulties to clarify the flaws and build trust in the products and services of the firm. To prevent its competitors from using the company's poor products or services as ammunition, the company should treat its consumers with respect throughout such incidents. The company's credibility, trustworthiness, and honesty, as well as its standing in the market, will increase if its employees listen carefully to what consumers want. Firms that care about their reputation more than making a quick buck will put in the extra effort to make sure their plans are carried out.</w:t>
      </w:r>
    </w:p>
    <w:p>
      <w:pPr>
        <w:spacing w:after="0" w:line="480" w:lineRule="auto"/>
        <w:jc w:val="both"/>
        <w:rPr>
          <w:rFonts w:ascii="Times New Roman" w:hAnsi="Times New Roman" w:cs="Times New Roman"/>
          <w:sz w:val="24"/>
          <w:szCs w:val="24"/>
        </w:rPr>
      </w:pPr>
    </w:p>
    <w:p>
      <w:pPr>
        <w:spacing w:after="0" w:line="480" w:lineRule="auto"/>
        <w:jc w:val="both"/>
        <w:rPr>
          <w:rFonts w:ascii="Times New Roman" w:hAnsi="Times New Roman" w:cs="Times New Roman"/>
          <w:sz w:val="24"/>
          <w:szCs w:val="24"/>
        </w:rPr>
      </w:pPr>
    </w:p>
    <w:p>
      <w:pPr>
        <w:spacing w:after="0" w:line="480" w:lineRule="auto"/>
        <w:jc w:val="both"/>
        <w:rPr>
          <w:rFonts w:ascii="Times New Roman" w:hAnsi="Times New Roman" w:cs="Times New Roman"/>
          <w:sz w:val="24"/>
          <w:szCs w:val="24"/>
        </w:rPr>
      </w:pPr>
    </w:p>
    <w:p>
      <w:pPr>
        <w:rPr>
          <w:rFonts w:ascii="Times New Roman" w:hAnsi="Times New Roman" w:cs="Times New Roman"/>
          <w:b/>
          <w:color w:val="auto"/>
          <w:sz w:val="28"/>
          <w:szCs w:val="28"/>
        </w:rPr>
      </w:pPr>
      <w:bookmarkStart w:id="36" w:name="_Toc121744951"/>
      <w:r>
        <w:rPr>
          <w:rFonts w:ascii="Times New Roman" w:hAnsi="Times New Roman" w:cs="Times New Roman"/>
          <w:b/>
          <w:color w:val="auto"/>
          <w:sz w:val="28"/>
          <w:szCs w:val="28"/>
        </w:rPr>
        <w:br w:type="page"/>
      </w:r>
    </w:p>
    <w:p>
      <w:pPr>
        <w:pStyle w:val="2"/>
        <w:jc w:val="center"/>
        <w:rPr>
          <w:rFonts w:ascii="Times New Roman" w:hAnsi="Times New Roman" w:cs="Times New Roman"/>
          <w:b/>
          <w:sz w:val="28"/>
          <w:szCs w:val="28"/>
        </w:rPr>
      </w:pPr>
      <w:r>
        <w:rPr>
          <w:rFonts w:ascii="Times New Roman" w:hAnsi="Times New Roman" w:cs="Times New Roman"/>
          <w:b/>
          <w:color w:val="auto"/>
          <w:sz w:val="28"/>
          <w:szCs w:val="28"/>
        </w:rPr>
        <w:t>References</w:t>
      </w:r>
      <w:bookmarkEnd w:id="36"/>
    </w:p>
    <w:p>
      <w:pPr>
        <w:spacing w:after="0" w:line="48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Abhishek, A., 2020. An Organization Study Report Of Nestle India.</w:t>
      </w:r>
    </w:p>
    <w:p>
      <w:pPr>
        <w:spacing w:after="0" w:line="48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Akinsipe Olasunkanmi, M.G., 2021. </w:t>
      </w:r>
      <w:r>
        <w:rPr>
          <w:rFonts w:ascii="Times New Roman" w:hAnsi="Times New Roman" w:cs="Times New Roman"/>
          <w:i/>
          <w:iCs/>
          <w:color w:val="222222"/>
          <w:sz w:val="24"/>
          <w:szCs w:val="24"/>
          <w:shd w:val="clear" w:color="auto" w:fill="FFFFFF"/>
        </w:rPr>
        <w:t>The economic effectiveness of international companies on the markets of the host countries (based on materials of Nestlé SA)</w:t>
      </w:r>
      <w:r>
        <w:rPr>
          <w:rFonts w:ascii="Times New Roman" w:hAnsi="Times New Roman" w:cs="Times New Roman"/>
          <w:color w:val="222222"/>
          <w:sz w:val="24"/>
          <w:szCs w:val="24"/>
          <w:shd w:val="clear" w:color="auto" w:fill="FFFFFF"/>
        </w:rPr>
        <w:t> (Doctoral dissertation).</w:t>
      </w:r>
    </w:p>
    <w:p>
      <w:pPr>
        <w:spacing w:after="0" w:line="48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Andia, T. and Chorev, N., 2017. Making knowledge legitimate: transnational advocacy networks' campaigns against tobacco, infant formula and pharmaceuticals. </w:t>
      </w:r>
      <w:r>
        <w:rPr>
          <w:rFonts w:ascii="Times New Roman" w:hAnsi="Times New Roman" w:cs="Times New Roman"/>
          <w:i/>
          <w:iCs/>
          <w:color w:val="222222"/>
          <w:sz w:val="24"/>
          <w:szCs w:val="24"/>
          <w:shd w:val="clear" w:color="auto" w:fill="FFFFFF"/>
        </w:rPr>
        <w:t>Global Networks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17</w:t>
      </w:r>
      <w:r>
        <w:rPr>
          <w:rFonts w:ascii="Times New Roman" w:hAnsi="Times New Roman" w:cs="Times New Roman"/>
          <w:color w:val="222222"/>
          <w:sz w:val="24"/>
          <w:szCs w:val="24"/>
          <w:shd w:val="clear" w:color="auto" w:fill="FFFFFF"/>
        </w:rPr>
        <w:t>(2), pp.255-280.</w:t>
      </w:r>
    </w:p>
    <w:p>
      <w:pPr>
        <w:spacing w:after="0" w:line="48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Aqila, H., Syarmimi, I., Adawiyah, H., Akhtar, I., Alhesainan, M.S. and Altayyar, L.F., 2022. Customer Satisfaction Act upon the Brand’s Fame: A Case Study of Nestle. </w:t>
      </w:r>
      <w:r>
        <w:rPr>
          <w:rFonts w:ascii="Times New Roman" w:hAnsi="Times New Roman" w:cs="Times New Roman"/>
          <w:i/>
          <w:iCs/>
          <w:color w:val="222222"/>
          <w:sz w:val="24"/>
          <w:szCs w:val="24"/>
          <w:shd w:val="clear" w:color="auto" w:fill="FFFFFF"/>
        </w:rPr>
        <w:t>International Journal of Applied Business and International Management (IJABIM)</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7</w:t>
      </w:r>
      <w:r>
        <w:rPr>
          <w:rFonts w:ascii="Times New Roman" w:hAnsi="Times New Roman" w:cs="Times New Roman"/>
          <w:color w:val="222222"/>
          <w:sz w:val="24"/>
          <w:szCs w:val="24"/>
          <w:shd w:val="clear" w:color="auto" w:fill="FFFFFF"/>
        </w:rPr>
        <w:t>(2), pp.59-71.</w:t>
      </w:r>
    </w:p>
    <w:p>
      <w:pPr>
        <w:spacing w:after="0" w:line="48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Aren, M.L.F., 2019. </w:t>
      </w:r>
      <w:r>
        <w:rPr>
          <w:rFonts w:ascii="Times New Roman" w:hAnsi="Times New Roman" w:cs="Times New Roman"/>
          <w:i/>
          <w:iCs/>
          <w:color w:val="222222"/>
          <w:sz w:val="24"/>
          <w:szCs w:val="24"/>
          <w:shd w:val="clear" w:color="auto" w:fill="FFFFFF"/>
        </w:rPr>
        <w:t>Cross-border mergers and acquisitions as a channel for foreign direct investment into Nigeria: the regulatory challenges</w:t>
      </w:r>
      <w:r>
        <w:rPr>
          <w:rFonts w:ascii="Times New Roman" w:hAnsi="Times New Roman" w:cs="Times New Roman"/>
          <w:color w:val="222222"/>
          <w:sz w:val="24"/>
          <w:szCs w:val="24"/>
          <w:shd w:val="clear" w:color="auto" w:fill="FFFFFF"/>
        </w:rPr>
        <w:t> (Doctoral dissertation, University of Pretoria).</w:t>
      </w:r>
    </w:p>
    <w:p>
      <w:pPr>
        <w:spacing w:after="0" w:line="48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Ben, B., 2021. Sustainability a business approach case: the non-alcoholic beverage industry.</w:t>
      </w:r>
    </w:p>
    <w:p>
      <w:pPr>
        <w:spacing w:after="0" w:line="48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Bentley, A., 2014. </w:t>
      </w:r>
      <w:r>
        <w:rPr>
          <w:rFonts w:ascii="Times New Roman" w:hAnsi="Times New Roman" w:cs="Times New Roman"/>
          <w:i/>
          <w:iCs/>
          <w:color w:val="222222"/>
          <w:sz w:val="24"/>
          <w:szCs w:val="24"/>
          <w:shd w:val="clear" w:color="auto" w:fill="FFFFFF"/>
        </w:rPr>
        <w:t>Inventing baby food: Taste, health, and the industrialization of the American diet</w:t>
      </w:r>
      <w:r>
        <w:rPr>
          <w:rFonts w:ascii="Times New Roman" w:hAnsi="Times New Roman" w:cs="Times New Roman"/>
          <w:color w:val="222222"/>
          <w:sz w:val="24"/>
          <w:szCs w:val="24"/>
          <w:shd w:val="clear" w:color="auto" w:fill="FFFFFF"/>
        </w:rPr>
        <w:t> (Vol. 51). Univ of California Press.</w:t>
      </w:r>
    </w:p>
    <w:p>
      <w:pPr>
        <w:spacing w:after="0" w:line="48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Bochert, R., Cismaru, L. and Foris, D., 2017. Connecting the members of generation Y to destination brands: A case study of the CUBIS project. </w:t>
      </w:r>
      <w:r>
        <w:rPr>
          <w:rFonts w:ascii="Times New Roman" w:hAnsi="Times New Roman" w:cs="Times New Roman"/>
          <w:i/>
          <w:iCs/>
          <w:color w:val="222222"/>
          <w:sz w:val="24"/>
          <w:szCs w:val="24"/>
          <w:shd w:val="clear" w:color="auto" w:fill="FFFFFF"/>
        </w:rPr>
        <w:t>Sustainability</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9</w:t>
      </w:r>
      <w:r>
        <w:rPr>
          <w:rFonts w:ascii="Times New Roman" w:hAnsi="Times New Roman" w:cs="Times New Roman"/>
          <w:color w:val="222222"/>
          <w:sz w:val="24"/>
          <w:szCs w:val="24"/>
          <w:shd w:val="clear" w:color="auto" w:fill="FFFFFF"/>
        </w:rPr>
        <w:t>(7), p.1197.</w:t>
      </w:r>
    </w:p>
    <w:p>
      <w:pPr>
        <w:spacing w:after="0" w:line="48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Bollerey, F., 2019. The restaurant and the rise of modern ‘cuisine’1. In </w:t>
      </w:r>
      <w:r>
        <w:rPr>
          <w:rFonts w:ascii="Times New Roman" w:hAnsi="Times New Roman" w:cs="Times New Roman"/>
          <w:i/>
          <w:iCs/>
          <w:color w:val="222222"/>
          <w:sz w:val="24"/>
          <w:szCs w:val="24"/>
          <w:shd w:val="clear" w:color="auto" w:fill="FFFFFF"/>
        </w:rPr>
        <w:t>Restaurants and Dining Rooms</w:t>
      </w:r>
      <w:r>
        <w:rPr>
          <w:rFonts w:ascii="Times New Roman" w:hAnsi="Times New Roman" w:cs="Times New Roman"/>
          <w:color w:val="222222"/>
          <w:sz w:val="24"/>
          <w:szCs w:val="24"/>
          <w:shd w:val="clear" w:color="auto" w:fill="FFFFFF"/>
        </w:rPr>
        <w:t> (pp. 5-84). Routledge.</w:t>
      </w:r>
    </w:p>
    <w:p>
      <w:pPr>
        <w:spacing w:after="0" w:line="48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Boyd, C., 2012. The Nestlé infant formula controversy and a strange web of subsequent business scandals. </w:t>
      </w:r>
      <w:r>
        <w:rPr>
          <w:rFonts w:ascii="Times New Roman" w:hAnsi="Times New Roman" w:cs="Times New Roman"/>
          <w:i/>
          <w:iCs/>
          <w:color w:val="222222"/>
          <w:sz w:val="24"/>
          <w:szCs w:val="24"/>
          <w:shd w:val="clear" w:color="auto" w:fill="FFFFFF"/>
        </w:rPr>
        <w:t>Journal of Business Ethics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106</w:t>
      </w:r>
      <w:r>
        <w:rPr>
          <w:rFonts w:ascii="Times New Roman" w:hAnsi="Times New Roman" w:cs="Times New Roman"/>
          <w:color w:val="222222"/>
          <w:sz w:val="24"/>
          <w:szCs w:val="24"/>
          <w:shd w:val="clear" w:color="auto" w:fill="FFFFFF"/>
        </w:rPr>
        <w:t>(3), pp.283-293.</w:t>
      </w:r>
    </w:p>
    <w:p>
      <w:pPr>
        <w:spacing w:after="0" w:line="48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Chen, C.J., 2018. Developing a model for supply chain agility and innovativeness to enhance firms’ competitive advantage. </w:t>
      </w:r>
      <w:r>
        <w:rPr>
          <w:rFonts w:ascii="Times New Roman" w:hAnsi="Times New Roman" w:cs="Times New Roman"/>
          <w:i/>
          <w:iCs/>
          <w:color w:val="222222"/>
          <w:sz w:val="24"/>
          <w:szCs w:val="24"/>
          <w:shd w:val="clear" w:color="auto" w:fill="FFFFFF"/>
        </w:rPr>
        <w:t>Management Decision</w:t>
      </w:r>
      <w:r>
        <w:rPr>
          <w:rFonts w:ascii="Times New Roman" w:hAnsi="Times New Roman" w:cs="Times New Roman"/>
          <w:color w:val="222222"/>
          <w:sz w:val="24"/>
          <w:szCs w:val="24"/>
          <w:shd w:val="clear" w:color="auto" w:fill="FFFFFF"/>
        </w:rPr>
        <w:t>.</w:t>
      </w:r>
    </w:p>
    <w:p>
      <w:pPr>
        <w:spacing w:after="0" w:line="48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Chung, E.Y., Kee, D.M.H., Chan, J.W., Tiong, S.Y., Choke, Y.W., Low, J.S., Al Ajmi, D. and Motwani, H., 2020. Improving Food Safety and Food Quality: The Case of Nestle. </w:t>
      </w:r>
      <w:r>
        <w:rPr>
          <w:rFonts w:ascii="Times New Roman" w:hAnsi="Times New Roman" w:cs="Times New Roman"/>
          <w:i/>
          <w:iCs/>
          <w:color w:val="222222"/>
          <w:sz w:val="24"/>
          <w:szCs w:val="24"/>
          <w:shd w:val="clear" w:color="auto" w:fill="FFFFFF"/>
        </w:rPr>
        <w:t>International journal of Tourism and hospitality in Asia Pasific (IJTHAP)</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3</w:t>
      </w:r>
      <w:r>
        <w:rPr>
          <w:rFonts w:ascii="Times New Roman" w:hAnsi="Times New Roman" w:cs="Times New Roman"/>
          <w:color w:val="222222"/>
          <w:sz w:val="24"/>
          <w:szCs w:val="24"/>
          <w:shd w:val="clear" w:color="auto" w:fill="FFFFFF"/>
        </w:rPr>
        <w:t>(1), pp.57-67.</w:t>
      </w:r>
    </w:p>
    <w:p>
      <w:pPr>
        <w:spacing w:after="0" w:line="48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Coe, N.M., Kelly, P.F. and Yeung, H.W., 2019. </w:t>
      </w:r>
      <w:r>
        <w:rPr>
          <w:rFonts w:ascii="Times New Roman" w:hAnsi="Times New Roman" w:cs="Times New Roman"/>
          <w:i/>
          <w:iCs/>
          <w:color w:val="222222"/>
          <w:sz w:val="24"/>
          <w:szCs w:val="24"/>
          <w:shd w:val="clear" w:color="auto" w:fill="FFFFFF"/>
        </w:rPr>
        <w:t>Economic geography: a contemporary introduction</w:t>
      </w:r>
      <w:r>
        <w:rPr>
          <w:rFonts w:ascii="Times New Roman" w:hAnsi="Times New Roman" w:cs="Times New Roman"/>
          <w:color w:val="222222"/>
          <w:sz w:val="24"/>
          <w:szCs w:val="24"/>
          <w:shd w:val="clear" w:color="auto" w:fill="FFFFFF"/>
        </w:rPr>
        <w:t>. John Wiley &amp; Sons.</w:t>
      </w:r>
    </w:p>
    <w:p>
      <w:pPr>
        <w:spacing w:after="0" w:line="48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Dadush, S., 2018. The Law of Identity Harm. </w:t>
      </w:r>
      <w:r>
        <w:rPr>
          <w:rFonts w:ascii="Times New Roman" w:hAnsi="Times New Roman" w:cs="Times New Roman"/>
          <w:i/>
          <w:iCs/>
          <w:color w:val="222222"/>
          <w:sz w:val="24"/>
          <w:szCs w:val="24"/>
          <w:shd w:val="clear" w:color="auto" w:fill="FFFFFF"/>
        </w:rPr>
        <w:t>Wash. UL Rev.</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96</w:t>
      </w:r>
      <w:r>
        <w:rPr>
          <w:rFonts w:ascii="Times New Roman" w:hAnsi="Times New Roman" w:cs="Times New Roman"/>
          <w:color w:val="222222"/>
          <w:sz w:val="24"/>
          <w:szCs w:val="24"/>
          <w:shd w:val="clear" w:color="auto" w:fill="FFFFFF"/>
        </w:rPr>
        <w:t>, p.803.</w:t>
      </w:r>
    </w:p>
    <w:p>
      <w:pPr>
        <w:spacing w:after="0" w:line="48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Dobbs, M.E., 2014. Guidelines for applying Porter's five forces framework: a set of industry analysis templates. </w:t>
      </w:r>
      <w:r>
        <w:rPr>
          <w:rFonts w:ascii="Times New Roman" w:hAnsi="Times New Roman" w:cs="Times New Roman"/>
          <w:i/>
          <w:iCs/>
          <w:color w:val="222222"/>
          <w:sz w:val="24"/>
          <w:szCs w:val="24"/>
          <w:shd w:val="clear" w:color="auto" w:fill="FFFFFF"/>
        </w:rPr>
        <w:t>Competitiveness review</w:t>
      </w:r>
      <w:r>
        <w:rPr>
          <w:rFonts w:ascii="Times New Roman" w:hAnsi="Times New Roman" w:cs="Times New Roman"/>
          <w:color w:val="222222"/>
          <w:sz w:val="24"/>
          <w:szCs w:val="24"/>
          <w:shd w:val="clear" w:color="auto" w:fill="FFFFFF"/>
        </w:rPr>
        <w:t>.</w:t>
      </w:r>
    </w:p>
    <w:p>
      <w:pPr>
        <w:spacing w:after="0" w:line="48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Ghauri, P. and Cateora, P., 2014. </w:t>
      </w:r>
      <w:r>
        <w:rPr>
          <w:rFonts w:ascii="Times New Roman" w:hAnsi="Times New Roman" w:cs="Times New Roman"/>
          <w:i/>
          <w:iCs/>
          <w:color w:val="222222"/>
          <w:sz w:val="24"/>
          <w:szCs w:val="24"/>
          <w:shd w:val="clear" w:color="auto" w:fill="FFFFFF"/>
        </w:rPr>
        <w:t>EBOOK: International Marketing</w:t>
      </w:r>
      <w:r>
        <w:rPr>
          <w:rFonts w:ascii="Times New Roman" w:hAnsi="Times New Roman" w:cs="Times New Roman"/>
          <w:color w:val="222222"/>
          <w:sz w:val="24"/>
          <w:szCs w:val="24"/>
          <w:shd w:val="clear" w:color="auto" w:fill="FFFFFF"/>
        </w:rPr>
        <w:t>. McGraw Hill.</w:t>
      </w:r>
    </w:p>
    <w:p>
      <w:pPr>
        <w:spacing w:after="0" w:line="48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Gonzalez, M.E., 2019. Improving customer satisfaction of a healthcare facility: reading the customers’ needs. </w:t>
      </w:r>
      <w:r>
        <w:rPr>
          <w:rFonts w:ascii="Times New Roman" w:hAnsi="Times New Roman" w:cs="Times New Roman"/>
          <w:i/>
          <w:iCs/>
          <w:color w:val="222222"/>
          <w:sz w:val="24"/>
          <w:szCs w:val="24"/>
          <w:shd w:val="clear" w:color="auto" w:fill="FFFFFF"/>
        </w:rPr>
        <w:t>Benchmarking: An International Journal</w:t>
      </w:r>
      <w:r>
        <w:rPr>
          <w:rFonts w:ascii="Times New Roman" w:hAnsi="Times New Roman" w:cs="Times New Roman"/>
          <w:color w:val="222222"/>
          <w:sz w:val="24"/>
          <w:szCs w:val="24"/>
          <w:shd w:val="clear" w:color="auto" w:fill="FFFFFF"/>
        </w:rPr>
        <w:t>.</w:t>
      </w:r>
    </w:p>
    <w:p>
      <w:pPr>
        <w:spacing w:after="0" w:line="48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Graham, E.M., 2019. Intra-industry direct foreign investment, market structure, firm rivalry and technological performance. In </w:t>
      </w:r>
      <w:r>
        <w:rPr>
          <w:rFonts w:ascii="Times New Roman" w:hAnsi="Times New Roman" w:cs="Times New Roman"/>
          <w:i/>
          <w:iCs/>
          <w:color w:val="222222"/>
          <w:sz w:val="24"/>
          <w:szCs w:val="24"/>
          <w:shd w:val="clear" w:color="auto" w:fill="FFFFFF"/>
        </w:rPr>
        <w:t>Multinationals as Mutual Invaders</w:t>
      </w:r>
      <w:r>
        <w:rPr>
          <w:rFonts w:ascii="Times New Roman" w:hAnsi="Times New Roman" w:cs="Times New Roman"/>
          <w:color w:val="222222"/>
          <w:sz w:val="24"/>
          <w:szCs w:val="24"/>
          <w:shd w:val="clear" w:color="auto" w:fill="FFFFFF"/>
        </w:rPr>
        <w:t> (pp. 67-96). Routledge.</w:t>
      </w:r>
    </w:p>
    <w:p>
      <w:pPr>
        <w:spacing w:after="0" w:line="48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Grebe, E.H., 2019. </w:t>
      </w:r>
      <w:r>
        <w:rPr>
          <w:rFonts w:ascii="Times New Roman" w:hAnsi="Times New Roman" w:cs="Times New Roman"/>
          <w:i/>
          <w:iCs/>
          <w:color w:val="222222"/>
          <w:sz w:val="24"/>
          <w:szCs w:val="24"/>
          <w:shd w:val="clear" w:color="auto" w:fill="FFFFFF"/>
        </w:rPr>
        <w:t>Actively Creating A Health-Conscious Lifestyle Through Food Label Literacy in Hawaii</w:t>
      </w:r>
      <w:r>
        <w:rPr>
          <w:rFonts w:ascii="Times New Roman" w:hAnsi="Times New Roman" w:cs="Times New Roman"/>
          <w:color w:val="222222"/>
          <w:sz w:val="24"/>
          <w:szCs w:val="24"/>
          <w:shd w:val="clear" w:color="auto" w:fill="FFFFFF"/>
        </w:rPr>
        <w:t> (Doctoral dissertation, University of Hawai'i at Manoa).</w:t>
      </w:r>
    </w:p>
    <w:p>
      <w:pPr>
        <w:spacing w:after="0" w:line="48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Hasan, R., 2019. How Nestle Bangladesh is handling NIDO brand in Bangladesh.</w:t>
      </w:r>
    </w:p>
    <w:p>
      <w:pPr>
        <w:spacing w:after="0" w:line="480" w:lineRule="auto"/>
        <w:ind w:left="720" w:hanging="720"/>
        <w:jc w:val="both"/>
        <w:rPr>
          <w:rFonts w:ascii="Times New Roman" w:hAnsi="Times New Roman" w:cs="Times New Roman"/>
          <w:sz w:val="24"/>
          <w:szCs w:val="24"/>
        </w:rPr>
      </w:pPr>
      <w:r>
        <w:fldChar w:fldCharType="begin"/>
      </w:r>
      <w:r>
        <w:instrText xml:space="preserve"> HYPERLINK "https://www.beveragedaily.com/Article/2014/06/23/Nestle-s-Nesfluid-nightmare-Brand-broke-every-health-marketing-rule" </w:instrText>
      </w:r>
      <w:r>
        <w:fldChar w:fldCharType="separate"/>
      </w:r>
      <w:r>
        <w:rPr>
          <w:rStyle w:val="12"/>
          <w:rFonts w:ascii="Times New Roman" w:hAnsi="Times New Roman" w:cs="Times New Roman"/>
          <w:sz w:val="24"/>
          <w:szCs w:val="24"/>
        </w:rPr>
        <w:t>https://www.beveragedaily.com/Article/2014/06/23/Nestle-s-Nesfluid-nightmare-Brand-broke-every-health-marketing-rule</w:t>
      </w:r>
      <w:r>
        <w:rPr>
          <w:rStyle w:val="12"/>
          <w:rFonts w:ascii="Times New Roman" w:hAnsi="Times New Roman" w:cs="Times New Roman"/>
          <w:sz w:val="24"/>
          <w:szCs w:val="24"/>
        </w:rPr>
        <w:fldChar w:fldCharType="end"/>
      </w:r>
    </w:p>
    <w:p>
      <w:pPr>
        <w:spacing w:after="0" w:line="48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Hult, G.T.M., Sharma, P.N., Morgeson III, F.V. and Zhang, Y., 2019. Antecedents and consequences of customer satisfaction: do they differ across online and offline purchases?. </w:t>
      </w:r>
      <w:r>
        <w:rPr>
          <w:rFonts w:ascii="Times New Roman" w:hAnsi="Times New Roman" w:cs="Times New Roman"/>
          <w:i/>
          <w:iCs/>
          <w:color w:val="222222"/>
          <w:sz w:val="24"/>
          <w:szCs w:val="24"/>
          <w:shd w:val="clear" w:color="auto" w:fill="FFFFFF"/>
        </w:rPr>
        <w:t>Journal of Retailing</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95</w:t>
      </w:r>
      <w:r>
        <w:rPr>
          <w:rFonts w:ascii="Times New Roman" w:hAnsi="Times New Roman" w:cs="Times New Roman"/>
          <w:color w:val="222222"/>
          <w:sz w:val="24"/>
          <w:szCs w:val="24"/>
          <w:shd w:val="clear" w:color="auto" w:fill="FFFFFF"/>
        </w:rPr>
        <w:t>(1), pp.10-23.</w:t>
      </w:r>
    </w:p>
    <w:p>
      <w:pPr>
        <w:spacing w:after="0" w:line="48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Islam, M.D., 2022. Lead time for Nestle’s LC documentation arrival from global markets.</w:t>
      </w:r>
    </w:p>
    <w:p>
      <w:pPr>
        <w:spacing w:after="0" w:line="48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Jones, G.G., 2017. International business and emerging markets: A long-run perspective. </w:t>
      </w:r>
      <w:r>
        <w:rPr>
          <w:rFonts w:ascii="Times New Roman" w:hAnsi="Times New Roman" w:cs="Times New Roman"/>
          <w:i/>
          <w:iCs/>
          <w:color w:val="222222"/>
          <w:sz w:val="24"/>
          <w:szCs w:val="24"/>
          <w:shd w:val="clear" w:color="auto" w:fill="FFFFFF"/>
        </w:rPr>
        <w:t>Harvard Business School General Management Unit Working Paper</w:t>
      </w:r>
      <w:r>
        <w:rPr>
          <w:rFonts w:ascii="Times New Roman" w:hAnsi="Times New Roman" w:cs="Times New Roman"/>
          <w:color w:val="222222"/>
          <w:sz w:val="24"/>
          <w:szCs w:val="24"/>
          <w:shd w:val="clear" w:color="auto" w:fill="FFFFFF"/>
        </w:rPr>
        <w:t>, (18-020).</w:t>
      </w:r>
    </w:p>
    <w:p>
      <w:pPr>
        <w:spacing w:after="0" w:line="48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Khan, M. and Hassan, A., 2014. Amra korbo joy: a self-sustaining business model for entrepreneurs with profitability, responsibility and visibility of Nescafé.</w:t>
      </w:r>
    </w:p>
    <w:p>
      <w:pPr>
        <w:spacing w:after="0" w:line="48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Koestler, A.G. and Gertsch, K., 2017. Rethinking a water development project as a social business.</w:t>
      </w:r>
    </w:p>
    <w:p>
      <w:pPr>
        <w:spacing w:after="0" w:line="48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Kotler, P., Hessekiel, D. and Lee, N.R., 2012. </w:t>
      </w:r>
      <w:r>
        <w:rPr>
          <w:rFonts w:ascii="Times New Roman" w:hAnsi="Times New Roman" w:cs="Times New Roman"/>
          <w:i/>
          <w:iCs/>
          <w:color w:val="222222"/>
          <w:sz w:val="24"/>
          <w:szCs w:val="24"/>
          <w:shd w:val="clear" w:color="auto" w:fill="FFFFFF"/>
        </w:rPr>
        <w:t>Good works!: Marketing and corporate initiatives that build a better world... and the bottom Line</w:t>
      </w:r>
      <w:r>
        <w:rPr>
          <w:rFonts w:ascii="Times New Roman" w:hAnsi="Times New Roman" w:cs="Times New Roman"/>
          <w:color w:val="222222"/>
          <w:sz w:val="24"/>
          <w:szCs w:val="24"/>
          <w:shd w:val="clear" w:color="auto" w:fill="FFFFFF"/>
        </w:rPr>
        <w:t>. John Wiley &amp; Sons.</w:t>
      </w:r>
    </w:p>
    <w:p>
      <w:pPr>
        <w:spacing w:after="0" w:line="48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Kurosawa, T. and Wubs, B., 2019. Swiss and (Anglo)-Dutch multinationals and organizational change in the era of total war. In </w:t>
      </w:r>
      <w:r>
        <w:rPr>
          <w:rFonts w:ascii="Times New Roman" w:hAnsi="Times New Roman" w:cs="Times New Roman"/>
          <w:i/>
          <w:iCs/>
          <w:color w:val="222222"/>
          <w:sz w:val="24"/>
          <w:szCs w:val="24"/>
          <w:shd w:val="clear" w:color="auto" w:fill="FFFFFF"/>
        </w:rPr>
        <w:t>Multinational Enterprise, Political Risk and Organisational Change</w:t>
      </w:r>
      <w:r>
        <w:rPr>
          <w:rFonts w:ascii="Times New Roman" w:hAnsi="Times New Roman" w:cs="Times New Roman"/>
          <w:color w:val="222222"/>
          <w:sz w:val="24"/>
          <w:szCs w:val="24"/>
          <w:shd w:val="clear" w:color="auto" w:fill="FFFFFF"/>
        </w:rPr>
        <w:t>. Taylor &amp; Francis.</w:t>
      </w:r>
    </w:p>
    <w:p>
      <w:pPr>
        <w:spacing w:after="0" w:line="48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Laforet, S., 2011. Brand names on packaging and their impact on purchase preference. </w:t>
      </w:r>
      <w:r>
        <w:rPr>
          <w:rFonts w:ascii="Times New Roman" w:hAnsi="Times New Roman" w:cs="Times New Roman"/>
          <w:i/>
          <w:iCs/>
          <w:color w:val="222222"/>
          <w:sz w:val="24"/>
          <w:szCs w:val="24"/>
          <w:shd w:val="clear" w:color="auto" w:fill="FFFFFF"/>
        </w:rPr>
        <w:t>Journal of Consumer Behaviour</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10</w:t>
      </w:r>
      <w:r>
        <w:rPr>
          <w:rFonts w:ascii="Times New Roman" w:hAnsi="Times New Roman" w:cs="Times New Roman"/>
          <w:color w:val="222222"/>
          <w:sz w:val="24"/>
          <w:szCs w:val="24"/>
          <w:shd w:val="clear" w:color="auto" w:fill="FFFFFF"/>
        </w:rPr>
        <w:t>(1), pp.18-30.</w:t>
      </w:r>
    </w:p>
    <w:p>
      <w:pPr>
        <w:spacing w:after="0"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management in project-based organizations. IUP Journal of Soft Skills, 12(4), pp.47-66.</w:t>
      </w:r>
    </w:p>
    <w:p>
      <w:pPr>
        <w:spacing w:after="0" w:line="48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Mann, M. and Byun, S.E., 2011. Accessing opportunities in apparel retail sectors in India: Porter's diamond approach. </w:t>
      </w:r>
      <w:r>
        <w:rPr>
          <w:rFonts w:ascii="Times New Roman" w:hAnsi="Times New Roman" w:cs="Times New Roman"/>
          <w:i/>
          <w:iCs/>
          <w:color w:val="222222"/>
          <w:sz w:val="24"/>
          <w:szCs w:val="24"/>
          <w:shd w:val="clear" w:color="auto" w:fill="FFFFFF"/>
        </w:rPr>
        <w:t>Journal of Fashion Marketing and Management: An International Journal</w:t>
      </w:r>
      <w:r>
        <w:rPr>
          <w:rFonts w:ascii="Times New Roman" w:hAnsi="Times New Roman" w:cs="Times New Roman"/>
          <w:color w:val="222222"/>
          <w:sz w:val="24"/>
          <w:szCs w:val="24"/>
          <w:shd w:val="clear" w:color="auto" w:fill="FFFFFF"/>
        </w:rPr>
        <w:t>.</w:t>
      </w:r>
    </w:p>
    <w:p>
      <w:pPr>
        <w:spacing w:after="0" w:line="48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McGrath, P., McCarthy, L., Marshall, D. and Rehme, J., 2021. Tools and technologies of transparency in sustainable global supply chains. </w:t>
      </w:r>
      <w:r>
        <w:rPr>
          <w:rFonts w:ascii="Times New Roman" w:hAnsi="Times New Roman" w:cs="Times New Roman"/>
          <w:i/>
          <w:iCs/>
          <w:color w:val="222222"/>
          <w:sz w:val="24"/>
          <w:szCs w:val="24"/>
          <w:shd w:val="clear" w:color="auto" w:fill="FFFFFF"/>
        </w:rPr>
        <w:t>California Management Review</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64</w:t>
      </w:r>
      <w:r>
        <w:rPr>
          <w:rFonts w:ascii="Times New Roman" w:hAnsi="Times New Roman" w:cs="Times New Roman"/>
          <w:color w:val="222222"/>
          <w:sz w:val="24"/>
          <w:szCs w:val="24"/>
          <w:shd w:val="clear" w:color="auto" w:fill="FFFFFF"/>
        </w:rPr>
        <w:t>(1), pp.67-89.</w:t>
      </w:r>
    </w:p>
    <w:p>
      <w:pPr>
        <w:spacing w:after="0" w:line="48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Meadows, C.J., 2021. Famous Business Fusions. In </w:t>
      </w:r>
      <w:r>
        <w:rPr>
          <w:rFonts w:ascii="Times New Roman" w:hAnsi="Times New Roman" w:cs="Times New Roman"/>
          <w:i/>
          <w:iCs/>
          <w:color w:val="222222"/>
          <w:sz w:val="24"/>
          <w:szCs w:val="24"/>
          <w:shd w:val="clear" w:color="auto" w:fill="FFFFFF"/>
        </w:rPr>
        <w:t>Famous Business Fusions</w:t>
      </w:r>
      <w:r>
        <w:rPr>
          <w:rFonts w:ascii="Times New Roman" w:hAnsi="Times New Roman" w:cs="Times New Roman"/>
          <w:color w:val="222222"/>
          <w:sz w:val="24"/>
          <w:szCs w:val="24"/>
          <w:shd w:val="clear" w:color="auto" w:fill="FFFFFF"/>
        </w:rPr>
        <w:t>. De Gruyter.</w:t>
      </w:r>
    </w:p>
    <w:p>
      <w:pPr>
        <w:spacing w:after="0" w:line="48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Mohajan, H., 2015. Present and Future of Nestlé Bangladesh Limited.</w:t>
      </w:r>
    </w:p>
    <w:p>
      <w:pPr>
        <w:spacing w:after="0" w:line="48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Neves, J.M.D.N.G.V., 2013. </w:t>
      </w:r>
      <w:r>
        <w:rPr>
          <w:rFonts w:ascii="Times New Roman" w:hAnsi="Times New Roman" w:cs="Times New Roman"/>
          <w:i/>
          <w:iCs/>
          <w:color w:val="222222"/>
          <w:sz w:val="24"/>
          <w:szCs w:val="24"/>
          <w:shd w:val="clear" w:color="auto" w:fill="FFFFFF"/>
        </w:rPr>
        <w:t>Creating shared value: the case of Nestlé</w:t>
      </w:r>
      <w:r>
        <w:rPr>
          <w:rFonts w:ascii="Times New Roman" w:hAnsi="Times New Roman" w:cs="Times New Roman"/>
          <w:color w:val="222222"/>
          <w:sz w:val="24"/>
          <w:szCs w:val="24"/>
          <w:shd w:val="clear" w:color="auto" w:fill="FFFFFF"/>
        </w:rPr>
        <w:t> (Doctoral dissertation).</w:t>
      </w:r>
    </w:p>
    <w:p>
      <w:pPr>
        <w:spacing w:after="0" w:line="48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Ochkur, G., 2020. Branding–its history and new challenges.</w:t>
      </w:r>
    </w:p>
    <w:p>
      <w:pPr>
        <w:spacing w:after="0" w:line="48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O'Handley, M., 2019. Green criminology and the corporate extraction of water in Canada.</w:t>
      </w:r>
    </w:p>
    <w:p>
      <w:pPr>
        <w:spacing w:after="0"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Palgrave Macmillan: Cham, Switzerland.</w:t>
      </w:r>
    </w:p>
    <w:p>
      <w:pPr>
        <w:spacing w:after="0" w:line="48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Pham, T.T., Nguyen, D.T., Ðào Thi, L.C. and Hoàng, T.L., 2020. </w:t>
      </w:r>
      <w:r>
        <w:rPr>
          <w:rFonts w:ascii="Times New Roman" w:hAnsi="Times New Roman" w:cs="Times New Roman"/>
          <w:i/>
          <w:iCs/>
          <w:color w:val="222222"/>
          <w:sz w:val="24"/>
          <w:szCs w:val="24"/>
          <w:shd w:val="clear" w:color="auto" w:fill="FFFFFF"/>
        </w:rPr>
        <w:t>Preparing Vietnam for new rules on international market: Preparing Vietnam for new rules on international market</w:t>
      </w:r>
      <w:r>
        <w:rPr>
          <w:rFonts w:ascii="Times New Roman" w:hAnsi="Times New Roman" w:cs="Times New Roman"/>
          <w:color w:val="222222"/>
          <w:sz w:val="24"/>
          <w:szCs w:val="24"/>
          <w:shd w:val="clear" w:color="auto" w:fill="FFFFFF"/>
        </w:rPr>
        <w:t> (Vol. 257). CIFOR.</w:t>
      </w:r>
    </w:p>
    <w:p>
      <w:pPr>
        <w:spacing w:after="0" w:line="48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Rahman, M.S., 2019. A Study of B2B Reponses on Nestlé Professional Products.</w:t>
      </w:r>
    </w:p>
    <w:p>
      <w:pPr>
        <w:spacing w:after="0"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Rajhans, K., 2018. Effective communication management: A key to stakeholder relationship</w:t>
      </w:r>
    </w:p>
    <w:p>
      <w:pPr>
        <w:spacing w:after="0" w:line="48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Sethi, S.P., 2012. </w:t>
      </w:r>
      <w:r>
        <w:rPr>
          <w:rFonts w:ascii="Times New Roman" w:hAnsi="Times New Roman" w:cs="Times New Roman"/>
          <w:i/>
          <w:iCs/>
          <w:color w:val="222222"/>
          <w:sz w:val="24"/>
          <w:szCs w:val="24"/>
          <w:shd w:val="clear" w:color="auto" w:fill="FFFFFF"/>
        </w:rPr>
        <w:t>Multinational corporations and the impact of public advocacy on corporate strategy: Nestle and the infant formula controversy</w:t>
      </w:r>
      <w:r>
        <w:rPr>
          <w:rFonts w:ascii="Times New Roman" w:hAnsi="Times New Roman" w:cs="Times New Roman"/>
          <w:color w:val="222222"/>
          <w:sz w:val="24"/>
          <w:szCs w:val="24"/>
          <w:shd w:val="clear" w:color="auto" w:fill="FFFFFF"/>
        </w:rPr>
        <w:t> (Vol. 6). Springer Science &amp; Business Media.</w:t>
      </w:r>
    </w:p>
    <w:p>
      <w:pPr>
        <w:spacing w:after="0" w:line="48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Sharma, V. and Kharas, H., 2017. </w:t>
      </w:r>
      <w:r>
        <w:rPr>
          <w:rFonts w:ascii="Times New Roman" w:hAnsi="Times New Roman" w:cs="Times New Roman"/>
          <w:i/>
          <w:iCs/>
          <w:color w:val="222222"/>
          <w:sz w:val="24"/>
          <w:szCs w:val="24"/>
          <w:shd w:val="clear" w:color="auto" w:fill="FFFFFF"/>
        </w:rPr>
        <w:t>The Indestructible Brand: Crisis Management in the Age of Social Media</w:t>
      </w:r>
      <w:r>
        <w:rPr>
          <w:rFonts w:ascii="Times New Roman" w:hAnsi="Times New Roman" w:cs="Times New Roman"/>
          <w:color w:val="222222"/>
          <w:sz w:val="24"/>
          <w:szCs w:val="24"/>
          <w:shd w:val="clear" w:color="auto" w:fill="FFFFFF"/>
        </w:rPr>
        <w:t>. SAGE Publishing India.</w:t>
      </w:r>
    </w:p>
    <w:p>
      <w:pPr>
        <w:spacing w:after="0" w:line="48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Stobart, P. ed., 2016. </w:t>
      </w:r>
      <w:r>
        <w:rPr>
          <w:rFonts w:ascii="Times New Roman" w:hAnsi="Times New Roman" w:cs="Times New Roman"/>
          <w:i/>
          <w:iCs/>
          <w:color w:val="222222"/>
          <w:sz w:val="24"/>
          <w:szCs w:val="24"/>
          <w:shd w:val="clear" w:color="auto" w:fill="FFFFFF"/>
        </w:rPr>
        <w:t>Brand power</w:t>
      </w:r>
      <w:r>
        <w:rPr>
          <w:rFonts w:ascii="Times New Roman" w:hAnsi="Times New Roman" w:cs="Times New Roman"/>
          <w:color w:val="222222"/>
          <w:sz w:val="24"/>
          <w:szCs w:val="24"/>
          <w:shd w:val="clear" w:color="auto" w:fill="FFFFFF"/>
        </w:rPr>
        <w:t>. Springer.</w:t>
      </w:r>
    </w:p>
    <w:p>
      <w:pPr>
        <w:spacing w:after="0" w:line="48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Tybout, A.M. and Calkins, T., 2019. </w:t>
      </w:r>
      <w:r>
        <w:rPr>
          <w:rFonts w:ascii="Times New Roman" w:hAnsi="Times New Roman" w:cs="Times New Roman"/>
          <w:i/>
          <w:iCs/>
          <w:color w:val="222222"/>
          <w:sz w:val="24"/>
          <w:szCs w:val="24"/>
          <w:shd w:val="clear" w:color="auto" w:fill="FFFFFF"/>
        </w:rPr>
        <w:t>Kellogg on Branding in a Hyper-connected World</w:t>
      </w:r>
      <w:r>
        <w:rPr>
          <w:rFonts w:ascii="Times New Roman" w:hAnsi="Times New Roman" w:cs="Times New Roman"/>
          <w:color w:val="222222"/>
          <w:sz w:val="24"/>
          <w:szCs w:val="24"/>
          <w:shd w:val="clear" w:color="auto" w:fill="FFFFFF"/>
        </w:rPr>
        <w:t>. John Wiley &amp; Sons.</w:t>
      </w:r>
    </w:p>
    <w:p>
      <w:pPr>
        <w:spacing w:after="0" w:line="48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Tze, X.C., Zhe, X.C., Sin, C.C. and Shieh, H.C., 2022. A Study on Marketing Strategy of Nestle in Asia. </w:t>
      </w:r>
      <w:r>
        <w:rPr>
          <w:rFonts w:ascii="Times New Roman" w:hAnsi="Times New Roman" w:cs="Times New Roman"/>
          <w:i/>
          <w:iCs/>
          <w:color w:val="222222"/>
          <w:sz w:val="24"/>
          <w:szCs w:val="24"/>
          <w:shd w:val="clear" w:color="auto" w:fill="FFFFFF"/>
        </w:rPr>
        <w:t>Advances in Global Economics and Business Journal</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3</w:t>
      </w:r>
      <w:r>
        <w:rPr>
          <w:rFonts w:ascii="Times New Roman" w:hAnsi="Times New Roman" w:cs="Times New Roman"/>
          <w:color w:val="222222"/>
          <w:sz w:val="24"/>
          <w:szCs w:val="24"/>
          <w:shd w:val="clear" w:color="auto" w:fill="FFFFFF"/>
        </w:rPr>
        <w:t>(1), pp.1-14.</w:t>
      </w:r>
    </w:p>
    <w:p>
      <w:pPr>
        <w:spacing w:after="0" w:line="48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Varma, G.R. and Ravi, J., 2017. Strategic Analysis on FMCG Goods: A Case Study on Nestle. </w:t>
      </w:r>
      <w:r>
        <w:rPr>
          <w:rFonts w:ascii="Times New Roman" w:hAnsi="Times New Roman" w:cs="Times New Roman"/>
          <w:i/>
          <w:iCs/>
          <w:color w:val="222222"/>
          <w:sz w:val="24"/>
          <w:szCs w:val="24"/>
          <w:shd w:val="clear" w:color="auto" w:fill="FFFFFF"/>
        </w:rPr>
        <w:t>International Journal of Research in Management Studies</w:t>
      </w:r>
      <w:r>
        <w:rPr>
          <w:rFonts w:ascii="Times New Roman" w:hAnsi="Times New Roman" w:cs="Times New Roman"/>
          <w:color w:val="222222"/>
          <w:sz w:val="24"/>
          <w:szCs w:val="24"/>
          <w:shd w:val="clear" w:color="auto" w:fill="FFFFFF"/>
        </w:rPr>
        <w:t>, pp.12-22.</w:t>
      </w:r>
    </w:p>
    <w:p>
      <w:pPr>
        <w:spacing w:after="0" w:line="48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Wheelen, T.L., Hunger, J.D., Hoffman, A.N. and Bamford, C.E., 2017. </w:t>
      </w:r>
      <w:r>
        <w:rPr>
          <w:rFonts w:ascii="Times New Roman" w:hAnsi="Times New Roman" w:cs="Times New Roman"/>
          <w:i/>
          <w:iCs/>
          <w:color w:val="222222"/>
          <w:sz w:val="24"/>
          <w:szCs w:val="24"/>
          <w:shd w:val="clear" w:color="auto" w:fill="FFFFFF"/>
        </w:rPr>
        <w:t>Strategic management and business policy</w:t>
      </w:r>
      <w:r>
        <w:rPr>
          <w:rFonts w:ascii="Times New Roman" w:hAnsi="Times New Roman" w:cs="Times New Roman"/>
          <w:color w:val="222222"/>
          <w:sz w:val="24"/>
          <w:szCs w:val="24"/>
          <w:shd w:val="clear" w:color="auto" w:fill="FFFFFF"/>
        </w:rPr>
        <w:t> (Vol. 55). Boston: pearson.</w:t>
      </w:r>
    </w:p>
    <w:p>
      <w:pPr>
        <w:spacing w:after="0"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Wiraeus, D. and Creelman, J., 2019. AGILE STRATEGY MANAGEMENT DIGITAL AGE in.</w:t>
      </w:r>
    </w:p>
    <w:p>
      <w:pPr>
        <w:spacing w:after="0" w:line="48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Wood, V.R., Pitta, D.A. and Franzak, F.J., 2008. Successful marketing by multinational firms to the bottom of the pyramid: connecting share of heart, global “umbrella brands”, and responsible marketing. </w:t>
      </w:r>
      <w:r>
        <w:rPr>
          <w:rFonts w:ascii="Times New Roman" w:hAnsi="Times New Roman" w:cs="Times New Roman"/>
          <w:i/>
          <w:iCs/>
          <w:color w:val="222222"/>
          <w:sz w:val="24"/>
          <w:szCs w:val="24"/>
          <w:shd w:val="clear" w:color="auto" w:fill="FFFFFF"/>
        </w:rPr>
        <w:t>Journal of Consumer Marketing</w:t>
      </w:r>
      <w:r>
        <w:rPr>
          <w:rFonts w:ascii="Times New Roman" w:hAnsi="Times New Roman" w:cs="Times New Roman"/>
          <w:color w:val="222222"/>
          <w:sz w:val="24"/>
          <w:szCs w:val="24"/>
          <w:shd w:val="clear" w:color="auto" w:fill="FFFFFF"/>
        </w:rPr>
        <w:t>.</w:t>
      </w:r>
    </w:p>
    <w:p/>
    <w:sectPr>
      <w:footerReference r:id="rId5" w:type="default"/>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00002FF" w:usb1="4000ACFF" w:usb2="00000001" w:usb3="00000000" w:csb0="2000019F" w:csb1="00000000"/>
  </w:font>
  <w:font w:name="Calibri">
    <w:panose1 w:val="020F0502020204030204"/>
    <w:charset w:val="86"/>
    <w:family w:val="swiss"/>
    <w:pitch w:val="default"/>
    <w:sig w:usb0="E00002FF" w:usb1="4000ACFF" w:usb2="00000001" w:usb3="00000000" w:csb0="2000019F" w:csb1="00000000"/>
  </w:font>
  <w:font w:name="Calibri">
    <w:panose1 w:val="020F0502020204030204"/>
    <w:charset w:val="00"/>
    <w:family w:val="auto"/>
    <w:pitch w:val="default"/>
    <w:sig w:usb0="E00002FF" w:usb1="4000ACFF" w:usb2="00000001" w:usb3="00000000" w:csb0="2000019F" w:csb1="00000000"/>
  </w:font>
  <w:font w:name="Calibri Light">
    <w:panose1 w:val="020F0302020204030204"/>
    <w:charset w:val="00"/>
    <w:family w:val="swiss"/>
    <w:pitch w:val="default"/>
    <w:sig w:usb0="A00002EF" w:usb1="4000207B" w:usb2="00000000" w:usb3="00000000" w:csb0="2000019F" w:csb1="00000000"/>
  </w:font>
  <w:font w:name="等线 Light">
    <w:altName w:val="ksdb"/>
    <w:panose1 w:val="00000000000000000000"/>
    <w:charset w:val="00"/>
    <w:family w:val="auto"/>
    <w:pitch w:val="default"/>
    <w:sig w:usb0="00000000" w:usb1="00000000" w:usb2="00000000" w:usb3="00000000" w:csb0="00000000" w:csb1="00000000"/>
  </w:font>
  <w:font w:name="ksdb">
    <w:panose1 w:val="02000500000000000000"/>
    <w:charset w:val="00"/>
    <w:family w:val="auto"/>
    <w:pitch w:val="default"/>
    <w:sig w:usb0="00000001" w:usb1="00000000" w:usb2="00000000" w:usb3="00000000" w:csb0="00000001" w:csb1="00000000"/>
  </w:font>
  <w:font w:name="等线">
    <w:altName w:val="微软雅黑"/>
    <w:panose1 w:val="00000000000000000000"/>
    <w:charset w:val="00"/>
    <w:family w:val="auto"/>
    <w:pitch w:val="default"/>
    <w:sig w:usb0="00000000" w:usb1="00000000" w:usb2="00000000" w:usb3="00000000" w:csb0="00000000" w:csb1="00000000"/>
  </w:font>
  <w:font w:name="微软雅黑">
    <w:panose1 w:val="020B0503020204020204"/>
    <w:charset w:val="86"/>
    <w:family w:val="auto"/>
    <w:pitch w:val="default"/>
    <w:sig w:usb0="80000287" w:usb1="280F3C52"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92752475"/>
      <w:docPartObj>
        <w:docPartGallery w:val="autotext"/>
      </w:docPartObj>
    </w:sdtPr>
    <w:sdtContent>
      <w:p>
        <w:pPr>
          <w:pStyle w:val="6"/>
          <w:jc w:val="center"/>
        </w:pPr>
        <w:r>
          <w:fldChar w:fldCharType="begin"/>
        </w:r>
        <w:r>
          <w:instrText xml:space="preserve"> PAGE   \* MERGEFORMAT </w:instrText>
        </w:r>
        <w:r>
          <w:fldChar w:fldCharType="separate"/>
        </w:r>
        <w:r>
          <w:t>2</w:t>
        </w:r>
        <w:r>
          <w:fldChar w:fldCharType="end"/>
        </w:r>
      </w:p>
    </w:sdtContent>
  </w:sdt>
  <w:p>
    <w:pPr>
      <w:pStyle w:val="6"/>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DUytjQ3NTA3NzE0sDBR0lEKTi0uzszPAykwrgUACBAmJSwAAAA="/>
    <w:docVar w:name="commondata" w:val="eyJoZGlkIjoiYTU0ODMyMGY1YWZjOTg1Nzk3YWIzOGRhNzgyZjRmZTQifQ=="/>
  </w:docVars>
  <w:rsids>
    <w:rsidRoot w:val="00554813"/>
    <w:rsid w:val="000226CF"/>
    <w:rsid w:val="00022C98"/>
    <w:rsid w:val="00044922"/>
    <w:rsid w:val="00086A90"/>
    <w:rsid w:val="000C23FD"/>
    <w:rsid w:val="000C4A57"/>
    <w:rsid w:val="000E55ED"/>
    <w:rsid w:val="00112ECB"/>
    <w:rsid w:val="00124AB8"/>
    <w:rsid w:val="00194492"/>
    <w:rsid w:val="001A05AB"/>
    <w:rsid w:val="001E1740"/>
    <w:rsid w:val="001F2B89"/>
    <w:rsid w:val="00236601"/>
    <w:rsid w:val="002825CD"/>
    <w:rsid w:val="002C42B0"/>
    <w:rsid w:val="002F4D3E"/>
    <w:rsid w:val="00302ED7"/>
    <w:rsid w:val="00331B45"/>
    <w:rsid w:val="00335FD5"/>
    <w:rsid w:val="003612CF"/>
    <w:rsid w:val="00417819"/>
    <w:rsid w:val="00446424"/>
    <w:rsid w:val="00452944"/>
    <w:rsid w:val="00472F39"/>
    <w:rsid w:val="004B4667"/>
    <w:rsid w:val="004C0AD2"/>
    <w:rsid w:val="004F5A01"/>
    <w:rsid w:val="0051052F"/>
    <w:rsid w:val="005306E4"/>
    <w:rsid w:val="00554813"/>
    <w:rsid w:val="005B7A32"/>
    <w:rsid w:val="005C5914"/>
    <w:rsid w:val="005D046C"/>
    <w:rsid w:val="005D3CCB"/>
    <w:rsid w:val="005E7697"/>
    <w:rsid w:val="005F230B"/>
    <w:rsid w:val="006064D1"/>
    <w:rsid w:val="006B00A0"/>
    <w:rsid w:val="006D0094"/>
    <w:rsid w:val="00711412"/>
    <w:rsid w:val="00712B60"/>
    <w:rsid w:val="007163D7"/>
    <w:rsid w:val="00796C46"/>
    <w:rsid w:val="00843044"/>
    <w:rsid w:val="008554B4"/>
    <w:rsid w:val="008657A6"/>
    <w:rsid w:val="008A1CA9"/>
    <w:rsid w:val="008B1E4A"/>
    <w:rsid w:val="008B3500"/>
    <w:rsid w:val="008D005A"/>
    <w:rsid w:val="0091586F"/>
    <w:rsid w:val="00926F71"/>
    <w:rsid w:val="009274C6"/>
    <w:rsid w:val="00950C81"/>
    <w:rsid w:val="009A05DE"/>
    <w:rsid w:val="009B1673"/>
    <w:rsid w:val="009C4C69"/>
    <w:rsid w:val="009E11CC"/>
    <w:rsid w:val="00A1013D"/>
    <w:rsid w:val="00A24F52"/>
    <w:rsid w:val="00A3376E"/>
    <w:rsid w:val="00A721CF"/>
    <w:rsid w:val="00AA4FBC"/>
    <w:rsid w:val="00AB744B"/>
    <w:rsid w:val="00AC56D8"/>
    <w:rsid w:val="00AE24ED"/>
    <w:rsid w:val="00B2470C"/>
    <w:rsid w:val="00B573DA"/>
    <w:rsid w:val="00B64ADE"/>
    <w:rsid w:val="00BB4E6B"/>
    <w:rsid w:val="00BC0D80"/>
    <w:rsid w:val="00BC5BE8"/>
    <w:rsid w:val="00BE3FC0"/>
    <w:rsid w:val="00C07081"/>
    <w:rsid w:val="00C925C7"/>
    <w:rsid w:val="00CC13AF"/>
    <w:rsid w:val="00CF1BB4"/>
    <w:rsid w:val="00D15346"/>
    <w:rsid w:val="00D668E5"/>
    <w:rsid w:val="00D87837"/>
    <w:rsid w:val="00DA7E39"/>
    <w:rsid w:val="00E23608"/>
    <w:rsid w:val="00E5556E"/>
    <w:rsid w:val="00E70C80"/>
    <w:rsid w:val="00E90E1B"/>
    <w:rsid w:val="00EC05CF"/>
    <w:rsid w:val="00ED00CF"/>
    <w:rsid w:val="00ED2A38"/>
    <w:rsid w:val="00ED3701"/>
    <w:rsid w:val="00ED7CFC"/>
    <w:rsid w:val="00F1481D"/>
    <w:rsid w:val="00F25916"/>
    <w:rsid w:val="00F8457F"/>
    <w:rsid w:val="00F86298"/>
    <w:rsid w:val="00FE7BC1"/>
    <w:rsid w:val="00FF3F8F"/>
    <w:rsid w:val="4A404F75"/>
    <w:rsid w:val="50A161D4"/>
    <w:rsid w:val="565C169B"/>
    <w:rsid w:val="62B857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US" w:eastAsia="en-US" w:bidi="ar-SA"/>
    </w:rPr>
  </w:style>
  <w:style w:type="paragraph" w:styleId="2">
    <w:name w:val="heading 1"/>
    <w:basedOn w:val="1"/>
    <w:next w:val="1"/>
    <w:link w:val="15"/>
    <w:qFormat/>
    <w:uiPriority w:val="9"/>
    <w:pPr>
      <w:keepNext/>
      <w:keepLines/>
      <w:spacing w:before="240" w:after="0"/>
      <w:outlineLvl w:val="0"/>
    </w:pPr>
    <w:rPr>
      <w:rFonts w:asciiTheme="majorHAnsi" w:hAnsiTheme="majorHAnsi" w:eastAsiaTheme="majorEastAsia" w:cstheme="majorBidi"/>
      <w:color w:val="2F5597" w:themeColor="accent1" w:themeShade="BF"/>
      <w:sz w:val="32"/>
      <w:szCs w:val="32"/>
    </w:rPr>
  </w:style>
  <w:style w:type="paragraph" w:styleId="3">
    <w:name w:val="heading 2"/>
    <w:basedOn w:val="1"/>
    <w:next w:val="1"/>
    <w:link w:val="16"/>
    <w:unhideWhenUsed/>
    <w:qFormat/>
    <w:uiPriority w:val="9"/>
    <w:pPr>
      <w:keepNext/>
      <w:keepLines/>
      <w:spacing w:before="40" w:after="0"/>
      <w:outlineLvl w:val="1"/>
    </w:pPr>
    <w:rPr>
      <w:rFonts w:asciiTheme="majorHAnsi" w:hAnsiTheme="majorHAnsi" w:eastAsiaTheme="majorEastAsia" w:cstheme="majorBidi"/>
      <w:color w:val="2F5597" w:themeColor="accent1" w:themeShade="BF"/>
      <w:sz w:val="26"/>
      <w:szCs w:val="26"/>
    </w:rPr>
  </w:style>
  <w:style w:type="paragraph" w:styleId="4">
    <w:name w:val="heading 3"/>
    <w:basedOn w:val="1"/>
    <w:next w:val="1"/>
    <w:link w:val="17"/>
    <w:unhideWhenUsed/>
    <w:qFormat/>
    <w:uiPriority w:val="9"/>
    <w:pPr>
      <w:keepNext/>
      <w:keepLines/>
      <w:spacing w:before="40" w:after="0"/>
      <w:outlineLvl w:val="2"/>
    </w:pPr>
    <w:rPr>
      <w:rFonts w:asciiTheme="majorHAnsi" w:hAnsiTheme="majorHAnsi" w:eastAsiaTheme="majorEastAsia" w:cstheme="majorBidi"/>
      <w:color w:val="203864" w:themeColor="accent1" w:themeShade="80"/>
      <w:sz w:val="24"/>
      <w:szCs w:val="24"/>
    </w:rPr>
  </w:style>
  <w:style w:type="character" w:default="1" w:styleId="11">
    <w:name w:val="Default Paragraph Font"/>
    <w:semiHidden/>
    <w:unhideWhenUsed/>
    <w:qFormat/>
    <w:uiPriority w:val="1"/>
  </w:style>
  <w:style w:type="table" w:default="1" w:styleId="10">
    <w:name w:val="Normal Table"/>
    <w:semiHidden/>
    <w:unhideWhenUsed/>
    <w:qFormat/>
    <w:uiPriority w:val="99"/>
    <w:tblPr>
      <w:tblCellMar>
        <w:top w:w="0" w:type="dxa"/>
        <w:left w:w="108" w:type="dxa"/>
        <w:bottom w:w="0" w:type="dxa"/>
        <w:right w:w="108" w:type="dxa"/>
      </w:tblCellMar>
    </w:tblPr>
  </w:style>
  <w:style w:type="paragraph" w:styleId="5">
    <w:name w:val="toc 3"/>
    <w:basedOn w:val="1"/>
    <w:next w:val="1"/>
    <w:unhideWhenUsed/>
    <w:uiPriority w:val="39"/>
    <w:pPr>
      <w:spacing w:after="100"/>
      <w:ind w:left="440"/>
    </w:pPr>
  </w:style>
  <w:style w:type="paragraph" w:styleId="6">
    <w:name w:val="footer"/>
    <w:basedOn w:val="1"/>
    <w:link w:val="14"/>
    <w:unhideWhenUsed/>
    <w:qFormat/>
    <w:uiPriority w:val="99"/>
    <w:pPr>
      <w:tabs>
        <w:tab w:val="center" w:pos="4680"/>
        <w:tab w:val="right" w:pos="9360"/>
      </w:tabs>
      <w:spacing w:after="0" w:line="240" w:lineRule="auto"/>
    </w:pPr>
  </w:style>
  <w:style w:type="paragraph" w:styleId="7">
    <w:name w:val="header"/>
    <w:basedOn w:val="1"/>
    <w:link w:val="13"/>
    <w:unhideWhenUsed/>
    <w:qFormat/>
    <w:uiPriority w:val="99"/>
    <w:pPr>
      <w:tabs>
        <w:tab w:val="center" w:pos="4680"/>
        <w:tab w:val="right" w:pos="9360"/>
      </w:tabs>
      <w:spacing w:after="0" w:line="240" w:lineRule="auto"/>
    </w:pPr>
  </w:style>
  <w:style w:type="paragraph" w:styleId="8">
    <w:name w:val="toc 1"/>
    <w:basedOn w:val="1"/>
    <w:next w:val="1"/>
    <w:unhideWhenUsed/>
    <w:qFormat/>
    <w:uiPriority w:val="39"/>
    <w:pPr>
      <w:spacing w:after="100"/>
    </w:pPr>
  </w:style>
  <w:style w:type="paragraph" w:styleId="9">
    <w:name w:val="toc 2"/>
    <w:basedOn w:val="1"/>
    <w:next w:val="1"/>
    <w:unhideWhenUsed/>
    <w:qFormat/>
    <w:uiPriority w:val="39"/>
    <w:pPr>
      <w:spacing w:after="100"/>
      <w:ind w:left="220"/>
    </w:pPr>
  </w:style>
  <w:style w:type="character" w:styleId="12">
    <w:name w:val="Hyperlink"/>
    <w:basedOn w:val="11"/>
    <w:unhideWhenUsed/>
    <w:uiPriority w:val="99"/>
    <w:rPr>
      <w:color w:val="0563C1" w:themeColor="hyperlink"/>
      <w:u w:val="single"/>
      <w14:textFill>
        <w14:solidFill>
          <w14:schemeClr w14:val="hlink"/>
        </w14:solidFill>
      </w14:textFill>
    </w:rPr>
  </w:style>
  <w:style w:type="character" w:customStyle="1" w:styleId="13">
    <w:name w:val="Header Char"/>
    <w:basedOn w:val="11"/>
    <w:link w:val="7"/>
    <w:qFormat/>
    <w:uiPriority w:val="99"/>
  </w:style>
  <w:style w:type="character" w:customStyle="1" w:styleId="14">
    <w:name w:val="Footer Char"/>
    <w:basedOn w:val="11"/>
    <w:link w:val="6"/>
    <w:qFormat/>
    <w:uiPriority w:val="99"/>
  </w:style>
  <w:style w:type="character" w:customStyle="1" w:styleId="15">
    <w:name w:val="Heading 1 Char"/>
    <w:basedOn w:val="11"/>
    <w:link w:val="2"/>
    <w:qFormat/>
    <w:uiPriority w:val="9"/>
    <w:rPr>
      <w:rFonts w:asciiTheme="majorHAnsi" w:hAnsiTheme="majorHAnsi" w:eastAsiaTheme="majorEastAsia" w:cstheme="majorBidi"/>
      <w:color w:val="2F5597" w:themeColor="accent1" w:themeShade="BF"/>
      <w:sz w:val="32"/>
      <w:szCs w:val="32"/>
    </w:rPr>
  </w:style>
  <w:style w:type="character" w:customStyle="1" w:styleId="16">
    <w:name w:val="Heading 2 Char"/>
    <w:basedOn w:val="11"/>
    <w:link w:val="3"/>
    <w:qFormat/>
    <w:uiPriority w:val="9"/>
    <w:rPr>
      <w:rFonts w:asciiTheme="majorHAnsi" w:hAnsiTheme="majorHAnsi" w:eastAsiaTheme="majorEastAsia" w:cstheme="majorBidi"/>
      <w:color w:val="2F5597" w:themeColor="accent1" w:themeShade="BF"/>
      <w:sz w:val="26"/>
      <w:szCs w:val="26"/>
    </w:rPr>
  </w:style>
  <w:style w:type="character" w:customStyle="1" w:styleId="17">
    <w:name w:val="Heading 3 Char"/>
    <w:basedOn w:val="11"/>
    <w:link w:val="4"/>
    <w:qFormat/>
    <w:uiPriority w:val="9"/>
    <w:rPr>
      <w:rFonts w:asciiTheme="majorHAnsi" w:hAnsiTheme="majorHAnsi" w:eastAsiaTheme="majorEastAsia" w:cstheme="majorBidi"/>
      <w:color w:val="203864" w:themeColor="accent1" w:themeShade="80"/>
      <w:sz w:val="24"/>
      <w:szCs w:val="24"/>
    </w:rPr>
  </w:style>
  <w:style w:type="paragraph" w:customStyle="1" w:styleId="18">
    <w:name w:val="TOC Heading"/>
    <w:basedOn w:val="2"/>
    <w:next w:val="1"/>
    <w:unhideWhenUsed/>
    <w:qFormat/>
    <w:uiPriority w:val="39"/>
    <w:pPr>
      <w:outlineLvl w:val="9"/>
    </w:p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1.xml"/><Relationship Id="rId7" Type="http://schemas.openxmlformats.org/officeDocument/2006/relationships/image" Target="media/image1.jpe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58FF88-D89D-4828-9CBB-EF2394EBB537}">
  <ds:schemaRefs/>
</ds:datastoreItem>
</file>

<file path=docProps/app.xml><?xml version="1.0" encoding="utf-8"?>
<Properties xmlns="http://schemas.openxmlformats.org/officeDocument/2006/extended-properties" xmlns:vt="http://schemas.openxmlformats.org/officeDocument/2006/docPropsVTypes">
  <Template>Normal</Template>
  <Pages>28</Pages>
  <Words>6417</Words>
  <Characters>36528</Characters>
  <Lines>322</Lines>
  <Paragraphs>90</Paragraphs>
  <TotalTime>23</TotalTime>
  <ScaleCrop>false</ScaleCrop>
  <LinksUpToDate>false</LinksUpToDate>
  <CharactersWithSpaces>42847</CharactersWithSpaces>
  <Application>WPS Office_11.1.0.12598_F1E327BC-269C-435d-A152-05C5408002CA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2022-12-12T10:34:00Z</dcterms:created>
  <dc:creator>apple</dc:creator>
  <cp:lastModifiedBy>尤他</cp:lastModifiedBy>
  <dcterms:modified xsi:type="dcterms:W3CDTF">2022-12-16T10:48:55Z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06d79a7a-4905-449f-bce7-56da54ce91f9</vt:lpwstr>
  </property>
  <property fmtid="{D5CDD505-2E9C-101B-9397-08002B2CF9AE}" pid="3" name="KSOProductBuildVer">
    <vt:lpwstr>2052-11.1.0.12598</vt:lpwstr>
  </property>
  <property fmtid="{D5CDD505-2E9C-101B-9397-08002B2CF9AE}" pid="4" name="ICV">
    <vt:lpwstr>C9C2B8F74BC04E2FABB97327AB20F3CB</vt:lpwstr>
  </property>
</Properties>
</file>