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2285EC" w14:textId="77777777" w:rsidR="00517EF1" w:rsidRPr="00215A33" w:rsidRDefault="00517EF1" w:rsidP="00517EF1">
      <w:pPr>
        <w:rPr>
          <w:rFonts w:ascii="Arial" w:hAnsi="Arial" w:cs="Arial"/>
          <w:b/>
          <w:bCs/>
          <w:u w:val="single"/>
        </w:rPr>
      </w:pPr>
      <w:r w:rsidRPr="00215A33">
        <w:rPr>
          <w:rFonts w:ascii="Arial" w:hAnsi="Arial" w:cs="Arial"/>
          <w:b/>
          <w:bCs/>
          <w:u w:val="single"/>
        </w:rPr>
        <w:t>Academic Assignment</w:t>
      </w:r>
    </w:p>
    <w:p w14:paraId="44787A0A" w14:textId="77777777" w:rsidR="00517EF1" w:rsidRPr="00215A33" w:rsidRDefault="00517EF1" w:rsidP="00517EF1">
      <w:pPr>
        <w:rPr>
          <w:rFonts w:ascii="Arial" w:hAnsi="Arial" w:cs="Arial"/>
        </w:rPr>
      </w:pPr>
      <w:r w:rsidRPr="00215A33">
        <w:rPr>
          <w:rFonts w:ascii="Arial" w:hAnsi="Arial" w:cs="Arial"/>
        </w:rPr>
        <w:t>Huw Widlake - 2320033</w:t>
      </w:r>
    </w:p>
    <w:p w14:paraId="5CEE9A29" w14:textId="77777777" w:rsidR="00517EF1" w:rsidRPr="00215A33" w:rsidRDefault="00517EF1" w:rsidP="00517EF1">
      <w:pPr>
        <w:rPr>
          <w:rFonts w:ascii="Arial" w:hAnsi="Arial" w:cs="Arial"/>
          <w:b/>
          <w:bCs/>
        </w:rPr>
      </w:pPr>
      <w:r w:rsidRPr="00215A33">
        <w:rPr>
          <w:rFonts w:ascii="Arial" w:hAnsi="Arial" w:cs="Arial"/>
          <w:b/>
          <w:bCs/>
        </w:rPr>
        <w:t>Essay one:</w:t>
      </w:r>
    </w:p>
    <w:p w14:paraId="489D1081" w14:textId="77777777" w:rsidR="00517EF1" w:rsidRPr="00215A33" w:rsidRDefault="00517EF1" w:rsidP="00517EF1">
      <w:pPr>
        <w:rPr>
          <w:rFonts w:ascii="Arial" w:hAnsi="Arial" w:cs="Arial"/>
        </w:rPr>
      </w:pPr>
      <w:r w:rsidRPr="00215A33">
        <w:rPr>
          <w:rFonts w:ascii="Arial" w:hAnsi="Arial" w:cs="Arial"/>
        </w:rPr>
        <w:t>How effectively has the police service adapted to accommodate diversity within the UK? Consider the police force itself and/or the way police engage with diverse communities.</w:t>
      </w:r>
    </w:p>
    <w:p w14:paraId="4C8EF722" w14:textId="77777777" w:rsidR="00517EF1" w:rsidRPr="00215A33" w:rsidRDefault="00517EF1" w:rsidP="00517EF1">
      <w:pPr>
        <w:rPr>
          <w:rFonts w:ascii="Arial" w:hAnsi="Arial" w:cs="Arial"/>
        </w:rPr>
      </w:pPr>
      <w:r w:rsidRPr="00215A33">
        <w:rPr>
          <w:rFonts w:ascii="Arial" w:hAnsi="Arial" w:cs="Arial"/>
        </w:rPr>
        <w:t>Your answer must be based on academic research.</w:t>
      </w:r>
    </w:p>
    <w:p w14:paraId="23ABBE20" w14:textId="77777777" w:rsidR="00517EF1" w:rsidRPr="00215A33" w:rsidRDefault="00517EF1" w:rsidP="00517EF1">
      <w:pPr>
        <w:rPr>
          <w:rFonts w:ascii="Arial" w:hAnsi="Arial" w:cs="Arial"/>
        </w:rPr>
      </w:pPr>
      <w:r w:rsidRPr="00215A33">
        <w:rPr>
          <w:rFonts w:ascii="Arial" w:hAnsi="Arial" w:cs="Arial"/>
        </w:rPr>
        <w:t xml:space="preserve">Word limit: 1000 words. </w:t>
      </w:r>
    </w:p>
    <w:p w14:paraId="7D8765C2" w14:textId="77777777" w:rsidR="00D150DC" w:rsidRPr="00215A33" w:rsidRDefault="00D150DC">
      <w:pPr>
        <w:rPr>
          <w:rFonts w:ascii="Arial" w:hAnsi="Arial" w:cs="Arial"/>
        </w:rPr>
      </w:pPr>
    </w:p>
    <w:p w14:paraId="200DFD4E" w14:textId="77777777" w:rsidR="00C76FBC" w:rsidRPr="00215A33" w:rsidRDefault="00460C05" w:rsidP="00AE7F1F">
      <w:pPr>
        <w:rPr>
          <w:rFonts w:ascii="Arial" w:hAnsi="Arial" w:cs="Arial"/>
        </w:rPr>
      </w:pPr>
      <w:r w:rsidRPr="00215A33">
        <w:rPr>
          <w:rFonts w:ascii="Arial" w:hAnsi="Arial" w:cs="Arial"/>
        </w:rPr>
        <w:t>D</w:t>
      </w:r>
      <w:r w:rsidR="00AE7F1F" w:rsidRPr="00215A33">
        <w:rPr>
          <w:rFonts w:ascii="Arial" w:hAnsi="Arial" w:cs="Arial"/>
        </w:rPr>
        <w:t>iversity within policing has become increasingly important</w:t>
      </w:r>
      <w:r w:rsidRPr="00215A33">
        <w:rPr>
          <w:rFonts w:ascii="Arial" w:hAnsi="Arial" w:cs="Arial"/>
        </w:rPr>
        <w:t xml:space="preserve"> topic</w:t>
      </w:r>
      <w:r w:rsidR="00AE7F1F" w:rsidRPr="00215A33">
        <w:rPr>
          <w:rFonts w:ascii="Arial" w:hAnsi="Arial" w:cs="Arial"/>
        </w:rPr>
        <w:t xml:space="preserve"> in the United Kingdom (UK)</w:t>
      </w:r>
      <w:r w:rsidRPr="00215A33">
        <w:rPr>
          <w:rFonts w:ascii="Arial" w:hAnsi="Arial" w:cs="Arial"/>
        </w:rPr>
        <w:t>.</w:t>
      </w:r>
      <w:r w:rsidR="00AE7F1F" w:rsidRPr="00215A33">
        <w:rPr>
          <w:rFonts w:ascii="Arial" w:hAnsi="Arial" w:cs="Arial"/>
        </w:rPr>
        <w:t xml:space="preserve"> </w:t>
      </w:r>
      <w:r w:rsidRPr="00215A33">
        <w:rPr>
          <w:rFonts w:ascii="Arial" w:hAnsi="Arial" w:cs="Arial"/>
        </w:rPr>
        <w:t>This is in part due to the</w:t>
      </w:r>
      <w:r w:rsidR="00AE7F1F" w:rsidRPr="00215A33">
        <w:rPr>
          <w:rFonts w:ascii="Arial" w:hAnsi="Arial" w:cs="Arial"/>
        </w:rPr>
        <w:t xml:space="preserve"> country's changing demographics and historical tensions between the police and marginalised communities.</w:t>
      </w:r>
      <w:r w:rsidRPr="00215A33">
        <w:rPr>
          <w:rFonts w:ascii="Arial" w:hAnsi="Arial" w:cs="Arial"/>
        </w:rPr>
        <w:t xml:space="preserve"> </w:t>
      </w:r>
      <w:r w:rsidR="00AE7F1F" w:rsidRPr="00215A33">
        <w:rPr>
          <w:rFonts w:ascii="Arial" w:hAnsi="Arial" w:cs="Arial"/>
        </w:rPr>
        <w:t xml:space="preserve">Diversity in this context refers not only to the representation of different ethnic groups but to those of </w:t>
      </w:r>
      <w:r w:rsidRPr="00215A33">
        <w:rPr>
          <w:rFonts w:ascii="Arial" w:hAnsi="Arial" w:cs="Arial"/>
        </w:rPr>
        <w:t>different</w:t>
      </w:r>
      <w:r w:rsidR="00AE7F1F" w:rsidRPr="00215A33">
        <w:rPr>
          <w:rFonts w:ascii="Arial" w:hAnsi="Arial" w:cs="Arial"/>
        </w:rPr>
        <w:t xml:space="preserve"> cultures</w:t>
      </w:r>
      <w:r w:rsidRPr="00215A33">
        <w:rPr>
          <w:rFonts w:ascii="Arial" w:hAnsi="Arial" w:cs="Arial"/>
        </w:rPr>
        <w:t xml:space="preserve">, genders and sexual orientations. </w:t>
      </w:r>
      <w:r w:rsidR="00AE7F1F" w:rsidRPr="00215A33">
        <w:rPr>
          <w:rFonts w:ascii="Arial" w:hAnsi="Arial" w:cs="Arial"/>
        </w:rPr>
        <w:t>In a society as multicultural as the UK, the ability of the police to reflect and respond to this diversity is central to fostering trust, legitimacy, and effective service delivery (Bradford, 2014). This essay critically examines the extent to which the UK police service has adapted to accommodate</w:t>
      </w:r>
      <w:r w:rsidRPr="00215A33">
        <w:rPr>
          <w:rFonts w:ascii="Arial" w:hAnsi="Arial" w:cs="Arial"/>
        </w:rPr>
        <w:t xml:space="preserve"> this change in</w:t>
      </w:r>
      <w:r w:rsidR="00AE7F1F" w:rsidRPr="00215A33">
        <w:rPr>
          <w:rFonts w:ascii="Arial" w:hAnsi="Arial" w:cs="Arial"/>
        </w:rPr>
        <w:t xml:space="preserve"> diversity, both internally through workforce changes and externally through community engagement strategies. </w:t>
      </w:r>
    </w:p>
    <w:p w14:paraId="428A5DA5" w14:textId="3A5D157C" w:rsidR="00460C05" w:rsidRPr="00215A33" w:rsidRDefault="00AE7F1F" w:rsidP="00AE7F1F">
      <w:pPr>
        <w:rPr>
          <w:rFonts w:ascii="Arial" w:hAnsi="Arial" w:cs="Arial"/>
        </w:rPr>
      </w:pPr>
      <w:r w:rsidRPr="00215A33">
        <w:rPr>
          <w:rFonts w:ascii="Arial" w:hAnsi="Arial" w:cs="Arial"/>
          <w:color w:val="FF0000"/>
        </w:rPr>
        <w:br/>
      </w:r>
      <w:r w:rsidR="00031966" w:rsidRPr="00215A33">
        <w:rPr>
          <w:rFonts w:ascii="Arial" w:hAnsi="Arial" w:cs="Arial"/>
        </w:rPr>
        <w:t>A</w:t>
      </w:r>
      <w:r w:rsidRPr="00215A33">
        <w:rPr>
          <w:rFonts w:ascii="Arial" w:hAnsi="Arial" w:cs="Arial"/>
        </w:rPr>
        <w:t xml:space="preserve"> major area of focus in assessing the police’s adaptation to diversity is workforce representation. Efforts to increase the number of officers from minority ethnic backgrounds have gained traction since the publication of the Macpherson Report (1999), which found the Metropolitan Police to be institutionally racist following the murder of Stephen Lawrence. </w:t>
      </w:r>
    </w:p>
    <w:p w14:paraId="55DE6A12" w14:textId="1A718086" w:rsidR="00A515E8" w:rsidRPr="00215A33" w:rsidRDefault="00AE7F1F" w:rsidP="00AE7F1F">
      <w:pPr>
        <w:rPr>
          <w:rFonts w:ascii="Arial" w:hAnsi="Arial" w:cs="Arial"/>
          <w:color w:val="FF0000"/>
        </w:rPr>
      </w:pPr>
      <w:r w:rsidRPr="00215A33">
        <w:rPr>
          <w:rFonts w:ascii="Arial" w:hAnsi="Arial" w:cs="Arial"/>
        </w:rPr>
        <w:t xml:space="preserve">In response, a range of initiatives were introduced to promote equality and challenge discriminatory practices, including the Race and Diversity Programme (College of Policing, 2013), </w:t>
      </w:r>
      <w:r w:rsidR="00031966" w:rsidRPr="00215A33">
        <w:rPr>
          <w:rFonts w:ascii="Arial" w:hAnsi="Arial" w:cs="Arial"/>
        </w:rPr>
        <w:t xml:space="preserve">which </w:t>
      </w:r>
      <w:r w:rsidRPr="00215A33">
        <w:rPr>
          <w:rFonts w:ascii="Arial" w:hAnsi="Arial" w:cs="Arial"/>
        </w:rPr>
        <w:t>revised recruitment policies, and targeted outreach.</w:t>
      </w:r>
      <w:r w:rsidRPr="00215A33">
        <w:rPr>
          <w:rFonts w:ascii="Arial" w:hAnsi="Arial" w:cs="Arial"/>
          <w:color w:val="FF0000"/>
        </w:rPr>
        <w:br/>
      </w:r>
      <w:r w:rsidRPr="00215A33">
        <w:rPr>
          <w:rFonts w:ascii="Arial" w:hAnsi="Arial" w:cs="Arial"/>
          <w:color w:val="FF0000"/>
        </w:rPr>
        <w:br/>
      </w:r>
      <w:r w:rsidRPr="00215A33">
        <w:rPr>
          <w:rFonts w:ascii="Arial" w:hAnsi="Arial" w:cs="Arial"/>
        </w:rPr>
        <w:t>Despite the efforts</w:t>
      </w:r>
      <w:r w:rsidR="00031966" w:rsidRPr="00215A33">
        <w:rPr>
          <w:rFonts w:ascii="Arial" w:hAnsi="Arial" w:cs="Arial"/>
        </w:rPr>
        <w:t xml:space="preserve"> made</w:t>
      </w:r>
      <w:r w:rsidRPr="00215A33">
        <w:rPr>
          <w:rFonts w:ascii="Arial" w:hAnsi="Arial" w:cs="Arial"/>
        </w:rPr>
        <w:t>, progress has been slow. According to the Home Office (2024), only 9.3% of police officers in England and Wales identified as being from a Black, Asian or Minority Ethnic (BAME) background as of March 2024, compared to over 18% of the national population. While this marks an improvement from previous decades, the</w:t>
      </w:r>
      <w:r w:rsidR="008F39BF">
        <w:rPr>
          <w:rFonts w:ascii="Arial" w:hAnsi="Arial" w:cs="Arial"/>
        </w:rPr>
        <w:t xml:space="preserve"> </w:t>
      </w:r>
      <w:r w:rsidRPr="00215A33">
        <w:rPr>
          <w:rFonts w:ascii="Arial" w:hAnsi="Arial" w:cs="Arial"/>
        </w:rPr>
        <w:t>underrepresentation remains significant,</w:t>
      </w:r>
      <w:r w:rsidR="00031966" w:rsidRPr="00215A33">
        <w:rPr>
          <w:rFonts w:ascii="Arial" w:hAnsi="Arial" w:cs="Arial"/>
        </w:rPr>
        <w:t xml:space="preserve"> this is</w:t>
      </w:r>
      <w:r w:rsidRPr="00215A33">
        <w:rPr>
          <w:rFonts w:ascii="Arial" w:hAnsi="Arial" w:cs="Arial"/>
        </w:rPr>
        <w:t xml:space="preserve"> especially </w:t>
      </w:r>
      <w:r w:rsidR="00031966" w:rsidRPr="00215A33">
        <w:rPr>
          <w:rFonts w:ascii="Arial" w:hAnsi="Arial" w:cs="Arial"/>
        </w:rPr>
        <w:t xml:space="preserve">true in terms of BAME officers </w:t>
      </w:r>
      <w:r w:rsidRPr="00215A33">
        <w:rPr>
          <w:rFonts w:ascii="Arial" w:hAnsi="Arial" w:cs="Arial"/>
        </w:rPr>
        <w:t>in leadership positions.</w:t>
      </w:r>
      <w:r w:rsidRPr="00215A33">
        <w:rPr>
          <w:rFonts w:ascii="Arial" w:hAnsi="Arial" w:cs="Arial"/>
          <w:color w:val="FF0000"/>
        </w:rPr>
        <w:br/>
      </w:r>
      <w:r w:rsidRPr="00215A33">
        <w:rPr>
          <w:rFonts w:ascii="Arial" w:hAnsi="Arial" w:cs="Arial"/>
          <w:color w:val="FF0000"/>
        </w:rPr>
        <w:br/>
      </w:r>
      <w:r w:rsidR="00A515E8" w:rsidRPr="00215A33">
        <w:rPr>
          <w:rFonts w:ascii="Arial" w:hAnsi="Arial" w:cs="Arial"/>
        </w:rPr>
        <w:t>However, b</w:t>
      </w:r>
      <w:r w:rsidRPr="00215A33">
        <w:rPr>
          <w:rFonts w:ascii="Arial" w:hAnsi="Arial" w:cs="Arial"/>
        </w:rPr>
        <w:t>arriers to diversity within the police workforce persist, including perceptions of institutional racism, exclusionary workplace cultures, and the limited visibility of role models from diverse backgrounds in senior ranks. Even when recruitment targets are met, critics argue that such achievements are often superficial, failing to address deeper structural inequalities within police institutions (Easton, 2020).</w:t>
      </w:r>
      <w:r w:rsidRPr="00215A33">
        <w:rPr>
          <w:rFonts w:ascii="Arial" w:hAnsi="Arial" w:cs="Arial"/>
          <w:color w:val="FF0000"/>
        </w:rPr>
        <w:t xml:space="preserve"> </w:t>
      </w:r>
      <w:r w:rsidR="00A515E8" w:rsidRPr="00215A33">
        <w:rPr>
          <w:rFonts w:ascii="Arial" w:hAnsi="Arial" w:cs="Arial"/>
        </w:rPr>
        <w:t xml:space="preserve">Holdaway and </w:t>
      </w:r>
      <w:proofErr w:type="spellStart"/>
      <w:r w:rsidR="00A515E8" w:rsidRPr="00215A33">
        <w:rPr>
          <w:rFonts w:ascii="Arial" w:hAnsi="Arial" w:cs="Arial"/>
        </w:rPr>
        <w:t>O’neil</w:t>
      </w:r>
      <w:proofErr w:type="spellEnd"/>
      <w:r w:rsidR="00A515E8" w:rsidRPr="00215A33">
        <w:rPr>
          <w:rFonts w:ascii="Arial" w:hAnsi="Arial" w:cs="Arial"/>
        </w:rPr>
        <w:t xml:space="preserve"> (2007) state that the recruitment from ethnic minority backgrounds had failed to transform policing and did more to confirm the institutional racism. This is further supported by research that showed ethnic minorities being more likely to face disciplinary action and less likely to be involved with decision making and working at higher ranks (Foster et al, 2005). Genuine inclusion requires more than just numbers; it involves creating an environment where diverse officers feel safe, valued, and empowered.</w:t>
      </w:r>
    </w:p>
    <w:p w14:paraId="0865A0DD" w14:textId="65F3C557" w:rsidR="00A312E1" w:rsidRPr="00215A33" w:rsidRDefault="00AE7F1F" w:rsidP="00AE7F1F">
      <w:pPr>
        <w:rPr>
          <w:rFonts w:ascii="Arial" w:hAnsi="Arial" w:cs="Arial"/>
        </w:rPr>
      </w:pPr>
      <w:r w:rsidRPr="00215A33">
        <w:rPr>
          <w:rFonts w:ascii="Arial" w:hAnsi="Arial" w:cs="Arial"/>
          <w:color w:val="FF0000"/>
        </w:rPr>
        <w:lastRenderedPageBreak/>
        <w:br/>
      </w:r>
      <w:r w:rsidRPr="00215A33">
        <w:rPr>
          <w:rFonts w:ascii="Arial" w:hAnsi="Arial" w:cs="Arial"/>
        </w:rPr>
        <w:t xml:space="preserve">Alongside </w:t>
      </w:r>
      <w:r w:rsidR="00C76FBC" w:rsidRPr="00215A33">
        <w:rPr>
          <w:rFonts w:ascii="Arial" w:hAnsi="Arial" w:cs="Arial"/>
        </w:rPr>
        <w:t>changes to officer diversity</w:t>
      </w:r>
      <w:r w:rsidRPr="00215A33">
        <w:rPr>
          <w:rFonts w:ascii="Arial" w:hAnsi="Arial" w:cs="Arial"/>
        </w:rPr>
        <w:t xml:space="preserve">, the police have sought to build better relationships with diverse </w:t>
      </w:r>
      <w:r w:rsidR="00C76FBC" w:rsidRPr="00215A33">
        <w:rPr>
          <w:rFonts w:ascii="Arial" w:hAnsi="Arial" w:cs="Arial"/>
        </w:rPr>
        <w:t xml:space="preserve">and minority </w:t>
      </w:r>
      <w:r w:rsidRPr="00215A33">
        <w:rPr>
          <w:rFonts w:ascii="Arial" w:hAnsi="Arial" w:cs="Arial"/>
        </w:rPr>
        <w:t>communities, recognising that public cooperation is essential for effective policing.</w:t>
      </w:r>
      <w:r w:rsidR="00C76FBC" w:rsidRPr="00215A33">
        <w:rPr>
          <w:rFonts w:ascii="Arial" w:hAnsi="Arial" w:cs="Arial"/>
        </w:rPr>
        <w:t xml:space="preserve"> This is a highly important factor in policing with the UK as forces police with consent rather than by force, this is a cornerstone for policing in the UK and is closely linked to public confidence, procedural justice and community engagement (Reiner, 2020).</w:t>
      </w:r>
      <w:r w:rsidR="00A312E1" w:rsidRPr="00215A33">
        <w:rPr>
          <w:rFonts w:ascii="Arial" w:hAnsi="Arial" w:cs="Arial"/>
          <w:color w:val="FF0000"/>
        </w:rPr>
        <w:t xml:space="preserve"> </w:t>
      </w:r>
      <w:r w:rsidRPr="00215A33">
        <w:rPr>
          <w:rFonts w:ascii="Arial" w:hAnsi="Arial" w:cs="Arial"/>
        </w:rPr>
        <w:t>Initiatives such as Independent Advisory Groups (IAGs), neighbourhood policing teams, and community liaison officers have been developed to foster communication, trust, and transparency.</w:t>
      </w:r>
      <w:r w:rsidRPr="00215A33">
        <w:rPr>
          <w:rFonts w:ascii="Arial" w:hAnsi="Arial" w:cs="Arial"/>
          <w:color w:val="FF0000"/>
        </w:rPr>
        <w:t xml:space="preserve"> </w:t>
      </w:r>
      <w:r w:rsidR="00A312E1" w:rsidRPr="00215A33">
        <w:rPr>
          <w:rFonts w:ascii="Arial" w:hAnsi="Arial" w:cs="Arial"/>
          <w:color w:val="FF0000"/>
        </w:rPr>
        <w:t xml:space="preserve"> </w:t>
      </w:r>
      <w:r w:rsidRPr="00215A33">
        <w:rPr>
          <w:rFonts w:ascii="Arial" w:hAnsi="Arial" w:cs="Arial"/>
        </w:rPr>
        <w:t xml:space="preserve">Some police forces </w:t>
      </w:r>
      <w:r w:rsidR="00A312E1" w:rsidRPr="00215A33">
        <w:rPr>
          <w:rFonts w:ascii="Arial" w:hAnsi="Arial" w:cs="Arial"/>
        </w:rPr>
        <w:t>work</w:t>
      </w:r>
      <w:r w:rsidRPr="00215A33">
        <w:rPr>
          <w:rFonts w:ascii="Arial" w:hAnsi="Arial" w:cs="Arial"/>
        </w:rPr>
        <w:t xml:space="preserve"> collaborat</w:t>
      </w:r>
      <w:r w:rsidR="00A312E1" w:rsidRPr="00215A33">
        <w:rPr>
          <w:rFonts w:ascii="Arial" w:hAnsi="Arial" w:cs="Arial"/>
        </w:rPr>
        <w:t>ively</w:t>
      </w:r>
      <w:r w:rsidRPr="00215A33">
        <w:rPr>
          <w:rFonts w:ascii="Arial" w:hAnsi="Arial" w:cs="Arial"/>
        </w:rPr>
        <w:t xml:space="preserve"> with faith groups, cultural organisations, and LGBTQ+ networks to ensure that services are more inclusive and responsive to local needs (College of Policing, 2013).</w:t>
      </w:r>
      <w:r w:rsidRPr="00215A33">
        <w:rPr>
          <w:rFonts w:ascii="Arial" w:hAnsi="Arial" w:cs="Arial"/>
          <w:color w:val="FF0000"/>
        </w:rPr>
        <w:br/>
      </w:r>
      <w:r w:rsidRPr="00215A33">
        <w:rPr>
          <w:rFonts w:ascii="Arial" w:hAnsi="Arial" w:cs="Arial"/>
        </w:rPr>
        <w:br/>
      </w:r>
      <w:r w:rsidR="00A312E1" w:rsidRPr="00215A33">
        <w:rPr>
          <w:rFonts w:ascii="Arial" w:hAnsi="Arial" w:cs="Arial"/>
        </w:rPr>
        <w:t>There has been some success with these strategies, London’s</w:t>
      </w:r>
      <w:r w:rsidRPr="00215A33">
        <w:rPr>
          <w:rFonts w:ascii="Arial" w:hAnsi="Arial" w:cs="Arial"/>
        </w:rPr>
        <w:t xml:space="preserve"> Metropolitan Police has implemented various engagement models</w:t>
      </w:r>
      <w:r w:rsidR="00DF29EC" w:rsidRPr="00215A33">
        <w:rPr>
          <w:rFonts w:ascii="Arial" w:hAnsi="Arial" w:cs="Arial"/>
        </w:rPr>
        <w:t xml:space="preserve"> such as their STRIDE strategy (Metropolitan Police, 2021)</w:t>
      </w:r>
      <w:r w:rsidRPr="00215A33">
        <w:rPr>
          <w:rFonts w:ascii="Arial" w:hAnsi="Arial" w:cs="Arial"/>
        </w:rPr>
        <w:t xml:space="preserve"> to build bridges with marginalised groups, including efforts to improve</w:t>
      </w:r>
      <w:r w:rsidR="00A312E1" w:rsidRPr="00215A33">
        <w:rPr>
          <w:rFonts w:ascii="Arial" w:hAnsi="Arial" w:cs="Arial"/>
        </w:rPr>
        <w:t xml:space="preserve"> the reporting of</w:t>
      </w:r>
      <w:r w:rsidRPr="00215A33">
        <w:rPr>
          <w:rFonts w:ascii="Arial" w:hAnsi="Arial" w:cs="Arial"/>
        </w:rPr>
        <w:t xml:space="preserve"> hate crime</w:t>
      </w:r>
      <w:r w:rsidR="00A312E1" w:rsidRPr="00215A33">
        <w:rPr>
          <w:rFonts w:ascii="Arial" w:hAnsi="Arial" w:cs="Arial"/>
        </w:rPr>
        <w:t>s</w:t>
      </w:r>
      <w:r w:rsidRPr="00215A33">
        <w:rPr>
          <w:rFonts w:ascii="Arial" w:hAnsi="Arial" w:cs="Arial"/>
        </w:rPr>
        <w:t xml:space="preserve"> and </w:t>
      </w:r>
      <w:r w:rsidR="00A312E1" w:rsidRPr="00215A33">
        <w:rPr>
          <w:rFonts w:ascii="Arial" w:hAnsi="Arial" w:cs="Arial"/>
        </w:rPr>
        <w:t xml:space="preserve"> their levels of </w:t>
      </w:r>
      <w:r w:rsidRPr="00215A33">
        <w:rPr>
          <w:rFonts w:ascii="Arial" w:hAnsi="Arial" w:cs="Arial"/>
        </w:rPr>
        <w:t>victim support (Murray and Harkin, 2017).</w:t>
      </w:r>
      <w:r w:rsidRPr="00215A33">
        <w:rPr>
          <w:rFonts w:ascii="Arial" w:hAnsi="Arial" w:cs="Arial"/>
          <w:color w:val="FF0000"/>
        </w:rPr>
        <w:t xml:space="preserve"> </w:t>
      </w:r>
      <w:r w:rsidR="00A312E1" w:rsidRPr="00215A33">
        <w:rPr>
          <w:rFonts w:ascii="Arial" w:hAnsi="Arial" w:cs="Arial"/>
        </w:rPr>
        <w:t>Furthermore</w:t>
      </w:r>
      <w:r w:rsidRPr="00215A33">
        <w:rPr>
          <w:rFonts w:ascii="Arial" w:hAnsi="Arial" w:cs="Arial"/>
        </w:rPr>
        <w:t>, efforts</w:t>
      </w:r>
      <w:r w:rsidR="00A312E1" w:rsidRPr="00215A33">
        <w:rPr>
          <w:rFonts w:ascii="Arial" w:hAnsi="Arial" w:cs="Arial"/>
        </w:rPr>
        <w:t xml:space="preserve"> have been made</w:t>
      </w:r>
      <w:r w:rsidRPr="00215A33">
        <w:rPr>
          <w:rFonts w:ascii="Arial" w:hAnsi="Arial" w:cs="Arial"/>
        </w:rPr>
        <w:t xml:space="preserve"> to involve community members in advisory roles and local policing boards have given diverse voices a greater say in shaping policing priorities.</w:t>
      </w:r>
      <w:r w:rsidRPr="00215A33">
        <w:rPr>
          <w:rFonts w:ascii="Arial" w:hAnsi="Arial" w:cs="Arial"/>
          <w:color w:val="FF0000"/>
        </w:rPr>
        <w:br/>
      </w:r>
      <w:r w:rsidRPr="00215A33">
        <w:rPr>
          <w:rFonts w:ascii="Arial" w:hAnsi="Arial" w:cs="Arial"/>
          <w:color w:val="FF0000"/>
        </w:rPr>
        <w:br/>
      </w:r>
      <w:r w:rsidRPr="00215A33">
        <w:rPr>
          <w:rFonts w:ascii="Arial" w:hAnsi="Arial" w:cs="Arial"/>
        </w:rPr>
        <w:t>However, public confidence in the police remains uneven. According to the Crime Survey for England and Wales (Office for National Statistics, 2023), levels of trust are generally lower among Black and Asian respondents compared to their White counterparts.</w:t>
      </w:r>
      <w:r w:rsidR="001D114A" w:rsidRPr="00215A33">
        <w:rPr>
          <w:rFonts w:ascii="Arial" w:hAnsi="Arial" w:cs="Arial"/>
        </w:rPr>
        <w:t xml:space="preserve"> </w:t>
      </w:r>
      <w:r w:rsidR="005A65C4">
        <w:rPr>
          <w:rFonts w:ascii="Arial" w:hAnsi="Arial" w:cs="Arial"/>
        </w:rPr>
        <w:t>R</w:t>
      </w:r>
      <w:r w:rsidR="001D114A" w:rsidRPr="00215A33">
        <w:rPr>
          <w:rFonts w:ascii="Arial" w:hAnsi="Arial" w:cs="Arial"/>
        </w:rPr>
        <w:t>esearch suggests th</w:t>
      </w:r>
      <w:r w:rsidR="00933BB2" w:rsidRPr="00215A33">
        <w:rPr>
          <w:rFonts w:ascii="Arial" w:hAnsi="Arial" w:cs="Arial"/>
        </w:rPr>
        <w:t>at</w:t>
      </w:r>
      <w:r w:rsidR="001D114A" w:rsidRPr="00215A33">
        <w:rPr>
          <w:rFonts w:ascii="Arial" w:hAnsi="Arial" w:cs="Arial"/>
        </w:rPr>
        <w:t xml:space="preserve"> </w:t>
      </w:r>
      <w:r w:rsidR="00933BB2" w:rsidRPr="00215A33">
        <w:rPr>
          <w:rFonts w:ascii="Arial" w:hAnsi="Arial" w:cs="Arial"/>
        </w:rPr>
        <w:t xml:space="preserve">community </w:t>
      </w:r>
      <w:r w:rsidR="001D114A" w:rsidRPr="00215A33">
        <w:rPr>
          <w:rFonts w:ascii="Arial" w:hAnsi="Arial" w:cs="Arial"/>
        </w:rPr>
        <w:t xml:space="preserve">engagement with these groups is </w:t>
      </w:r>
      <w:r w:rsidR="00933BB2" w:rsidRPr="00215A33">
        <w:rPr>
          <w:rFonts w:ascii="Arial" w:hAnsi="Arial" w:cs="Arial"/>
        </w:rPr>
        <w:t>inconsistent,</w:t>
      </w:r>
      <w:r w:rsidR="001D114A" w:rsidRPr="00215A33">
        <w:rPr>
          <w:rFonts w:ascii="Arial" w:hAnsi="Arial" w:cs="Arial"/>
        </w:rPr>
        <w:t xml:space="preserve"> under resourced</w:t>
      </w:r>
      <w:r w:rsidR="00933BB2" w:rsidRPr="00215A33">
        <w:rPr>
          <w:rFonts w:ascii="Arial" w:hAnsi="Arial" w:cs="Arial"/>
        </w:rPr>
        <w:t xml:space="preserve"> and often sidelined as forces are pushed towards performance driven priorities such as crime statistics and response times</w:t>
      </w:r>
      <w:r w:rsidR="001D114A" w:rsidRPr="00215A33">
        <w:rPr>
          <w:rFonts w:ascii="Arial" w:hAnsi="Arial" w:cs="Arial"/>
        </w:rPr>
        <w:t xml:space="preserve"> (Myhill, 2012).</w:t>
      </w:r>
      <w:r w:rsidR="00933BB2" w:rsidRPr="00215A33">
        <w:rPr>
          <w:rFonts w:ascii="Arial" w:hAnsi="Arial" w:cs="Arial"/>
        </w:rPr>
        <w:t xml:space="preserve"> In practice this means neighbourhood teams may be overstretched and have limited capacity to maintain a sustained relationship</w:t>
      </w:r>
      <w:r w:rsidR="005A65C4">
        <w:rPr>
          <w:rFonts w:ascii="Arial" w:hAnsi="Arial" w:cs="Arial"/>
        </w:rPr>
        <w:t>s</w:t>
      </w:r>
      <w:r w:rsidR="00933BB2" w:rsidRPr="00215A33">
        <w:rPr>
          <w:rFonts w:ascii="Arial" w:hAnsi="Arial" w:cs="Arial"/>
        </w:rPr>
        <w:t xml:space="preserve"> with these communities.</w:t>
      </w:r>
    </w:p>
    <w:p w14:paraId="08EE4E7B" w14:textId="045C4FB0" w:rsidR="000058D2" w:rsidRPr="00B701BE" w:rsidRDefault="005A65C4" w:rsidP="00AE7F1F">
      <w:pPr>
        <w:rPr>
          <w:rFonts w:ascii="Arial" w:hAnsi="Arial" w:cs="Arial"/>
        </w:rPr>
      </w:pPr>
      <w:r>
        <w:rPr>
          <w:rFonts w:ascii="Arial" w:hAnsi="Arial" w:cs="Arial"/>
        </w:rPr>
        <w:t>Aswell t</w:t>
      </w:r>
      <w:r w:rsidR="00CB7359" w:rsidRPr="00215A33">
        <w:rPr>
          <w:rFonts w:ascii="Arial" w:hAnsi="Arial" w:cs="Arial"/>
        </w:rPr>
        <w:t>hese efforts are often harmed by the controversial use of</w:t>
      </w:r>
      <w:r w:rsidR="00AE7F1F" w:rsidRPr="00215A33">
        <w:rPr>
          <w:rFonts w:ascii="Arial" w:hAnsi="Arial" w:cs="Arial"/>
        </w:rPr>
        <w:t xml:space="preserve"> stop and search powers</w:t>
      </w:r>
      <w:r>
        <w:rPr>
          <w:rFonts w:ascii="Arial" w:hAnsi="Arial" w:cs="Arial"/>
        </w:rPr>
        <w:t xml:space="preserve"> </w:t>
      </w:r>
      <w:r w:rsidR="00AE7F1F" w:rsidRPr="00215A33">
        <w:rPr>
          <w:rFonts w:ascii="Arial" w:hAnsi="Arial" w:cs="Arial"/>
        </w:rPr>
        <w:t xml:space="preserve">against ethnic minorities. </w:t>
      </w:r>
      <w:r w:rsidR="00CB7359" w:rsidRPr="00215A33">
        <w:rPr>
          <w:rFonts w:ascii="Arial" w:hAnsi="Arial" w:cs="Arial"/>
        </w:rPr>
        <w:t>Statistics show that</w:t>
      </w:r>
      <w:r w:rsidR="00AE7F1F" w:rsidRPr="00215A33">
        <w:rPr>
          <w:rFonts w:ascii="Arial" w:hAnsi="Arial" w:cs="Arial"/>
        </w:rPr>
        <w:t xml:space="preserve"> </w:t>
      </w:r>
      <w:r>
        <w:rPr>
          <w:rFonts w:ascii="Arial" w:hAnsi="Arial" w:cs="Arial"/>
        </w:rPr>
        <w:t>b</w:t>
      </w:r>
      <w:r w:rsidR="00AE7F1F" w:rsidRPr="00215A33">
        <w:rPr>
          <w:rFonts w:ascii="Arial" w:hAnsi="Arial" w:cs="Arial"/>
        </w:rPr>
        <w:t xml:space="preserve">lack people were over nine times more likely to be stopped and searched than </w:t>
      </w:r>
      <w:r>
        <w:rPr>
          <w:rFonts w:ascii="Arial" w:hAnsi="Arial" w:cs="Arial"/>
        </w:rPr>
        <w:t>w</w:t>
      </w:r>
      <w:r w:rsidR="00AE7F1F" w:rsidRPr="00215A33">
        <w:rPr>
          <w:rFonts w:ascii="Arial" w:hAnsi="Arial" w:cs="Arial"/>
        </w:rPr>
        <w:t>hite individuals, despite similar rates of arrest</w:t>
      </w:r>
      <w:r w:rsidR="00CB7359" w:rsidRPr="00215A33">
        <w:rPr>
          <w:rFonts w:ascii="Arial" w:hAnsi="Arial" w:cs="Arial"/>
        </w:rPr>
        <w:t>, (H</w:t>
      </w:r>
      <w:r>
        <w:rPr>
          <w:rFonts w:ascii="Arial" w:hAnsi="Arial" w:cs="Arial"/>
        </w:rPr>
        <w:t xml:space="preserve">is </w:t>
      </w:r>
      <w:r w:rsidR="00CB7359" w:rsidRPr="00215A33">
        <w:rPr>
          <w:rFonts w:ascii="Arial" w:hAnsi="Arial" w:cs="Arial"/>
        </w:rPr>
        <w:t>M</w:t>
      </w:r>
      <w:r>
        <w:rPr>
          <w:rFonts w:ascii="Arial" w:hAnsi="Arial" w:cs="Arial"/>
        </w:rPr>
        <w:t xml:space="preserve">ajesties </w:t>
      </w:r>
      <w:r w:rsidR="00CB7359" w:rsidRPr="00215A33">
        <w:rPr>
          <w:rFonts w:ascii="Arial" w:hAnsi="Arial" w:cs="Arial"/>
        </w:rPr>
        <w:t>I</w:t>
      </w:r>
      <w:r>
        <w:rPr>
          <w:rFonts w:ascii="Arial" w:hAnsi="Arial" w:cs="Arial"/>
        </w:rPr>
        <w:t xml:space="preserve">nspectorate of </w:t>
      </w:r>
      <w:r w:rsidRPr="00215A33">
        <w:rPr>
          <w:rFonts w:ascii="Arial" w:hAnsi="Arial" w:cs="Arial"/>
        </w:rPr>
        <w:t>C</w:t>
      </w:r>
      <w:r>
        <w:rPr>
          <w:rFonts w:ascii="Arial" w:hAnsi="Arial" w:cs="Arial"/>
        </w:rPr>
        <w:t xml:space="preserve">onstabulary </w:t>
      </w:r>
      <w:r w:rsidR="00CB7359" w:rsidRPr="00215A33">
        <w:rPr>
          <w:rFonts w:ascii="Arial" w:hAnsi="Arial" w:cs="Arial"/>
        </w:rPr>
        <w:t>F</w:t>
      </w:r>
      <w:r>
        <w:rPr>
          <w:rFonts w:ascii="Arial" w:hAnsi="Arial" w:cs="Arial"/>
        </w:rPr>
        <w:t xml:space="preserve">ire and </w:t>
      </w:r>
      <w:r w:rsidR="00CB7359" w:rsidRPr="00215A33">
        <w:rPr>
          <w:rFonts w:ascii="Arial" w:hAnsi="Arial" w:cs="Arial"/>
        </w:rPr>
        <w:t>R</w:t>
      </w:r>
      <w:r>
        <w:rPr>
          <w:rFonts w:ascii="Arial" w:hAnsi="Arial" w:cs="Arial"/>
        </w:rPr>
        <w:t xml:space="preserve">escue </w:t>
      </w:r>
      <w:r w:rsidR="00CB7359" w:rsidRPr="00215A33">
        <w:rPr>
          <w:rFonts w:ascii="Arial" w:hAnsi="Arial" w:cs="Arial"/>
        </w:rPr>
        <w:t>S</w:t>
      </w:r>
      <w:r>
        <w:rPr>
          <w:rFonts w:ascii="Arial" w:hAnsi="Arial" w:cs="Arial"/>
        </w:rPr>
        <w:t>ervices</w:t>
      </w:r>
      <w:r w:rsidR="00CB7359" w:rsidRPr="00215A33">
        <w:rPr>
          <w:rFonts w:ascii="Arial" w:hAnsi="Arial" w:cs="Arial"/>
        </w:rPr>
        <w:t>, 2021)</w:t>
      </w:r>
      <w:r w:rsidR="00AE7F1F" w:rsidRPr="00215A33">
        <w:rPr>
          <w:rFonts w:ascii="Arial" w:hAnsi="Arial" w:cs="Arial"/>
        </w:rPr>
        <w:t>. Such practices contribute to perceptions of racial profiling and damage the legitimacy of police in the eyes of affected communities.</w:t>
      </w:r>
      <w:r w:rsidR="00CB7359" w:rsidRPr="00215A33">
        <w:rPr>
          <w:rFonts w:ascii="Arial" w:hAnsi="Arial" w:cs="Arial"/>
          <w:color w:val="FF0000"/>
        </w:rPr>
        <w:t xml:space="preserve"> </w:t>
      </w:r>
      <w:r w:rsidR="00AE7F1F" w:rsidRPr="00215A33">
        <w:rPr>
          <w:rFonts w:ascii="Arial" w:hAnsi="Arial" w:cs="Arial"/>
        </w:rPr>
        <w:t>Furthermore, high-profile cases of excessive force, discriminatory treatment, and lack of accountability</w:t>
      </w:r>
      <w:r w:rsidR="00CB7359" w:rsidRPr="00215A33">
        <w:rPr>
          <w:rFonts w:ascii="Arial" w:hAnsi="Arial" w:cs="Arial"/>
        </w:rPr>
        <w:t xml:space="preserve"> in </w:t>
      </w:r>
      <w:r w:rsidR="00AE7F1F" w:rsidRPr="00215A33">
        <w:rPr>
          <w:rFonts w:ascii="Arial" w:hAnsi="Arial" w:cs="Arial"/>
        </w:rPr>
        <w:t>both in the UK and internationally</w:t>
      </w:r>
      <w:r w:rsidR="00CB7359" w:rsidRPr="00215A33">
        <w:rPr>
          <w:rFonts w:ascii="Arial" w:hAnsi="Arial" w:cs="Arial"/>
        </w:rPr>
        <w:t xml:space="preserve"> </w:t>
      </w:r>
      <w:r w:rsidR="00AE7F1F" w:rsidRPr="00215A33">
        <w:rPr>
          <w:rFonts w:ascii="Arial" w:hAnsi="Arial" w:cs="Arial"/>
        </w:rPr>
        <w:t>have intensified scrutiny on policing practices. The impact of global movements such as Black Lives Matter has amplified calls for systemic change within policing and highlighted the importance of addressing structural inequalities, not just engaging in superficial outreach (Easton, 2020).</w:t>
      </w:r>
      <w:r w:rsidR="00AE7F1F" w:rsidRPr="00215A33">
        <w:rPr>
          <w:rFonts w:ascii="Arial" w:hAnsi="Arial" w:cs="Arial"/>
          <w:color w:val="FF0000"/>
        </w:rPr>
        <w:br/>
      </w:r>
      <w:r w:rsidR="00AE7F1F" w:rsidRPr="00215A33">
        <w:rPr>
          <w:rFonts w:ascii="Arial" w:hAnsi="Arial" w:cs="Arial"/>
          <w:color w:val="FF0000"/>
        </w:rPr>
        <w:br/>
      </w:r>
      <w:r w:rsidR="00CB7359" w:rsidRPr="00215A33">
        <w:rPr>
          <w:rFonts w:ascii="Arial" w:hAnsi="Arial" w:cs="Arial"/>
        </w:rPr>
        <w:t xml:space="preserve">To conclude this essay the Police Forces in the UK have made several steps to accommodate the growing diversity of its communities. </w:t>
      </w:r>
      <w:r w:rsidR="000058D2" w:rsidRPr="00215A33">
        <w:rPr>
          <w:rFonts w:ascii="Arial" w:hAnsi="Arial" w:cs="Arial"/>
        </w:rPr>
        <w:t>This can be seen both within the force itself to the way it now approaches communities through engagement practices. The implementation of these shows a clear desire for change. However, progress to date has been limited and, in some regards superficial. There is still a clear underrepresentation for officers in leadership positions originating from BAME backgrounds. There is also still the continued disproportionate use of stop and search that significantly harms the relationships between the police and these communities, this would indicate that much work remains to be done in this matter and although progress can be said to have been made, there is still an air of racism held within police force</w:t>
      </w:r>
      <w:r>
        <w:rPr>
          <w:rFonts w:ascii="Arial" w:hAnsi="Arial" w:cs="Arial"/>
        </w:rPr>
        <w:t>s</w:t>
      </w:r>
      <w:r w:rsidR="000058D2" w:rsidRPr="00215A33">
        <w:rPr>
          <w:rFonts w:ascii="Arial" w:hAnsi="Arial" w:cs="Arial"/>
        </w:rPr>
        <w:t xml:space="preserve"> </w:t>
      </w:r>
      <w:r>
        <w:rPr>
          <w:rFonts w:ascii="Arial" w:hAnsi="Arial" w:cs="Arial"/>
        </w:rPr>
        <w:t>across</w:t>
      </w:r>
      <w:r w:rsidR="000058D2" w:rsidRPr="00215A33">
        <w:rPr>
          <w:rFonts w:ascii="Arial" w:hAnsi="Arial" w:cs="Arial"/>
        </w:rPr>
        <w:t xml:space="preserve"> the United Kingdom.</w:t>
      </w:r>
    </w:p>
    <w:p w14:paraId="42B91660" w14:textId="3783040C" w:rsidR="00DF29EC" w:rsidRPr="00215A33" w:rsidRDefault="00AE7F1F" w:rsidP="00AE7F1F">
      <w:pPr>
        <w:rPr>
          <w:rFonts w:ascii="Arial" w:hAnsi="Arial" w:cs="Arial"/>
        </w:rPr>
      </w:pPr>
      <w:r w:rsidRPr="00215A33">
        <w:rPr>
          <w:rFonts w:ascii="Arial" w:hAnsi="Arial" w:cs="Arial"/>
          <w:b/>
          <w:bCs/>
          <w:u w:val="single"/>
        </w:rPr>
        <w:br/>
      </w:r>
      <w:r w:rsidR="00DF29EC" w:rsidRPr="00215A33">
        <w:rPr>
          <w:rFonts w:ascii="Arial" w:hAnsi="Arial" w:cs="Arial"/>
          <w:b/>
          <w:bCs/>
        </w:rPr>
        <w:t>Word Count:</w:t>
      </w:r>
      <w:r w:rsidR="00DF29EC" w:rsidRPr="00215A33">
        <w:rPr>
          <w:rFonts w:ascii="Arial" w:hAnsi="Arial" w:cs="Arial"/>
        </w:rPr>
        <w:t xml:space="preserve"> </w:t>
      </w:r>
      <w:r w:rsidR="000058D2" w:rsidRPr="00215A33">
        <w:rPr>
          <w:rFonts w:ascii="Arial" w:hAnsi="Arial" w:cs="Arial"/>
        </w:rPr>
        <w:t>96</w:t>
      </w:r>
      <w:r w:rsidR="005A65C4">
        <w:rPr>
          <w:rFonts w:ascii="Arial" w:hAnsi="Arial" w:cs="Arial"/>
        </w:rPr>
        <w:t>8</w:t>
      </w:r>
    </w:p>
    <w:p w14:paraId="5A15C664" w14:textId="77777777" w:rsidR="00257FE6" w:rsidRPr="00215A33" w:rsidRDefault="00257FE6" w:rsidP="00AE7F1F">
      <w:pPr>
        <w:rPr>
          <w:rFonts w:ascii="Arial" w:hAnsi="Arial" w:cs="Arial"/>
        </w:rPr>
      </w:pPr>
    </w:p>
    <w:p w14:paraId="5C698B64" w14:textId="77777777" w:rsidR="00980CA4" w:rsidRPr="00215A33" w:rsidRDefault="00980CA4" w:rsidP="00257FE6">
      <w:pPr>
        <w:rPr>
          <w:rFonts w:ascii="Arial" w:hAnsi="Arial" w:cs="Arial"/>
          <w:b/>
          <w:bCs/>
        </w:rPr>
      </w:pPr>
    </w:p>
    <w:p w14:paraId="48932036" w14:textId="77777777" w:rsidR="00980CA4" w:rsidRPr="00215A33" w:rsidRDefault="00980CA4" w:rsidP="00257FE6">
      <w:pPr>
        <w:rPr>
          <w:rFonts w:ascii="Arial" w:hAnsi="Arial" w:cs="Arial"/>
          <w:b/>
          <w:bCs/>
        </w:rPr>
      </w:pPr>
    </w:p>
    <w:p w14:paraId="07BDE604" w14:textId="77777777" w:rsidR="00980CA4" w:rsidRPr="00215A33" w:rsidRDefault="00980CA4" w:rsidP="00257FE6">
      <w:pPr>
        <w:rPr>
          <w:rFonts w:ascii="Arial" w:hAnsi="Arial" w:cs="Arial"/>
          <w:b/>
          <w:bCs/>
        </w:rPr>
      </w:pPr>
    </w:p>
    <w:p w14:paraId="49544CB6" w14:textId="77777777" w:rsidR="00980CA4" w:rsidRPr="00215A33" w:rsidRDefault="00980CA4" w:rsidP="00257FE6">
      <w:pPr>
        <w:rPr>
          <w:rFonts w:ascii="Arial" w:hAnsi="Arial" w:cs="Arial"/>
          <w:b/>
          <w:bCs/>
        </w:rPr>
      </w:pPr>
    </w:p>
    <w:p w14:paraId="6F8DE47A" w14:textId="77777777" w:rsidR="00980CA4" w:rsidRPr="00215A33" w:rsidRDefault="00980CA4" w:rsidP="00257FE6">
      <w:pPr>
        <w:rPr>
          <w:rFonts w:ascii="Arial" w:hAnsi="Arial" w:cs="Arial"/>
          <w:b/>
          <w:bCs/>
        </w:rPr>
      </w:pPr>
    </w:p>
    <w:p w14:paraId="0BBF4B77" w14:textId="77777777" w:rsidR="00980CA4" w:rsidRPr="00215A33" w:rsidRDefault="00980CA4" w:rsidP="00257FE6">
      <w:pPr>
        <w:rPr>
          <w:rFonts w:ascii="Arial" w:hAnsi="Arial" w:cs="Arial"/>
          <w:b/>
          <w:bCs/>
        </w:rPr>
      </w:pPr>
    </w:p>
    <w:p w14:paraId="667BD6DD" w14:textId="77777777" w:rsidR="00980CA4" w:rsidRPr="00215A33" w:rsidRDefault="00980CA4" w:rsidP="00257FE6">
      <w:pPr>
        <w:rPr>
          <w:rFonts w:ascii="Arial" w:hAnsi="Arial" w:cs="Arial"/>
          <w:b/>
          <w:bCs/>
        </w:rPr>
      </w:pPr>
    </w:p>
    <w:p w14:paraId="5DED02DA" w14:textId="77777777" w:rsidR="00980CA4" w:rsidRPr="00215A33" w:rsidRDefault="00980CA4" w:rsidP="00257FE6">
      <w:pPr>
        <w:rPr>
          <w:rFonts w:ascii="Arial" w:hAnsi="Arial" w:cs="Arial"/>
          <w:b/>
          <w:bCs/>
        </w:rPr>
      </w:pPr>
    </w:p>
    <w:p w14:paraId="77D7008B" w14:textId="77777777" w:rsidR="00980CA4" w:rsidRPr="00215A33" w:rsidRDefault="00980CA4" w:rsidP="00257FE6">
      <w:pPr>
        <w:rPr>
          <w:rFonts w:ascii="Arial" w:hAnsi="Arial" w:cs="Arial"/>
          <w:b/>
          <w:bCs/>
        </w:rPr>
      </w:pPr>
    </w:p>
    <w:p w14:paraId="505975F2" w14:textId="77777777" w:rsidR="00980CA4" w:rsidRPr="00215A33" w:rsidRDefault="00980CA4" w:rsidP="00257FE6">
      <w:pPr>
        <w:rPr>
          <w:rFonts w:ascii="Arial" w:hAnsi="Arial" w:cs="Arial"/>
          <w:b/>
          <w:bCs/>
        </w:rPr>
      </w:pPr>
    </w:p>
    <w:p w14:paraId="354BA880" w14:textId="77777777" w:rsidR="00980CA4" w:rsidRPr="00215A33" w:rsidRDefault="00980CA4" w:rsidP="00257FE6">
      <w:pPr>
        <w:rPr>
          <w:rFonts w:ascii="Arial" w:hAnsi="Arial" w:cs="Arial"/>
          <w:b/>
          <w:bCs/>
        </w:rPr>
      </w:pPr>
    </w:p>
    <w:p w14:paraId="3E763827" w14:textId="77777777" w:rsidR="00980CA4" w:rsidRPr="00215A33" w:rsidRDefault="00980CA4" w:rsidP="00257FE6">
      <w:pPr>
        <w:rPr>
          <w:rFonts w:ascii="Arial" w:hAnsi="Arial" w:cs="Arial"/>
          <w:b/>
          <w:bCs/>
        </w:rPr>
      </w:pPr>
    </w:p>
    <w:p w14:paraId="52F1CEF0" w14:textId="77777777" w:rsidR="00980CA4" w:rsidRPr="00215A33" w:rsidRDefault="00980CA4" w:rsidP="00257FE6">
      <w:pPr>
        <w:rPr>
          <w:rFonts w:ascii="Arial" w:hAnsi="Arial" w:cs="Arial"/>
          <w:b/>
          <w:bCs/>
        </w:rPr>
      </w:pPr>
    </w:p>
    <w:p w14:paraId="148C4904" w14:textId="77777777" w:rsidR="00980CA4" w:rsidRPr="00215A33" w:rsidRDefault="00980CA4" w:rsidP="00257FE6">
      <w:pPr>
        <w:rPr>
          <w:rFonts w:ascii="Arial" w:hAnsi="Arial" w:cs="Arial"/>
          <w:b/>
          <w:bCs/>
        </w:rPr>
      </w:pPr>
    </w:p>
    <w:p w14:paraId="14B8F93B" w14:textId="77777777" w:rsidR="00980CA4" w:rsidRPr="00215A33" w:rsidRDefault="00980CA4" w:rsidP="00257FE6">
      <w:pPr>
        <w:rPr>
          <w:rFonts w:ascii="Arial" w:hAnsi="Arial" w:cs="Arial"/>
          <w:b/>
          <w:bCs/>
        </w:rPr>
      </w:pPr>
    </w:p>
    <w:p w14:paraId="3F44CE30" w14:textId="77777777" w:rsidR="00980CA4" w:rsidRPr="00215A33" w:rsidRDefault="00980CA4" w:rsidP="00257FE6">
      <w:pPr>
        <w:rPr>
          <w:rFonts w:ascii="Arial" w:hAnsi="Arial" w:cs="Arial"/>
          <w:b/>
          <w:bCs/>
        </w:rPr>
      </w:pPr>
    </w:p>
    <w:p w14:paraId="18143BD6" w14:textId="77777777" w:rsidR="00980CA4" w:rsidRPr="00215A33" w:rsidRDefault="00980CA4" w:rsidP="00257FE6">
      <w:pPr>
        <w:rPr>
          <w:rFonts w:ascii="Arial" w:hAnsi="Arial" w:cs="Arial"/>
          <w:b/>
          <w:bCs/>
        </w:rPr>
      </w:pPr>
    </w:p>
    <w:p w14:paraId="7D1EED78" w14:textId="77777777" w:rsidR="00980CA4" w:rsidRPr="00215A33" w:rsidRDefault="00980CA4" w:rsidP="00257FE6">
      <w:pPr>
        <w:rPr>
          <w:rFonts w:ascii="Arial" w:hAnsi="Arial" w:cs="Arial"/>
          <w:b/>
          <w:bCs/>
        </w:rPr>
      </w:pPr>
    </w:p>
    <w:p w14:paraId="71746482" w14:textId="77777777" w:rsidR="00980CA4" w:rsidRPr="00215A33" w:rsidRDefault="00980CA4" w:rsidP="00257FE6">
      <w:pPr>
        <w:rPr>
          <w:rFonts w:ascii="Arial" w:hAnsi="Arial" w:cs="Arial"/>
          <w:b/>
          <w:bCs/>
        </w:rPr>
      </w:pPr>
    </w:p>
    <w:p w14:paraId="66E99AB4" w14:textId="77777777" w:rsidR="00980CA4" w:rsidRPr="00215A33" w:rsidRDefault="00980CA4" w:rsidP="00257FE6">
      <w:pPr>
        <w:rPr>
          <w:rFonts w:ascii="Arial" w:hAnsi="Arial" w:cs="Arial"/>
          <w:b/>
          <w:bCs/>
        </w:rPr>
      </w:pPr>
    </w:p>
    <w:p w14:paraId="0DB8C610" w14:textId="77777777" w:rsidR="00980CA4" w:rsidRPr="00215A33" w:rsidRDefault="00980CA4" w:rsidP="00257FE6">
      <w:pPr>
        <w:rPr>
          <w:rFonts w:ascii="Arial" w:hAnsi="Arial" w:cs="Arial"/>
          <w:b/>
          <w:bCs/>
        </w:rPr>
      </w:pPr>
    </w:p>
    <w:p w14:paraId="197CBD2F" w14:textId="77777777" w:rsidR="00980CA4" w:rsidRPr="00215A33" w:rsidRDefault="00980CA4" w:rsidP="00257FE6">
      <w:pPr>
        <w:rPr>
          <w:rFonts w:ascii="Arial" w:hAnsi="Arial" w:cs="Arial"/>
          <w:b/>
          <w:bCs/>
        </w:rPr>
      </w:pPr>
    </w:p>
    <w:p w14:paraId="7F4E631F" w14:textId="77777777" w:rsidR="00980CA4" w:rsidRPr="00215A33" w:rsidRDefault="00980CA4" w:rsidP="00257FE6">
      <w:pPr>
        <w:rPr>
          <w:rFonts w:ascii="Arial" w:hAnsi="Arial" w:cs="Arial"/>
          <w:b/>
          <w:bCs/>
        </w:rPr>
      </w:pPr>
    </w:p>
    <w:p w14:paraId="3E3B4354" w14:textId="77777777" w:rsidR="00980CA4" w:rsidRPr="00215A33" w:rsidRDefault="00980CA4" w:rsidP="00257FE6">
      <w:pPr>
        <w:rPr>
          <w:rFonts w:ascii="Arial" w:hAnsi="Arial" w:cs="Arial"/>
          <w:b/>
          <w:bCs/>
        </w:rPr>
      </w:pPr>
    </w:p>
    <w:p w14:paraId="51DA580B" w14:textId="77777777" w:rsidR="00980CA4" w:rsidRPr="00215A33" w:rsidRDefault="00980CA4" w:rsidP="00257FE6">
      <w:pPr>
        <w:rPr>
          <w:rFonts w:ascii="Arial" w:hAnsi="Arial" w:cs="Arial"/>
          <w:b/>
          <w:bCs/>
        </w:rPr>
      </w:pPr>
    </w:p>
    <w:p w14:paraId="004E39DF" w14:textId="77777777" w:rsidR="00980CA4" w:rsidRPr="00215A33" w:rsidRDefault="00980CA4" w:rsidP="00257FE6">
      <w:pPr>
        <w:rPr>
          <w:rFonts w:ascii="Arial" w:hAnsi="Arial" w:cs="Arial"/>
          <w:b/>
          <w:bCs/>
        </w:rPr>
      </w:pPr>
    </w:p>
    <w:p w14:paraId="5797D6CC" w14:textId="77777777" w:rsidR="00980CA4" w:rsidRPr="00215A33" w:rsidRDefault="00980CA4" w:rsidP="00257FE6">
      <w:pPr>
        <w:rPr>
          <w:rFonts w:ascii="Arial" w:hAnsi="Arial" w:cs="Arial"/>
          <w:b/>
          <w:bCs/>
        </w:rPr>
      </w:pPr>
    </w:p>
    <w:p w14:paraId="3C3A1140" w14:textId="77777777" w:rsidR="00DE34ED" w:rsidRDefault="00DE34ED" w:rsidP="00257FE6">
      <w:pPr>
        <w:rPr>
          <w:rFonts w:ascii="Arial" w:hAnsi="Arial" w:cs="Arial"/>
          <w:b/>
          <w:bCs/>
        </w:rPr>
      </w:pPr>
    </w:p>
    <w:p w14:paraId="201013C9" w14:textId="77777777" w:rsidR="00DE34ED" w:rsidRDefault="00DE34ED" w:rsidP="00257FE6">
      <w:pPr>
        <w:rPr>
          <w:rFonts w:ascii="Arial" w:hAnsi="Arial" w:cs="Arial"/>
          <w:b/>
          <w:bCs/>
        </w:rPr>
      </w:pPr>
    </w:p>
    <w:p w14:paraId="0F712CEE" w14:textId="77777777" w:rsidR="00DE34ED" w:rsidRDefault="00DE34ED" w:rsidP="00257FE6">
      <w:pPr>
        <w:rPr>
          <w:rFonts w:ascii="Arial" w:hAnsi="Arial" w:cs="Arial"/>
          <w:b/>
          <w:bCs/>
        </w:rPr>
      </w:pPr>
    </w:p>
    <w:p w14:paraId="704947BE" w14:textId="77777777" w:rsidR="00B701BE" w:rsidRDefault="00B701BE" w:rsidP="00257FE6">
      <w:pPr>
        <w:rPr>
          <w:rFonts w:ascii="Arial" w:hAnsi="Arial" w:cs="Arial"/>
          <w:b/>
          <w:bCs/>
        </w:rPr>
      </w:pPr>
    </w:p>
    <w:p w14:paraId="6BE37486" w14:textId="10D25666" w:rsidR="00257FE6" w:rsidRPr="00215A33" w:rsidRDefault="00257FE6" w:rsidP="00257FE6">
      <w:pPr>
        <w:rPr>
          <w:rFonts w:ascii="Arial" w:hAnsi="Arial" w:cs="Arial"/>
          <w:b/>
          <w:bCs/>
        </w:rPr>
      </w:pPr>
      <w:r w:rsidRPr="00215A33">
        <w:rPr>
          <w:rFonts w:ascii="Arial" w:hAnsi="Arial" w:cs="Arial"/>
          <w:b/>
          <w:bCs/>
        </w:rPr>
        <w:lastRenderedPageBreak/>
        <w:t>Essay 2: Response Policing</w:t>
      </w:r>
    </w:p>
    <w:p w14:paraId="0FFA30F1" w14:textId="77777777" w:rsidR="00257FE6" w:rsidRPr="00215A33" w:rsidRDefault="00257FE6" w:rsidP="00257FE6">
      <w:pPr>
        <w:rPr>
          <w:rFonts w:ascii="Arial" w:eastAsia="Calibri" w:hAnsi="Arial" w:cs="Arial"/>
          <w:i/>
          <w:iCs/>
        </w:rPr>
      </w:pPr>
      <w:r w:rsidRPr="00215A33">
        <w:rPr>
          <w:rFonts w:ascii="Arial" w:eastAsia="Calibri" w:hAnsi="Arial" w:cs="Arial"/>
          <w:i/>
          <w:iCs/>
        </w:rPr>
        <w:t>Why is it important to manage mental wellbeing in policing? What can be the consequences if mental wellbeing is not managed appropriately?</w:t>
      </w:r>
    </w:p>
    <w:p w14:paraId="727D036B" w14:textId="77777777" w:rsidR="00DB267C" w:rsidRPr="00215A33" w:rsidRDefault="00DB267C" w:rsidP="00257FE6">
      <w:pPr>
        <w:rPr>
          <w:rFonts w:ascii="Arial" w:eastAsia="Calibri" w:hAnsi="Arial" w:cs="Arial"/>
          <w:i/>
          <w:iCs/>
        </w:rPr>
      </w:pPr>
    </w:p>
    <w:p w14:paraId="4322CE06" w14:textId="6F3C4E24" w:rsidR="00DB267C" w:rsidRPr="00215A33" w:rsidRDefault="00DB267C" w:rsidP="00DB267C">
      <w:pPr>
        <w:rPr>
          <w:rFonts w:ascii="Arial" w:eastAsia="Calibri" w:hAnsi="Arial" w:cs="Arial"/>
        </w:rPr>
      </w:pPr>
      <w:r w:rsidRPr="00215A33">
        <w:rPr>
          <w:rFonts w:ascii="Arial" w:eastAsia="Calibri" w:hAnsi="Arial" w:cs="Arial"/>
        </w:rPr>
        <w:t>Policing is a high-pressure profession characterised by regular exposure to traumatic incidents, organisational stressors, and public scrutiny. As such, the mental wellbeing of police officers has become a critical concern for police forces across the U</w:t>
      </w:r>
      <w:r w:rsidR="005A65C4">
        <w:rPr>
          <w:rFonts w:ascii="Arial" w:eastAsia="Calibri" w:hAnsi="Arial" w:cs="Arial"/>
        </w:rPr>
        <w:t xml:space="preserve">nited </w:t>
      </w:r>
      <w:r w:rsidRPr="00215A33">
        <w:rPr>
          <w:rFonts w:ascii="Arial" w:eastAsia="Calibri" w:hAnsi="Arial" w:cs="Arial"/>
        </w:rPr>
        <w:t>K</w:t>
      </w:r>
      <w:r w:rsidR="005A65C4">
        <w:rPr>
          <w:rFonts w:ascii="Arial" w:eastAsia="Calibri" w:hAnsi="Arial" w:cs="Arial"/>
        </w:rPr>
        <w:t>ingdom</w:t>
      </w:r>
      <w:r w:rsidRPr="00215A33">
        <w:rPr>
          <w:rFonts w:ascii="Arial" w:eastAsia="Calibri" w:hAnsi="Arial" w:cs="Arial"/>
        </w:rPr>
        <w:t xml:space="preserve"> and globally. Effective management of wellbeing in policing not only benefits individual officers but also enhances operational effectiveness and public trust. Conversely, poor management of mental health can lead to serious consequences including psychological disorders, absenteeism, misconduct, and reduced quality of service. This essay explores the importance of managing wellbeing in policing, the potential consequences of neglect, and the role of leadership and organisational culture in supporting officers’ mental health.</w:t>
      </w:r>
    </w:p>
    <w:p w14:paraId="118FF47A" w14:textId="52D19402" w:rsidR="008741F0" w:rsidRPr="00215A33" w:rsidRDefault="00161748" w:rsidP="00DB267C">
      <w:pPr>
        <w:rPr>
          <w:rFonts w:ascii="Arial" w:eastAsia="Calibri" w:hAnsi="Arial" w:cs="Arial"/>
        </w:rPr>
      </w:pPr>
      <w:r w:rsidRPr="00215A33">
        <w:rPr>
          <w:rFonts w:ascii="Arial" w:eastAsia="Calibri" w:hAnsi="Arial" w:cs="Arial"/>
        </w:rPr>
        <w:t>Firstly,</w:t>
      </w:r>
      <w:r w:rsidR="008741F0" w:rsidRPr="00215A33">
        <w:rPr>
          <w:rFonts w:ascii="Arial" w:eastAsia="Calibri" w:hAnsi="Arial" w:cs="Arial"/>
        </w:rPr>
        <w:t xml:space="preserve"> there are three main stressors in policing. Operational stressors, caused by officers attending traumatic incidents i</w:t>
      </w:r>
      <w:r w:rsidRPr="00215A33">
        <w:rPr>
          <w:rFonts w:ascii="Arial" w:eastAsia="Calibri" w:hAnsi="Arial" w:cs="Arial"/>
        </w:rPr>
        <w:t>n</w:t>
      </w:r>
      <w:r w:rsidR="008741F0" w:rsidRPr="00215A33">
        <w:rPr>
          <w:rFonts w:ascii="Arial" w:eastAsia="Calibri" w:hAnsi="Arial" w:cs="Arial"/>
        </w:rPr>
        <w:t>volving violence, sudden deaths</w:t>
      </w:r>
      <w:r w:rsidR="009F1F22" w:rsidRPr="00215A33">
        <w:rPr>
          <w:rFonts w:ascii="Arial" w:eastAsia="Calibri" w:hAnsi="Arial" w:cs="Arial"/>
        </w:rPr>
        <w:t>,</w:t>
      </w:r>
      <w:r w:rsidR="008741F0" w:rsidRPr="00215A33">
        <w:rPr>
          <w:rFonts w:ascii="Arial" w:eastAsia="Calibri" w:hAnsi="Arial" w:cs="Arial"/>
        </w:rPr>
        <w:t xml:space="preserve"> road traffic collisions etc. </w:t>
      </w:r>
      <w:r w:rsidR="009F1F22" w:rsidRPr="00215A33">
        <w:rPr>
          <w:rFonts w:ascii="Arial" w:eastAsia="Calibri" w:hAnsi="Arial" w:cs="Arial"/>
        </w:rPr>
        <w:t>Secondly there are e</w:t>
      </w:r>
      <w:r w:rsidR="008741F0" w:rsidRPr="00215A33">
        <w:rPr>
          <w:rFonts w:ascii="Arial" w:eastAsia="Calibri" w:hAnsi="Arial" w:cs="Arial"/>
        </w:rPr>
        <w:t>xternal stressors</w:t>
      </w:r>
      <w:r w:rsidRPr="00215A33">
        <w:rPr>
          <w:rFonts w:ascii="Arial" w:eastAsia="Calibri" w:hAnsi="Arial" w:cs="Arial"/>
        </w:rPr>
        <w:t xml:space="preserve">, which come from negative perceptions of police from the communities they serve. Finally, organisational stressors, this comes from stimuli such as </w:t>
      </w:r>
      <w:r w:rsidR="009F1F22" w:rsidRPr="00215A33">
        <w:rPr>
          <w:rFonts w:ascii="Arial" w:eastAsia="Calibri" w:hAnsi="Arial" w:cs="Arial"/>
        </w:rPr>
        <w:t xml:space="preserve">high </w:t>
      </w:r>
      <w:r w:rsidRPr="00215A33">
        <w:rPr>
          <w:rFonts w:ascii="Arial" w:eastAsia="Calibri" w:hAnsi="Arial" w:cs="Arial"/>
        </w:rPr>
        <w:t>workloads, shift patterns and pressure from officers of superior rank (</w:t>
      </w:r>
      <w:proofErr w:type="spellStart"/>
      <w:r w:rsidRPr="00215A33">
        <w:rPr>
          <w:rFonts w:ascii="Arial" w:eastAsia="Calibri" w:hAnsi="Arial" w:cs="Arial"/>
        </w:rPr>
        <w:t>Purba</w:t>
      </w:r>
      <w:proofErr w:type="spellEnd"/>
      <w:r w:rsidRPr="00215A33">
        <w:rPr>
          <w:rFonts w:ascii="Arial" w:eastAsia="Calibri" w:hAnsi="Arial" w:cs="Arial"/>
        </w:rPr>
        <w:t xml:space="preserve"> &amp; </w:t>
      </w:r>
      <w:proofErr w:type="spellStart"/>
      <w:r w:rsidRPr="00215A33">
        <w:rPr>
          <w:rFonts w:ascii="Arial" w:eastAsia="Calibri" w:hAnsi="Arial" w:cs="Arial"/>
        </w:rPr>
        <w:t>Demou</w:t>
      </w:r>
      <w:proofErr w:type="spellEnd"/>
      <w:r w:rsidRPr="00215A33">
        <w:rPr>
          <w:rFonts w:ascii="Arial" w:eastAsia="Calibri" w:hAnsi="Arial" w:cs="Arial"/>
        </w:rPr>
        <w:t>, 2019).</w:t>
      </w:r>
    </w:p>
    <w:p w14:paraId="7B48E628" w14:textId="0B5A9944" w:rsidR="00676232" w:rsidRPr="00215A33" w:rsidRDefault="00DB267C" w:rsidP="00DB267C">
      <w:pPr>
        <w:rPr>
          <w:rFonts w:ascii="Arial" w:eastAsia="Calibri" w:hAnsi="Arial" w:cs="Arial"/>
        </w:rPr>
      </w:pPr>
      <w:r w:rsidRPr="00215A33">
        <w:rPr>
          <w:rFonts w:ascii="Arial" w:eastAsia="Calibri" w:hAnsi="Arial" w:cs="Arial"/>
        </w:rPr>
        <w:t>Policing is widely recognised as one of the most psychologically demanding professions. Officers are frequently exposed to violence, death,</w:t>
      </w:r>
      <w:r w:rsidR="009F1F22" w:rsidRPr="00215A33">
        <w:rPr>
          <w:rFonts w:ascii="Arial" w:eastAsia="Calibri" w:hAnsi="Arial" w:cs="Arial"/>
        </w:rPr>
        <w:t xml:space="preserve"> abuse</w:t>
      </w:r>
      <w:r w:rsidRPr="00215A33">
        <w:rPr>
          <w:rFonts w:ascii="Arial" w:eastAsia="Calibri" w:hAnsi="Arial" w:cs="Arial"/>
        </w:rPr>
        <w:t xml:space="preserve"> and other distressing or traumatic incidents. This can result in cumulative trauma and psychological strain on officers (Karaffa &amp; </w:t>
      </w:r>
      <w:proofErr w:type="spellStart"/>
      <w:r w:rsidRPr="00215A33">
        <w:rPr>
          <w:rFonts w:ascii="Arial" w:eastAsia="Calibri" w:hAnsi="Arial" w:cs="Arial"/>
        </w:rPr>
        <w:t>Tochkov</w:t>
      </w:r>
      <w:proofErr w:type="spellEnd"/>
      <w:r w:rsidRPr="00215A33">
        <w:rPr>
          <w:rFonts w:ascii="Arial" w:eastAsia="Calibri" w:hAnsi="Arial" w:cs="Arial"/>
        </w:rPr>
        <w:t>, 2013).</w:t>
      </w:r>
      <w:r w:rsidR="00676232" w:rsidRPr="00215A33">
        <w:rPr>
          <w:rFonts w:ascii="Arial" w:eastAsia="Calibri" w:hAnsi="Arial" w:cs="Arial"/>
        </w:rPr>
        <w:t xml:space="preserve"> </w:t>
      </w:r>
      <w:r w:rsidRPr="00215A33">
        <w:rPr>
          <w:rFonts w:ascii="Arial" w:eastAsia="Calibri" w:hAnsi="Arial" w:cs="Arial"/>
        </w:rPr>
        <w:t>The College of Policing (2019) highlights that operational stress is compounded by organisational stressors such as excessive workload, lack of support, and administrative pressures. Without appropriate intervention, such stress can lead to mental health conditions including depression, anxiety, post-traumatic stress disorder (PTSD), and burnout (</w:t>
      </w:r>
      <w:proofErr w:type="spellStart"/>
      <w:r w:rsidRPr="00215A33">
        <w:rPr>
          <w:rFonts w:ascii="Arial" w:eastAsia="Calibri" w:hAnsi="Arial" w:cs="Arial"/>
        </w:rPr>
        <w:t>Purba</w:t>
      </w:r>
      <w:proofErr w:type="spellEnd"/>
      <w:r w:rsidRPr="00215A33">
        <w:rPr>
          <w:rFonts w:ascii="Arial" w:eastAsia="Calibri" w:hAnsi="Arial" w:cs="Arial"/>
        </w:rPr>
        <w:t xml:space="preserve"> &amp; </w:t>
      </w:r>
      <w:proofErr w:type="spellStart"/>
      <w:r w:rsidRPr="00215A33">
        <w:rPr>
          <w:rFonts w:ascii="Arial" w:eastAsia="Calibri" w:hAnsi="Arial" w:cs="Arial"/>
        </w:rPr>
        <w:t>Demou</w:t>
      </w:r>
      <w:proofErr w:type="spellEnd"/>
      <w:r w:rsidRPr="00215A33">
        <w:rPr>
          <w:rFonts w:ascii="Arial" w:eastAsia="Calibri" w:hAnsi="Arial" w:cs="Arial"/>
        </w:rPr>
        <w:t>, 2019).</w:t>
      </w:r>
    </w:p>
    <w:p w14:paraId="26FAB664" w14:textId="51BB3905" w:rsidR="00DB267C" w:rsidRPr="00215A33" w:rsidRDefault="00676232" w:rsidP="00DB267C">
      <w:pPr>
        <w:rPr>
          <w:rFonts w:ascii="Arial" w:eastAsia="Calibri" w:hAnsi="Arial" w:cs="Arial"/>
        </w:rPr>
      </w:pPr>
      <w:r w:rsidRPr="00215A33">
        <w:rPr>
          <w:rFonts w:ascii="Arial" w:eastAsia="Calibri" w:hAnsi="Arial" w:cs="Arial"/>
        </w:rPr>
        <w:t>The wellbeing of officers has a direct corelation to their performance, studies have shown that poor mental health amongst officers can impair decision-</w:t>
      </w:r>
      <w:r w:rsidR="00305EF6" w:rsidRPr="00215A33">
        <w:rPr>
          <w:rFonts w:ascii="Arial" w:eastAsia="Calibri" w:hAnsi="Arial" w:cs="Arial"/>
        </w:rPr>
        <w:t>making, reduce</w:t>
      </w:r>
      <w:r w:rsidRPr="00215A33">
        <w:rPr>
          <w:rFonts w:ascii="Arial" w:eastAsia="Calibri" w:hAnsi="Arial" w:cs="Arial"/>
        </w:rPr>
        <w:t xml:space="preserve"> situational awareness and in</w:t>
      </w:r>
      <w:r w:rsidR="00305EF6" w:rsidRPr="00215A33">
        <w:rPr>
          <w:rFonts w:ascii="Arial" w:eastAsia="Calibri" w:hAnsi="Arial" w:cs="Arial"/>
        </w:rPr>
        <w:t>crease the risk of excessive force being used (</w:t>
      </w:r>
      <w:proofErr w:type="spellStart"/>
      <w:r w:rsidR="00305EF6" w:rsidRPr="00215A33">
        <w:rPr>
          <w:rFonts w:ascii="Arial" w:eastAsia="Calibri" w:hAnsi="Arial" w:cs="Arial"/>
        </w:rPr>
        <w:t>Jetelina</w:t>
      </w:r>
      <w:proofErr w:type="spellEnd"/>
      <w:r w:rsidR="00305EF6" w:rsidRPr="00215A33">
        <w:rPr>
          <w:rFonts w:ascii="Arial" w:eastAsia="Calibri" w:hAnsi="Arial" w:cs="Arial"/>
        </w:rPr>
        <w:t xml:space="preserve"> et al, 2020). Furthermore, the presence of poor mental health has been strongly associated with absenteeism which strongly affects service delivery (</w:t>
      </w:r>
      <w:proofErr w:type="spellStart"/>
      <w:r w:rsidR="00305EF6" w:rsidRPr="00215A33">
        <w:rPr>
          <w:rFonts w:ascii="Arial" w:eastAsia="Calibri" w:hAnsi="Arial" w:cs="Arial"/>
        </w:rPr>
        <w:t>Houdmont</w:t>
      </w:r>
      <w:proofErr w:type="spellEnd"/>
      <w:r w:rsidR="00305EF6" w:rsidRPr="00215A33">
        <w:rPr>
          <w:rFonts w:ascii="Arial" w:eastAsia="Calibri" w:hAnsi="Arial" w:cs="Arial"/>
        </w:rPr>
        <w:t xml:space="preserve"> &amp; Elliot-Davies, 2016). This can have a </w:t>
      </w:r>
      <w:r w:rsidR="00080300" w:rsidRPr="00215A33">
        <w:rPr>
          <w:rFonts w:ascii="Arial" w:eastAsia="Calibri" w:hAnsi="Arial" w:cs="Arial"/>
        </w:rPr>
        <w:t>knock-on</w:t>
      </w:r>
      <w:r w:rsidR="00305EF6" w:rsidRPr="00215A33">
        <w:rPr>
          <w:rFonts w:ascii="Arial" w:eastAsia="Calibri" w:hAnsi="Arial" w:cs="Arial"/>
        </w:rPr>
        <w:t xml:space="preserve"> effect within teams, absent officers leave the remaining staff with additional duties</w:t>
      </w:r>
      <w:r w:rsidR="00080300" w:rsidRPr="00215A33">
        <w:rPr>
          <w:rFonts w:ascii="Arial" w:eastAsia="Calibri" w:hAnsi="Arial" w:cs="Arial"/>
        </w:rPr>
        <w:t xml:space="preserve"> and may even cause them to work more hours, this has the potential to cause further stress, fatigue and can even reduce morale (Hesketh et al, 2015). </w:t>
      </w:r>
      <w:r w:rsidR="00DB267C" w:rsidRPr="00215A33">
        <w:rPr>
          <w:rFonts w:ascii="Arial" w:eastAsia="Calibri" w:hAnsi="Arial" w:cs="Arial"/>
        </w:rPr>
        <w:t>Officers experiencing mental strain are also more likely to disengage from proactive policing, impacting community relationships and crime prevention efforts</w:t>
      </w:r>
      <w:r w:rsidR="00080300" w:rsidRPr="00215A33">
        <w:rPr>
          <w:rFonts w:ascii="Arial" w:eastAsia="Calibri" w:hAnsi="Arial" w:cs="Arial"/>
        </w:rPr>
        <w:t>, this can in turn have a negative effect in addressing the root causes of crime (Kiely and Butterworth, 2019)</w:t>
      </w:r>
      <w:r w:rsidR="00DB267C" w:rsidRPr="00215A33">
        <w:rPr>
          <w:rFonts w:ascii="Arial" w:eastAsia="Calibri" w:hAnsi="Arial" w:cs="Arial"/>
        </w:rPr>
        <w:t>.</w:t>
      </w:r>
    </w:p>
    <w:p w14:paraId="7B33CF39" w14:textId="102AC62E" w:rsidR="00DB267C" w:rsidRPr="00215A33" w:rsidRDefault="009C0DF1" w:rsidP="00DB267C">
      <w:pPr>
        <w:rPr>
          <w:rFonts w:ascii="Arial" w:eastAsia="Calibri" w:hAnsi="Arial" w:cs="Arial"/>
        </w:rPr>
      </w:pPr>
      <w:r w:rsidRPr="00215A33">
        <w:rPr>
          <w:rFonts w:ascii="Arial" w:eastAsia="Calibri" w:hAnsi="Arial" w:cs="Arial"/>
        </w:rPr>
        <w:t xml:space="preserve">Furthermore, mental fatigue and strain can diminish an officer’s interpersonal skills, making community encounters feel transactional or even adversarial. This can undermine collaborative efforts that are often essential for intelligence, weaken the legitimacy of the police in the </w:t>
      </w:r>
      <w:r w:rsidR="00BA5B59" w:rsidRPr="00215A33">
        <w:rPr>
          <w:rFonts w:ascii="Arial" w:eastAsia="Calibri" w:hAnsi="Arial" w:cs="Arial"/>
        </w:rPr>
        <w:t>eyes</w:t>
      </w:r>
      <w:r w:rsidRPr="00215A33">
        <w:rPr>
          <w:rFonts w:ascii="Arial" w:eastAsia="Calibri" w:hAnsi="Arial" w:cs="Arial"/>
        </w:rPr>
        <w:t xml:space="preserve"> of the public hinder long-term safety strategies (Tyler &amp; Huo, 2002). In all poor officer wellbeing not only affects the officers themselves but the </w:t>
      </w:r>
      <w:r w:rsidR="00BA5B59">
        <w:rPr>
          <w:rFonts w:ascii="Arial" w:eastAsia="Calibri" w:hAnsi="Arial" w:cs="Arial"/>
        </w:rPr>
        <w:t>force and the communities they serve.</w:t>
      </w:r>
      <w:r w:rsidRPr="00215A33">
        <w:rPr>
          <w:rFonts w:ascii="Arial" w:eastAsia="Calibri" w:hAnsi="Arial" w:cs="Arial"/>
        </w:rPr>
        <w:t xml:space="preserve"> </w:t>
      </w:r>
      <w:r w:rsidR="00CB3994" w:rsidRPr="00215A33">
        <w:rPr>
          <w:rFonts w:ascii="Arial" w:eastAsia="Calibri" w:hAnsi="Arial" w:cs="Arial"/>
        </w:rPr>
        <w:t xml:space="preserve"> </w:t>
      </w:r>
    </w:p>
    <w:p w14:paraId="2FAC5F2A" w14:textId="54019612" w:rsidR="008741F0" w:rsidRPr="00215A33" w:rsidRDefault="00CB3994" w:rsidP="00DB267C">
      <w:pPr>
        <w:rPr>
          <w:rFonts w:ascii="Arial" w:eastAsia="Calibri" w:hAnsi="Arial" w:cs="Arial"/>
        </w:rPr>
      </w:pPr>
      <w:r w:rsidRPr="00215A33">
        <w:rPr>
          <w:rFonts w:ascii="Arial" w:eastAsia="Calibri" w:hAnsi="Arial" w:cs="Arial"/>
        </w:rPr>
        <w:t>Possibly o</w:t>
      </w:r>
      <w:r w:rsidR="00DB267C" w:rsidRPr="00215A33">
        <w:rPr>
          <w:rFonts w:ascii="Arial" w:eastAsia="Calibri" w:hAnsi="Arial" w:cs="Arial"/>
        </w:rPr>
        <w:t xml:space="preserve">ne of the </w:t>
      </w:r>
      <w:r w:rsidRPr="00215A33">
        <w:rPr>
          <w:rFonts w:ascii="Arial" w:eastAsia="Calibri" w:hAnsi="Arial" w:cs="Arial"/>
        </w:rPr>
        <w:t xml:space="preserve">most </w:t>
      </w:r>
      <w:r w:rsidR="00DB267C" w:rsidRPr="00215A33">
        <w:rPr>
          <w:rFonts w:ascii="Arial" w:eastAsia="Calibri" w:hAnsi="Arial" w:cs="Arial"/>
        </w:rPr>
        <w:t xml:space="preserve">significant consequences of poorly managed wellbeing is suicide. Research </w:t>
      </w:r>
      <w:r w:rsidRPr="00215A33">
        <w:rPr>
          <w:rFonts w:ascii="Arial" w:eastAsia="Calibri" w:hAnsi="Arial" w:cs="Arial"/>
        </w:rPr>
        <w:t xml:space="preserve">has </w:t>
      </w:r>
      <w:r w:rsidR="00DB267C" w:rsidRPr="00215A33">
        <w:rPr>
          <w:rFonts w:ascii="Arial" w:eastAsia="Calibri" w:hAnsi="Arial" w:cs="Arial"/>
        </w:rPr>
        <w:t>indicate</w:t>
      </w:r>
      <w:r w:rsidRPr="00215A33">
        <w:rPr>
          <w:rFonts w:ascii="Arial" w:eastAsia="Calibri" w:hAnsi="Arial" w:cs="Arial"/>
        </w:rPr>
        <w:t>d</w:t>
      </w:r>
      <w:r w:rsidR="00DB267C" w:rsidRPr="00215A33">
        <w:rPr>
          <w:rFonts w:ascii="Arial" w:eastAsia="Calibri" w:hAnsi="Arial" w:cs="Arial"/>
        </w:rPr>
        <w:t xml:space="preserve"> that police officers are at higher risk of suicide compared to the </w:t>
      </w:r>
      <w:r w:rsidR="00DB267C" w:rsidRPr="00215A33">
        <w:rPr>
          <w:rFonts w:ascii="Arial" w:eastAsia="Calibri" w:hAnsi="Arial" w:cs="Arial"/>
        </w:rPr>
        <w:lastRenderedPageBreak/>
        <w:t>general population</w:t>
      </w:r>
      <w:r w:rsidRPr="00215A33">
        <w:rPr>
          <w:rFonts w:ascii="Arial" w:eastAsia="Calibri" w:hAnsi="Arial" w:cs="Arial"/>
        </w:rPr>
        <w:t xml:space="preserve">. This can be due to </w:t>
      </w:r>
      <w:proofErr w:type="gramStart"/>
      <w:r w:rsidRPr="00215A33">
        <w:rPr>
          <w:rFonts w:ascii="Arial" w:eastAsia="Calibri" w:hAnsi="Arial" w:cs="Arial"/>
        </w:rPr>
        <w:t>a number of</w:t>
      </w:r>
      <w:proofErr w:type="gramEnd"/>
      <w:r w:rsidRPr="00215A33">
        <w:rPr>
          <w:rFonts w:ascii="Arial" w:eastAsia="Calibri" w:hAnsi="Arial" w:cs="Arial"/>
        </w:rPr>
        <w:t xml:space="preserve"> factors,</w:t>
      </w:r>
      <w:r w:rsidR="00DB267C" w:rsidRPr="00215A33">
        <w:rPr>
          <w:rFonts w:ascii="Arial" w:eastAsia="Calibri" w:hAnsi="Arial" w:cs="Arial"/>
        </w:rPr>
        <w:t xml:space="preserve"> sustained exposure to trauma</w:t>
      </w:r>
      <w:r w:rsidRPr="00215A33">
        <w:rPr>
          <w:rFonts w:ascii="Arial" w:eastAsia="Calibri" w:hAnsi="Arial" w:cs="Arial"/>
        </w:rPr>
        <w:t>tic incidents via their daily duties, attending incidents involving violence, sudden deaths and child abuse along with</w:t>
      </w:r>
      <w:r w:rsidR="00DB267C" w:rsidRPr="00215A33">
        <w:rPr>
          <w:rFonts w:ascii="Arial" w:eastAsia="Calibri" w:hAnsi="Arial" w:cs="Arial"/>
        </w:rPr>
        <w:t xml:space="preserve"> </w:t>
      </w:r>
      <w:r w:rsidRPr="00215A33">
        <w:rPr>
          <w:rFonts w:ascii="Arial" w:eastAsia="Calibri" w:hAnsi="Arial" w:cs="Arial"/>
        </w:rPr>
        <w:t xml:space="preserve">internal </w:t>
      </w:r>
      <w:r w:rsidR="00DB267C" w:rsidRPr="00215A33">
        <w:rPr>
          <w:rFonts w:ascii="Arial" w:eastAsia="Calibri" w:hAnsi="Arial" w:cs="Arial"/>
        </w:rPr>
        <w:t>cultural barriers</w:t>
      </w:r>
      <w:r w:rsidRPr="00215A33">
        <w:rPr>
          <w:rFonts w:ascii="Arial" w:eastAsia="Calibri" w:hAnsi="Arial" w:cs="Arial"/>
        </w:rPr>
        <w:t xml:space="preserve"> within the </w:t>
      </w:r>
      <w:r w:rsidR="00F916F2" w:rsidRPr="00215A33">
        <w:rPr>
          <w:rFonts w:ascii="Arial" w:eastAsia="Calibri" w:hAnsi="Arial" w:cs="Arial"/>
        </w:rPr>
        <w:t>profession</w:t>
      </w:r>
      <w:r w:rsidR="00DB267C" w:rsidRPr="00215A33">
        <w:rPr>
          <w:rFonts w:ascii="Arial" w:eastAsia="Calibri" w:hAnsi="Arial" w:cs="Arial"/>
        </w:rPr>
        <w:t xml:space="preserve"> to help-seeking (Violanti et al, 2012).</w:t>
      </w:r>
      <w:r w:rsidRPr="00215A33">
        <w:rPr>
          <w:rFonts w:ascii="Arial" w:eastAsia="Calibri" w:hAnsi="Arial" w:cs="Arial"/>
        </w:rPr>
        <w:t xml:space="preserve"> Reports have found that there is a stigma around mental health in the policing profession, with a hard man culture that perpetuates suffering in silence and discourages officers from accessing available support (</w:t>
      </w:r>
      <w:r w:rsidR="00DB267C" w:rsidRPr="00215A33">
        <w:rPr>
          <w:rFonts w:ascii="Arial" w:eastAsia="Calibri" w:hAnsi="Arial" w:cs="Arial"/>
        </w:rPr>
        <w:t>Mind</w:t>
      </w:r>
      <w:r w:rsidRPr="00215A33">
        <w:rPr>
          <w:rFonts w:ascii="Arial" w:eastAsia="Calibri" w:hAnsi="Arial" w:cs="Arial"/>
        </w:rPr>
        <w:t xml:space="preserve">, </w:t>
      </w:r>
      <w:r w:rsidR="00DB267C" w:rsidRPr="00215A33">
        <w:rPr>
          <w:rFonts w:ascii="Arial" w:eastAsia="Calibri" w:hAnsi="Arial" w:cs="Arial"/>
        </w:rPr>
        <w:t>2016)</w:t>
      </w:r>
      <w:r w:rsidRPr="00215A33">
        <w:rPr>
          <w:rFonts w:ascii="Arial" w:eastAsia="Calibri" w:hAnsi="Arial" w:cs="Arial"/>
        </w:rPr>
        <w:t>.</w:t>
      </w:r>
      <w:r w:rsidR="00F916F2" w:rsidRPr="00215A33">
        <w:rPr>
          <w:rFonts w:ascii="Arial" w:eastAsia="Calibri" w:hAnsi="Arial" w:cs="Arial"/>
        </w:rPr>
        <w:t xml:space="preserve"> Th</w:t>
      </w:r>
      <w:r w:rsidR="008741F0" w:rsidRPr="00215A33">
        <w:rPr>
          <w:rFonts w:ascii="Arial" w:eastAsia="Calibri" w:hAnsi="Arial" w:cs="Arial"/>
        </w:rPr>
        <w:t>is indicates that suicide risk in policing is not solely the result of operational trauma but also a symptom of systemic issues withing police culture and management.</w:t>
      </w:r>
    </w:p>
    <w:p w14:paraId="7BB4296A" w14:textId="02609411" w:rsidR="00161748" w:rsidRPr="00215A33" w:rsidRDefault="00161748" w:rsidP="00DB267C">
      <w:pPr>
        <w:rPr>
          <w:rFonts w:ascii="Arial" w:eastAsia="Calibri" w:hAnsi="Arial" w:cs="Arial"/>
        </w:rPr>
      </w:pPr>
      <w:r w:rsidRPr="00215A33">
        <w:rPr>
          <w:rFonts w:ascii="Arial" w:eastAsia="Calibri" w:hAnsi="Arial" w:cs="Arial"/>
        </w:rPr>
        <w:t xml:space="preserve">Another severe impact of failing to manage an </w:t>
      </w:r>
      <w:r w:rsidR="00FF1B4B" w:rsidRPr="00215A33">
        <w:rPr>
          <w:rFonts w:ascii="Arial" w:eastAsia="Calibri" w:hAnsi="Arial" w:cs="Arial"/>
        </w:rPr>
        <w:t>officer’s</w:t>
      </w:r>
      <w:r w:rsidRPr="00215A33">
        <w:rPr>
          <w:rFonts w:ascii="Arial" w:eastAsia="Calibri" w:hAnsi="Arial" w:cs="Arial"/>
        </w:rPr>
        <w:t xml:space="preserve"> mental wellbeing is that of </w:t>
      </w:r>
      <w:r w:rsidR="00FF1B4B" w:rsidRPr="00215A33">
        <w:rPr>
          <w:rFonts w:ascii="Arial" w:eastAsia="Calibri" w:hAnsi="Arial" w:cs="Arial"/>
        </w:rPr>
        <w:t>post-traumatic</w:t>
      </w:r>
      <w:r w:rsidRPr="00215A33">
        <w:rPr>
          <w:rFonts w:ascii="Arial" w:eastAsia="Calibri" w:hAnsi="Arial" w:cs="Arial"/>
        </w:rPr>
        <w:t xml:space="preserve"> stress disorder (PTSD).</w:t>
      </w:r>
      <w:r w:rsidR="00FF1B4B" w:rsidRPr="00215A33">
        <w:rPr>
          <w:rFonts w:ascii="Arial" w:eastAsia="Calibri" w:hAnsi="Arial" w:cs="Arial"/>
        </w:rPr>
        <w:t xml:space="preserve"> This is a psychiatric condition that can develop following exposure to a traumatic event. There are four key symptoms being flash backs or nightmares, persistent avoidance of trauma related stimuli, negative alterations in cognition and elevated levels in arousal and reactivity (American Psychiatric Association, 2013). PTSD affects concentration, memory and decision making, functions critical for officers attending emergency situations and engaging with the public </w:t>
      </w:r>
      <w:r w:rsidR="009F1F22" w:rsidRPr="00215A33">
        <w:rPr>
          <w:rFonts w:ascii="Arial" w:eastAsia="Calibri" w:hAnsi="Arial" w:cs="Arial"/>
        </w:rPr>
        <w:t>(</w:t>
      </w:r>
      <w:r w:rsidR="00FF1B4B" w:rsidRPr="00215A33">
        <w:rPr>
          <w:rFonts w:ascii="Arial" w:eastAsia="Calibri" w:hAnsi="Arial" w:cs="Arial"/>
        </w:rPr>
        <w:t>Papazoglou &amp; Anderson, 2014).</w:t>
      </w:r>
      <w:r w:rsidR="004D75CA" w:rsidRPr="00215A33">
        <w:rPr>
          <w:rFonts w:ascii="Arial" w:eastAsia="Calibri" w:hAnsi="Arial" w:cs="Arial"/>
        </w:rPr>
        <w:t xml:space="preserve"> Therefore, interventions in managing PTSD must not only come from mental health professionals but systematic change in the leadership and structure of policing (Bell and Eski, 2016). Peer support, early intervention and access to </w:t>
      </w:r>
      <w:r w:rsidR="009F1F22" w:rsidRPr="00215A33">
        <w:rPr>
          <w:rFonts w:ascii="Arial" w:eastAsia="Calibri" w:hAnsi="Arial" w:cs="Arial"/>
        </w:rPr>
        <w:t>therapy are</w:t>
      </w:r>
      <w:r w:rsidR="004D75CA" w:rsidRPr="00215A33">
        <w:rPr>
          <w:rFonts w:ascii="Arial" w:eastAsia="Calibri" w:hAnsi="Arial" w:cs="Arial"/>
        </w:rPr>
        <w:t xml:space="preserve"> key components of policing environment that supports the resiliency of its officers.</w:t>
      </w:r>
    </w:p>
    <w:p w14:paraId="6A639BC7" w14:textId="2893E4E5" w:rsidR="00DB267C" w:rsidRPr="00215A33" w:rsidRDefault="008D02D7" w:rsidP="00DB267C">
      <w:pPr>
        <w:rPr>
          <w:rFonts w:ascii="Arial" w:eastAsia="Calibri" w:hAnsi="Arial" w:cs="Arial"/>
        </w:rPr>
      </w:pPr>
      <w:r w:rsidRPr="00215A33">
        <w:rPr>
          <w:rFonts w:ascii="Arial" w:eastAsia="Calibri" w:hAnsi="Arial" w:cs="Arial"/>
        </w:rPr>
        <w:t>Wellbeing not only relates to mental wellbeing but that of physical too.</w:t>
      </w:r>
      <w:r w:rsidR="0087170C" w:rsidRPr="00215A33">
        <w:rPr>
          <w:rFonts w:ascii="Arial" w:eastAsia="Calibri" w:hAnsi="Arial" w:cs="Arial"/>
        </w:rPr>
        <w:t xml:space="preserve"> Studies have found that poor wellbeing can contribute to metabolic syndrome and cardiovascular disease. As well, this study discovered that the mortality rate of police officers was almost double of the </w:t>
      </w:r>
      <w:proofErr w:type="gramStart"/>
      <w:r w:rsidR="0087170C" w:rsidRPr="00215A33">
        <w:rPr>
          <w:rFonts w:ascii="Arial" w:eastAsia="Calibri" w:hAnsi="Arial" w:cs="Arial"/>
        </w:rPr>
        <w:t>general public</w:t>
      </w:r>
      <w:proofErr w:type="gramEnd"/>
      <w:r w:rsidR="0087170C" w:rsidRPr="00215A33">
        <w:rPr>
          <w:rFonts w:ascii="Arial" w:eastAsia="Calibri" w:hAnsi="Arial" w:cs="Arial"/>
        </w:rPr>
        <w:t xml:space="preserve"> (Violanti et al, 2019).</w:t>
      </w:r>
    </w:p>
    <w:p w14:paraId="084A9BAC" w14:textId="4CC0E661" w:rsidR="00DB267C" w:rsidRPr="00215A33" w:rsidRDefault="00DB267C" w:rsidP="00DB267C">
      <w:pPr>
        <w:rPr>
          <w:rFonts w:ascii="Arial" w:eastAsia="Calibri" w:hAnsi="Arial" w:cs="Arial"/>
        </w:rPr>
      </w:pPr>
      <w:r w:rsidRPr="00215A33">
        <w:rPr>
          <w:rFonts w:ascii="Arial" w:eastAsia="Calibri" w:hAnsi="Arial" w:cs="Arial"/>
        </w:rPr>
        <w:t>The National Police Wellbeing Service (NPWS), established by the College of Policing, has made strides in promoting officer wellbeing through access to psychological support, wellbeing toolkits, and leadership training. Evaluation of such programmes has shown promising results in increasing awareness and uptake of mental health resources (College of Policing, 2021). However, the effectiveness of these initiatives hinges on consistent implementation across forces and sustained leadership commitment.</w:t>
      </w:r>
    </w:p>
    <w:p w14:paraId="06B9BF3F" w14:textId="3E20FC08" w:rsidR="00DB267C" w:rsidRPr="00215A33" w:rsidRDefault="00DB267C" w:rsidP="00DB267C">
      <w:pPr>
        <w:rPr>
          <w:rFonts w:ascii="Arial" w:eastAsia="Calibri" w:hAnsi="Arial" w:cs="Arial"/>
        </w:rPr>
      </w:pPr>
      <w:r w:rsidRPr="00215A33">
        <w:rPr>
          <w:rFonts w:ascii="Arial" w:eastAsia="Calibri" w:hAnsi="Arial" w:cs="Arial"/>
        </w:rPr>
        <w:t>Early intervention and preventative strategies are essential in managing police wellbeing. Regular psychological screening, stress management training, and critical incident debriefing have been identified as effective approaches to reducing the impact of trauma (Patterson et al., 2014). Additionally, employee assistance programmes and occupational health services must be adequately funded and accessible to all officers, including those in remote or specialist units.</w:t>
      </w:r>
    </w:p>
    <w:p w14:paraId="5C007432" w14:textId="2854EB96" w:rsidR="00DB267C" w:rsidRPr="00215A33" w:rsidRDefault="00DB267C" w:rsidP="00DB267C">
      <w:pPr>
        <w:rPr>
          <w:rFonts w:ascii="Arial" w:eastAsia="Calibri" w:hAnsi="Arial" w:cs="Arial"/>
        </w:rPr>
      </w:pPr>
      <w:r w:rsidRPr="00215A33">
        <w:rPr>
          <w:rFonts w:ascii="Arial" w:eastAsia="Calibri" w:hAnsi="Arial" w:cs="Arial"/>
        </w:rPr>
        <w:t>Ultimately, managing mental wellbeing in policing is not only an ethical imperative but also a practical necessity. Police forces that prioritise officer wellbeing are more likely to retain skilled personnel, foster positive workplace cultures, and deliver effective and compassionate public service. In contrast, failure to address mental health risks long-term harm to individuals, organisations, and the communities they serve.</w:t>
      </w:r>
    </w:p>
    <w:p w14:paraId="30812860" w14:textId="5C79E6A5" w:rsidR="00DB267C" w:rsidRPr="00215A33" w:rsidRDefault="004D75CA" w:rsidP="00DB267C">
      <w:pPr>
        <w:rPr>
          <w:rFonts w:ascii="Arial" w:eastAsia="Calibri" w:hAnsi="Arial" w:cs="Arial"/>
        </w:rPr>
      </w:pPr>
      <w:r w:rsidRPr="00215A33">
        <w:rPr>
          <w:rFonts w:ascii="Arial" w:eastAsia="Calibri" w:hAnsi="Arial" w:cs="Arial"/>
        </w:rPr>
        <w:t>To conclude</w:t>
      </w:r>
      <w:r w:rsidR="009F1F22" w:rsidRPr="00215A33">
        <w:rPr>
          <w:rFonts w:ascii="Arial" w:eastAsia="Calibri" w:hAnsi="Arial" w:cs="Arial"/>
        </w:rPr>
        <w:t xml:space="preserve"> for policing to be effective the wellbeing of officers must be managed accordingly. T</w:t>
      </w:r>
      <w:r w:rsidR="00DB267C" w:rsidRPr="00215A33">
        <w:rPr>
          <w:rFonts w:ascii="Arial" w:eastAsia="Calibri" w:hAnsi="Arial" w:cs="Arial"/>
        </w:rPr>
        <w:t>he psychological demands of policing make mental wellbeing a critical issue that must be proactively addressed through comprehensive, evidence-based strategies.</w:t>
      </w:r>
      <w:r w:rsidR="009F1F22" w:rsidRPr="00215A33">
        <w:rPr>
          <w:rFonts w:ascii="Arial" w:eastAsia="Calibri" w:hAnsi="Arial" w:cs="Arial"/>
        </w:rPr>
        <w:t xml:space="preserve"> </w:t>
      </w:r>
      <w:r w:rsidR="00DB267C" w:rsidRPr="00215A33">
        <w:rPr>
          <w:rFonts w:ascii="Arial" w:eastAsia="Calibri" w:hAnsi="Arial" w:cs="Arial"/>
        </w:rPr>
        <w:t>The consequences of neglecting wellbeing can be severe, leading to psychological illness, diminished performance, and in extreme cases, loss of life</w:t>
      </w:r>
      <w:r w:rsidR="009F1F22" w:rsidRPr="00215A33">
        <w:rPr>
          <w:rFonts w:ascii="Arial" w:eastAsia="Calibri" w:hAnsi="Arial" w:cs="Arial"/>
        </w:rPr>
        <w:t xml:space="preserve">. This gives police forces an ethical cause to invest in this </w:t>
      </w:r>
      <w:r w:rsidR="00C5542F" w:rsidRPr="00215A33">
        <w:rPr>
          <w:rFonts w:ascii="Arial" w:eastAsia="Calibri" w:hAnsi="Arial" w:cs="Arial"/>
        </w:rPr>
        <w:t>issue to better support police officers.</w:t>
      </w:r>
      <w:r w:rsidR="00DB267C" w:rsidRPr="00215A33">
        <w:rPr>
          <w:rFonts w:ascii="Arial" w:eastAsia="Calibri" w:hAnsi="Arial" w:cs="Arial"/>
        </w:rPr>
        <w:t xml:space="preserve"> </w:t>
      </w:r>
      <w:r w:rsidRPr="00215A33">
        <w:rPr>
          <w:rFonts w:ascii="Arial" w:eastAsia="Calibri" w:hAnsi="Arial" w:cs="Arial"/>
        </w:rPr>
        <w:t>As public expectations of policing grow</w:t>
      </w:r>
      <w:r w:rsidR="00DB267C" w:rsidRPr="00215A33">
        <w:rPr>
          <w:rFonts w:ascii="Arial" w:eastAsia="Calibri" w:hAnsi="Arial" w:cs="Arial"/>
        </w:rPr>
        <w:t xml:space="preserve"> so too must the commitment to caring for those who serve.</w:t>
      </w:r>
    </w:p>
    <w:p w14:paraId="222E49C6" w14:textId="64D20EB3" w:rsidR="00257FE6" w:rsidRPr="00215A33" w:rsidRDefault="004D75CA" w:rsidP="00AE7F1F">
      <w:pPr>
        <w:rPr>
          <w:rFonts w:ascii="Arial" w:hAnsi="Arial" w:cs="Arial"/>
        </w:rPr>
      </w:pPr>
      <w:r w:rsidRPr="00215A33">
        <w:rPr>
          <w:rFonts w:ascii="Arial" w:hAnsi="Arial" w:cs="Arial"/>
          <w:b/>
          <w:bCs/>
        </w:rPr>
        <w:lastRenderedPageBreak/>
        <w:t>Word Count:</w:t>
      </w:r>
      <w:r w:rsidRPr="00215A33">
        <w:rPr>
          <w:rFonts w:ascii="Arial" w:hAnsi="Arial" w:cs="Arial"/>
        </w:rPr>
        <w:t xml:space="preserve"> 1</w:t>
      </w:r>
      <w:r w:rsidR="00C5542F" w:rsidRPr="00215A33">
        <w:rPr>
          <w:rFonts w:ascii="Arial" w:hAnsi="Arial" w:cs="Arial"/>
        </w:rPr>
        <w:t>0</w:t>
      </w:r>
      <w:r w:rsidR="00CC3159">
        <w:rPr>
          <w:rFonts w:ascii="Arial" w:hAnsi="Arial" w:cs="Arial"/>
        </w:rPr>
        <w:t>65</w:t>
      </w:r>
    </w:p>
    <w:p w14:paraId="5DFB9A38" w14:textId="77777777" w:rsidR="00800E2C" w:rsidRPr="00215A33" w:rsidRDefault="00800E2C" w:rsidP="00AE7F1F">
      <w:pPr>
        <w:rPr>
          <w:rFonts w:ascii="Arial" w:hAnsi="Arial" w:cs="Arial"/>
        </w:rPr>
      </w:pPr>
    </w:p>
    <w:p w14:paraId="3EEAC16B" w14:textId="77777777" w:rsidR="00980CA4" w:rsidRPr="00215A33" w:rsidRDefault="00980CA4" w:rsidP="00800E2C">
      <w:pPr>
        <w:rPr>
          <w:rFonts w:ascii="Arial" w:hAnsi="Arial" w:cs="Arial"/>
        </w:rPr>
      </w:pPr>
    </w:p>
    <w:p w14:paraId="7190F6DA" w14:textId="77777777" w:rsidR="00980CA4" w:rsidRPr="00215A33" w:rsidRDefault="00980CA4" w:rsidP="00800E2C">
      <w:pPr>
        <w:rPr>
          <w:rFonts w:ascii="Arial" w:hAnsi="Arial" w:cs="Arial"/>
        </w:rPr>
      </w:pPr>
    </w:p>
    <w:p w14:paraId="787C6E27" w14:textId="77777777" w:rsidR="00980CA4" w:rsidRPr="00215A33" w:rsidRDefault="00980CA4" w:rsidP="00800E2C">
      <w:pPr>
        <w:rPr>
          <w:rFonts w:ascii="Arial" w:hAnsi="Arial" w:cs="Arial"/>
        </w:rPr>
      </w:pPr>
    </w:p>
    <w:p w14:paraId="4359A1F3" w14:textId="77777777" w:rsidR="00980CA4" w:rsidRPr="00215A33" w:rsidRDefault="00980CA4" w:rsidP="00800E2C">
      <w:pPr>
        <w:rPr>
          <w:rFonts w:ascii="Arial" w:hAnsi="Arial" w:cs="Arial"/>
        </w:rPr>
      </w:pPr>
    </w:p>
    <w:p w14:paraId="780390CD" w14:textId="77777777" w:rsidR="00980CA4" w:rsidRPr="00215A33" w:rsidRDefault="00980CA4" w:rsidP="00800E2C">
      <w:pPr>
        <w:rPr>
          <w:rFonts w:ascii="Arial" w:hAnsi="Arial" w:cs="Arial"/>
        </w:rPr>
      </w:pPr>
    </w:p>
    <w:p w14:paraId="41949C1E" w14:textId="77777777" w:rsidR="00980CA4" w:rsidRPr="00215A33" w:rsidRDefault="00980CA4" w:rsidP="00800E2C">
      <w:pPr>
        <w:rPr>
          <w:rFonts w:ascii="Arial" w:hAnsi="Arial" w:cs="Arial"/>
        </w:rPr>
      </w:pPr>
    </w:p>
    <w:p w14:paraId="1BF63D1F" w14:textId="77777777" w:rsidR="00980CA4" w:rsidRPr="00215A33" w:rsidRDefault="00980CA4" w:rsidP="00800E2C">
      <w:pPr>
        <w:rPr>
          <w:rFonts w:ascii="Arial" w:hAnsi="Arial" w:cs="Arial"/>
        </w:rPr>
      </w:pPr>
    </w:p>
    <w:p w14:paraId="45B143A9" w14:textId="77777777" w:rsidR="00980CA4" w:rsidRPr="00215A33" w:rsidRDefault="00980CA4" w:rsidP="00800E2C">
      <w:pPr>
        <w:rPr>
          <w:rFonts w:ascii="Arial" w:hAnsi="Arial" w:cs="Arial"/>
        </w:rPr>
      </w:pPr>
    </w:p>
    <w:p w14:paraId="35D3C8A5" w14:textId="77777777" w:rsidR="00980CA4" w:rsidRPr="00215A33" w:rsidRDefault="00980CA4" w:rsidP="00800E2C">
      <w:pPr>
        <w:rPr>
          <w:rFonts w:ascii="Arial" w:hAnsi="Arial" w:cs="Arial"/>
        </w:rPr>
      </w:pPr>
    </w:p>
    <w:p w14:paraId="5D7728A9" w14:textId="77777777" w:rsidR="00980CA4" w:rsidRPr="00215A33" w:rsidRDefault="00980CA4" w:rsidP="00800E2C">
      <w:pPr>
        <w:rPr>
          <w:rFonts w:ascii="Arial" w:hAnsi="Arial" w:cs="Arial"/>
        </w:rPr>
      </w:pPr>
    </w:p>
    <w:p w14:paraId="5778FC4B" w14:textId="77777777" w:rsidR="00980CA4" w:rsidRPr="00215A33" w:rsidRDefault="00980CA4" w:rsidP="00800E2C">
      <w:pPr>
        <w:rPr>
          <w:rFonts w:ascii="Arial" w:hAnsi="Arial" w:cs="Arial"/>
        </w:rPr>
      </w:pPr>
    </w:p>
    <w:p w14:paraId="0B978568" w14:textId="77777777" w:rsidR="00980CA4" w:rsidRPr="00215A33" w:rsidRDefault="00980CA4" w:rsidP="00800E2C">
      <w:pPr>
        <w:rPr>
          <w:rFonts w:ascii="Arial" w:hAnsi="Arial" w:cs="Arial"/>
        </w:rPr>
      </w:pPr>
    </w:p>
    <w:p w14:paraId="5B2792F4" w14:textId="77777777" w:rsidR="00980CA4" w:rsidRPr="00215A33" w:rsidRDefault="00980CA4" w:rsidP="00800E2C">
      <w:pPr>
        <w:rPr>
          <w:rFonts w:ascii="Arial" w:hAnsi="Arial" w:cs="Arial"/>
        </w:rPr>
      </w:pPr>
    </w:p>
    <w:p w14:paraId="0D44EF56" w14:textId="77777777" w:rsidR="00980CA4" w:rsidRPr="00215A33" w:rsidRDefault="00980CA4" w:rsidP="00800E2C">
      <w:pPr>
        <w:rPr>
          <w:rFonts w:ascii="Arial" w:hAnsi="Arial" w:cs="Arial"/>
        </w:rPr>
      </w:pPr>
    </w:p>
    <w:p w14:paraId="5FFA0D23" w14:textId="77777777" w:rsidR="00980CA4" w:rsidRPr="00215A33" w:rsidRDefault="00980CA4" w:rsidP="00800E2C">
      <w:pPr>
        <w:rPr>
          <w:rFonts w:ascii="Arial" w:hAnsi="Arial" w:cs="Arial"/>
        </w:rPr>
      </w:pPr>
    </w:p>
    <w:p w14:paraId="4A2C4684" w14:textId="77777777" w:rsidR="00980CA4" w:rsidRPr="00215A33" w:rsidRDefault="00980CA4" w:rsidP="00800E2C">
      <w:pPr>
        <w:rPr>
          <w:rFonts w:ascii="Arial" w:hAnsi="Arial" w:cs="Arial"/>
        </w:rPr>
      </w:pPr>
    </w:p>
    <w:p w14:paraId="7587A2F7" w14:textId="77777777" w:rsidR="00980CA4" w:rsidRPr="00215A33" w:rsidRDefault="00980CA4" w:rsidP="00800E2C">
      <w:pPr>
        <w:rPr>
          <w:rFonts w:ascii="Arial" w:hAnsi="Arial" w:cs="Arial"/>
        </w:rPr>
      </w:pPr>
    </w:p>
    <w:p w14:paraId="2FD7B7BB" w14:textId="77777777" w:rsidR="00980CA4" w:rsidRPr="00215A33" w:rsidRDefault="00980CA4" w:rsidP="00800E2C">
      <w:pPr>
        <w:rPr>
          <w:rFonts w:ascii="Arial" w:hAnsi="Arial" w:cs="Arial"/>
        </w:rPr>
      </w:pPr>
    </w:p>
    <w:p w14:paraId="61641FF8" w14:textId="77777777" w:rsidR="00980CA4" w:rsidRPr="00215A33" w:rsidRDefault="00980CA4" w:rsidP="00800E2C">
      <w:pPr>
        <w:rPr>
          <w:rFonts w:ascii="Arial" w:hAnsi="Arial" w:cs="Arial"/>
        </w:rPr>
      </w:pPr>
    </w:p>
    <w:p w14:paraId="6D3E9CA2" w14:textId="77777777" w:rsidR="00980CA4" w:rsidRPr="00215A33" w:rsidRDefault="00980CA4" w:rsidP="00800E2C">
      <w:pPr>
        <w:rPr>
          <w:rFonts w:ascii="Arial" w:hAnsi="Arial" w:cs="Arial"/>
        </w:rPr>
      </w:pPr>
    </w:p>
    <w:p w14:paraId="61E8A3BB" w14:textId="77777777" w:rsidR="00980CA4" w:rsidRPr="00215A33" w:rsidRDefault="00980CA4" w:rsidP="00800E2C">
      <w:pPr>
        <w:rPr>
          <w:rFonts w:ascii="Arial" w:hAnsi="Arial" w:cs="Arial"/>
        </w:rPr>
      </w:pPr>
    </w:p>
    <w:p w14:paraId="4C665EB0" w14:textId="77777777" w:rsidR="00980CA4" w:rsidRPr="00215A33" w:rsidRDefault="00980CA4" w:rsidP="00800E2C">
      <w:pPr>
        <w:rPr>
          <w:rFonts w:ascii="Arial" w:hAnsi="Arial" w:cs="Arial"/>
        </w:rPr>
      </w:pPr>
    </w:p>
    <w:p w14:paraId="7EE7ECF7" w14:textId="77777777" w:rsidR="00980CA4" w:rsidRPr="00215A33" w:rsidRDefault="00980CA4" w:rsidP="00800E2C">
      <w:pPr>
        <w:rPr>
          <w:rFonts w:ascii="Arial" w:hAnsi="Arial" w:cs="Arial"/>
        </w:rPr>
      </w:pPr>
    </w:p>
    <w:p w14:paraId="789D57F3" w14:textId="77777777" w:rsidR="00980CA4" w:rsidRPr="00215A33" w:rsidRDefault="00980CA4" w:rsidP="00800E2C">
      <w:pPr>
        <w:rPr>
          <w:rFonts w:ascii="Arial" w:hAnsi="Arial" w:cs="Arial"/>
        </w:rPr>
      </w:pPr>
    </w:p>
    <w:p w14:paraId="17371592" w14:textId="77777777" w:rsidR="00980CA4" w:rsidRPr="00215A33" w:rsidRDefault="00980CA4" w:rsidP="00800E2C">
      <w:pPr>
        <w:rPr>
          <w:rFonts w:ascii="Arial" w:hAnsi="Arial" w:cs="Arial"/>
        </w:rPr>
      </w:pPr>
    </w:p>
    <w:p w14:paraId="2BE6D268" w14:textId="77777777" w:rsidR="00980CA4" w:rsidRPr="00215A33" w:rsidRDefault="00980CA4" w:rsidP="00800E2C">
      <w:pPr>
        <w:rPr>
          <w:rFonts w:ascii="Arial" w:hAnsi="Arial" w:cs="Arial"/>
        </w:rPr>
      </w:pPr>
    </w:p>
    <w:p w14:paraId="39CDD63D" w14:textId="77777777" w:rsidR="00980CA4" w:rsidRPr="00215A33" w:rsidRDefault="00980CA4" w:rsidP="00800E2C">
      <w:pPr>
        <w:rPr>
          <w:rFonts w:ascii="Arial" w:hAnsi="Arial" w:cs="Arial"/>
        </w:rPr>
      </w:pPr>
    </w:p>
    <w:p w14:paraId="2A022835" w14:textId="77777777" w:rsidR="00DE34ED" w:rsidRDefault="00DE34ED" w:rsidP="00800E2C">
      <w:pPr>
        <w:rPr>
          <w:rFonts w:ascii="Arial" w:hAnsi="Arial" w:cs="Arial"/>
        </w:rPr>
      </w:pPr>
    </w:p>
    <w:p w14:paraId="70926D10" w14:textId="77777777" w:rsidR="00DE34ED" w:rsidRDefault="00DE34ED" w:rsidP="00800E2C">
      <w:pPr>
        <w:rPr>
          <w:rFonts w:ascii="Arial" w:hAnsi="Arial" w:cs="Arial"/>
        </w:rPr>
      </w:pPr>
    </w:p>
    <w:p w14:paraId="22ABD16B" w14:textId="77777777" w:rsidR="001135E2" w:rsidRDefault="001135E2" w:rsidP="00800E2C">
      <w:pPr>
        <w:rPr>
          <w:rFonts w:ascii="Arial" w:hAnsi="Arial" w:cs="Arial"/>
          <w:b/>
          <w:bCs/>
        </w:rPr>
      </w:pPr>
    </w:p>
    <w:p w14:paraId="099AC90F" w14:textId="59DD87B3" w:rsidR="00800E2C" w:rsidRPr="00DE34ED" w:rsidRDefault="00800E2C" w:rsidP="00800E2C">
      <w:pPr>
        <w:rPr>
          <w:rFonts w:ascii="Arial" w:hAnsi="Arial" w:cs="Arial"/>
          <w:b/>
          <w:bCs/>
        </w:rPr>
      </w:pPr>
      <w:r w:rsidRPr="00DE34ED">
        <w:rPr>
          <w:rFonts w:ascii="Arial" w:hAnsi="Arial" w:cs="Arial"/>
          <w:b/>
          <w:bCs/>
        </w:rPr>
        <w:lastRenderedPageBreak/>
        <w:t xml:space="preserve">Essay four: </w:t>
      </w:r>
    </w:p>
    <w:p w14:paraId="121FFA7A" w14:textId="77777777" w:rsidR="00800E2C" w:rsidRPr="00215A33" w:rsidRDefault="00800E2C" w:rsidP="00800E2C">
      <w:pPr>
        <w:rPr>
          <w:rFonts w:ascii="Arial" w:hAnsi="Arial" w:cs="Arial"/>
        </w:rPr>
      </w:pPr>
      <w:r w:rsidRPr="00215A33">
        <w:rPr>
          <w:rFonts w:ascii="Arial" w:hAnsi="Arial" w:cs="Arial"/>
        </w:rPr>
        <w:t>Outline potential links between serious and organised crime and public protection issues. What characteristics make some people more vulnerable to exploitation by serious and organised crime gangs?</w:t>
      </w:r>
    </w:p>
    <w:p w14:paraId="6FD8CC5F" w14:textId="77777777" w:rsidR="00800E2C" w:rsidRPr="00215A33" w:rsidRDefault="00800E2C" w:rsidP="00800E2C">
      <w:pPr>
        <w:rPr>
          <w:rFonts w:ascii="Arial" w:hAnsi="Arial" w:cs="Arial"/>
        </w:rPr>
      </w:pPr>
      <w:r w:rsidRPr="00215A33">
        <w:rPr>
          <w:rFonts w:ascii="Arial" w:hAnsi="Arial" w:cs="Arial"/>
        </w:rPr>
        <w:t>Your answer must be based on academic research.</w:t>
      </w:r>
    </w:p>
    <w:p w14:paraId="6B253F3C" w14:textId="56515D93" w:rsidR="00800E2C" w:rsidRPr="00215A33" w:rsidRDefault="00800E2C" w:rsidP="00D46CE8">
      <w:pPr>
        <w:tabs>
          <w:tab w:val="left" w:pos="3235"/>
        </w:tabs>
        <w:rPr>
          <w:rFonts w:ascii="Arial" w:hAnsi="Arial" w:cs="Arial"/>
        </w:rPr>
      </w:pPr>
      <w:r w:rsidRPr="00215A33">
        <w:rPr>
          <w:rFonts w:ascii="Arial" w:hAnsi="Arial" w:cs="Arial"/>
        </w:rPr>
        <w:t>Word limit: 1000 words.</w:t>
      </w:r>
      <w:r w:rsidR="00D46CE8" w:rsidRPr="00215A33">
        <w:rPr>
          <w:rFonts w:ascii="Arial" w:hAnsi="Arial" w:cs="Arial"/>
        </w:rPr>
        <w:tab/>
      </w:r>
    </w:p>
    <w:p w14:paraId="74C76D18" w14:textId="57B29EDC" w:rsidR="00D46CE8" w:rsidRPr="00215A33" w:rsidRDefault="00D46CE8" w:rsidP="00D46CE8">
      <w:pPr>
        <w:tabs>
          <w:tab w:val="left" w:pos="3235"/>
        </w:tabs>
        <w:rPr>
          <w:rFonts w:ascii="Arial" w:hAnsi="Arial" w:cs="Arial"/>
        </w:rPr>
      </w:pPr>
      <w:r w:rsidRPr="00215A33">
        <w:rPr>
          <w:rFonts w:ascii="Arial" w:hAnsi="Arial" w:cs="Arial"/>
        </w:rPr>
        <w:t>Serious and organised crime (SOC) poses a significant threat to public protection in the U</w:t>
      </w:r>
      <w:r w:rsidR="00252C25">
        <w:rPr>
          <w:rFonts w:ascii="Arial" w:hAnsi="Arial" w:cs="Arial"/>
        </w:rPr>
        <w:t xml:space="preserve">nited </w:t>
      </w:r>
      <w:r w:rsidRPr="00215A33">
        <w:rPr>
          <w:rFonts w:ascii="Arial" w:hAnsi="Arial" w:cs="Arial"/>
        </w:rPr>
        <w:t>K</w:t>
      </w:r>
      <w:r w:rsidR="00252C25">
        <w:rPr>
          <w:rFonts w:ascii="Arial" w:hAnsi="Arial" w:cs="Arial"/>
        </w:rPr>
        <w:t>ingdom</w:t>
      </w:r>
      <w:r w:rsidRPr="00215A33">
        <w:rPr>
          <w:rFonts w:ascii="Arial" w:hAnsi="Arial" w:cs="Arial"/>
        </w:rPr>
        <w:t xml:space="preserve"> and globally. It encompasses a range of activities including drug trafficking, human trafficking, exploitation, and cybercrime. The National Crime Agency (NCA, 2023) identifies SOC as a priority threat due to its capacity to infiltrate legitimate systems, exploit vulnerable populations, and undermine social cohesion. Central to this issue is the exploitation of vulnerable individuals by organised crime gangs (OCGs), with certain demographics proving to be more susceptible to victimisation. This essay critically examines the relationship between SOC and public protection issues, identifying the characteristics that render some individuals more vulnerable to exploitation. It highlights the complex relationships between criminal networks and public protection issues such as socio-economic disadvantage, trauma, and systemic failures in safeguarding.</w:t>
      </w:r>
    </w:p>
    <w:p w14:paraId="2393368D" w14:textId="2125C5DA" w:rsidR="00D46CE8" w:rsidRPr="00215A33" w:rsidRDefault="00D46CE8" w:rsidP="00D46CE8">
      <w:pPr>
        <w:tabs>
          <w:tab w:val="left" w:pos="3235"/>
        </w:tabs>
        <w:rPr>
          <w:rFonts w:ascii="Arial" w:hAnsi="Arial" w:cs="Arial"/>
        </w:rPr>
      </w:pPr>
      <w:r w:rsidRPr="00215A33">
        <w:rPr>
          <w:rFonts w:ascii="Arial" w:hAnsi="Arial" w:cs="Arial"/>
        </w:rPr>
        <w:t>Serious and organised crime is characterised by systematic and often international, criminal activities that generate significant profit and are frequently accompanied by violence, coercion, and corruption (Levi &amp; Maguire, 2004). SOC not only endangers national security but also poses direct threats to individuals and communities, placing greater strain on the capacity of public protection services. Public protection is a multi-faceted endeavour, encompassing policing, social work, youth offending teams, and safeguarding partnerships, all tasked with preventing harm and protecting vulnerable populations (Home Office, 2018). One of the primary connections between SOC and public protection lies in the exploitation of vulnerable individuals. For example, county lines drug trafficking has become a prominent issue in the UK, where gangs exploit children and young adults to transport drugs to rural areas (National Crime Agency, 2023). Victims are often coerced through debt bondage, threats of violence, and manipulation, this exploitation raises significant safeguarding concerns.</w:t>
      </w:r>
    </w:p>
    <w:p w14:paraId="6E35B24E" w14:textId="1D0652D3" w:rsidR="00DE34ED" w:rsidRPr="00215A33" w:rsidRDefault="00D46CE8" w:rsidP="00D46CE8">
      <w:pPr>
        <w:tabs>
          <w:tab w:val="left" w:pos="3235"/>
        </w:tabs>
        <w:rPr>
          <w:rFonts w:ascii="Arial" w:hAnsi="Arial" w:cs="Arial"/>
        </w:rPr>
      </w:pPr>
      <w:r w:rsidRPr="00215A33">
        <w:rPr>
          <w:rFonts w:ascii="Arial" w:hAnsi="Arial" w:cs="Arial"/>
        </w:rPr>
        <w:t>Organised crime groups (OCGs) are highly adaptive and exploitative, capitalising on individual vulnerabilities and shortfalls in public protections. Human trafficking for sexual or labour exploitation, forced criminality, and fraud are all common mechanisms (</w:t>
      </w:r>
      <w:proofErr w:type="spellStart"/>
      <w:r w:rsidRPr="00215A33">
        <w:rPr>
          <w:rFonts w:ascii="Arial" w:hAnsi="Arial" w:cs="Arial"/>
        </w:rPr>
        <w:t>Cockbain</w:t>
      </w:r>
      <w:proofErr w:type="spellEnd"/>
      <w:r w:rsidRPr="00215A33">
        <w:rPr>
          <w:rFonts w:ascii="Arial" w:hAnsi="Arial" w:cs="Arial"/>
        </w:rPr>
        <w:t xml:space="preserve"> &amp; Bowers, 2019). These activities often operate in the shadows, making detection and intervention difficult. The grooming tactics used by OCGs are </w:t>
      </w:r>
      <w:proofErr w:type="gramStart"/>
      <w:r w:rsidRPr="00215A33">
        <w:rPr>
          <w:rFonts w:ascii="Arial" w:hAnsi="Arial" w:cs="Arial"/>
        </w:rPr>
        <w:t>similar to</w:t>
      </w:r>
      <w:proofErr w:type="gramEnd"/>
      <w:r w:rsidRPr="00215A33">
        <w:rPr>
          <w:rFonts w:ascii="Arial" w:hAnsi="Arial" w:cs="Arial"/>
        </w:rPr>
        <w:t xml:space="preserve"> those used in child sexual exploitation, creating false relationships of trust before introducing coercion and control (Walker et al, 2019). </w:t>
      </w:r>
    </w:p>
    <w:p w14:paraId="3E6FA308" w14:textId="33A3487B" w:rsidR="00D46CE8" w:rsidRPr="00215A33" w:rsidRDefault="00D46CE8" w:rsidP="00D46CE8">
      <w:pPr>
        <w:tabs>
          <w:tab w:val="left" w:pos="3235"/>
        </w:tabs>
        <w:rPr>
          <w:rFonts w:ascii="Arial" w:hAnsi="Arial" w:cs="Arial"/>
        </w:rPr>
      </w:pPr>
      <w:r w:rsidRPr="00215A33">
        <w:rPr>
          <w:rFonts w:ascii="Arial" w:hAnsi="Arial" w:cs="Arial"/>
        </w:rPr>
        <w:t xml:space="preserve">Furthermore, modern </w:t>
      </w:r>
      <w:r w:rsidR="00CE357F">
        <w:rPr>
          <w:rFonts w:ascii="Arial" w:hAnsi="Arial" w:cs="Arial"/>
        </w:rPr>
        <w:t xml:space="preserve">day </w:t>
      </w:r>
      <w:r w:rsidRPr="00215A33">
        <w:rPr>
          <w:rFonts w:ascii="Arial" w:hAnsi="Arial" w:cs="Arial"/>
        </w:rPr>
        <w:t>slavery is a growing concern, with victims frequently trafficked across borders both nationally and internationally. These individuals may be hidden in plain sight, working in agriculture, construction, or domestic servitude under exploitative conditions (Bales, 2007). The blurred lines between victims and offenders</w:t>
      </w:r>
      <w:r w:rsidR="002C46D5">
        <w:rPr>
          <w:rFonts w:ascii="Arial" w:hAnsi="Arial" w:cs="Arial"/>
        </w:rPr>
        <w:t xml:space="preserve"> </w:t>
      </w:r>
      <w:r w:rsidRPr="00215A33">
        <w:rPr>
          <w:rFonts w:ascii="Arial" w:hAnsi="Arial" w:cs="Arial"/>
        </w:rPr>
        <w:t>particularly in drug-related crimes</w:t>
      </w:r>
      <w:r w:rsidR="002C46D5">
        <w:rPr>
          <w:rFonts w:ascii="Arial" w:hAnsi="Arial" w:cs="Arial"/>
        </w:rPr>
        <w:t xml:space="preserve">, </w:t>
      </w:r>
      <w:r w:rsidRPr="00215A33">
        <w:rPr>
          <w:rFonts w:ascii="Arial" w:hAnsi="Arial" w:cs="Arial"/>
        </w:rPr>
        <w:t>complicate law enforcement responses and public protection strategies (Hales &amp; Silverstone, 2005).</w:t>
      </w:r>
    </w:p>
    <w:p w14:paraId="04D53655" w14:textId="055B125C" w:rsidR="00D46CE8" w:rsidRPr="00215A33" w:rsidRDefault="00D46CE8" w:rsidP="00D46CE8">
      <w:pPr>
        <w:tabs>
          <w:tab w:val="left" w:pos="3235"/>
        </w:tabs>
        <w:rPr>
          <w:rFonts w:ascii="Arial" w:hAnsi="Arial" w:cs="Arial"/>
        </w:rPr>
      </w:pPr>
      <w:r w:rsidRPr="00215A33">
        <w:rPr>
          <w:rFonts w:ascii="Arial" w:hAnsi="Arial" w:cs="Arial"/>
        </w:rPr>
        <w:t>Understanding what makes individuals vulnerable to exploitation by OCGs is crucial for effective public protection. Several intersecting risk factors have been identified in the literature. Firstly, socioeconomic disadvantage. Poverty, unemployment,</w:t>
      </w:r>
      <w:r w:rsidR="002C46D5">
        <w:rPr>
          <w:rFonts w:ascii="Arial" w:hAnsi="Arial" w:cs="Arial"/>
        </w:rPr>
        <w:t xml:space="preserve"> poor</w:t>
      </w:r>
      <w:r w:rsidRPr="00215A33">
        <w:rPr>
          <w:rFonts w:ascii="Arial" w:hAnsi="Arial" w:cs="Arial"/>
        </w:rPr>
        <w:t xml:space="preserve"> housing and </w:t>
      </w:r>
      <w:r w:rsidRPr="00215A33">
        <w:rPr>
          <w:rFonts w:ascii="Arial" w:hAnsi="Arial" w:cs="Arial"/>
        </w:rPr>
        <w:lastRenderedPageBreak/>
        <w:t>other financial difficulties create conditions where individuals may seek alternative income or protection through gang affiliation (Harding, 2020). Deprived neighbourhoods are more likely to be targeted for recruitment into OCG activities (Pitts, 2008).</w:t>
      </w:r>
    </w:p>
    <w:p w14:paraId="029214F4" w14:textId="77777777" w:rsidR="00D46CE8" w:rsidRPr="00215A33" w:rsidRDefault="00D46CE8" w:rsidP="00D46CE8">
      <w:pPr>
        <w:tabs>
          <w:tab w:val="left" w:pos="3235"/>
        </w:tabs>
        <w:rPr>
          <w:rFonts w:ascii="Arial" w:hAnsi="Arial" w:cs="Arial"/>
        </w:rPr>
      </w:pPr>
      <w:r w:rsidRPr="00215A33">
        <w:rPr>
          <w:rFonts w:ascii="Arial" w:hAnsi="Arial" w:cs="Arial"/>
        </w:rPr>
        <w:t xml:space="preserve">Adverse childhood experiences (ACEs) are also a contributing factor. Abuse, neglect, parental substance misuse, and exposure to domestic violence significantly increase vulnerability (Bellis et al., 2014). Data suggests that children who have experienced trauma may be more susceptible to grooming and coercion by criminals offering security or belonging. As well those with four or more ACEs are fourteen times more likely to have been a victim of violence and fifteen times more likely to have been a perpetrator of violence (Children and Families Directorate, 2018). As well a lack of support networks, young people excluded from mainstream education or in care are disproportionately represented among those exploited by gangs (Coomber &amp; Moyle, 2018). A lack of stable adult relationships and support leaves them open to criminal influence.  </w:t>
      </w:r>
    </w:p>
    <w:p w14:paraId="143467B5" w14:textId="725E70B0" w:rsidR="00D46CE8" w:rsidRPr="00215A33" w:rsidRDefault="00D46CE8" w:rsidP="00D46CE8">
      <w:pPr>
        <w:tabs>
          <w:tab w:val="left" w:pos="3235"/>
        </w:tabs>
        <w:rPr>
          <w:rFonts w:ascii="Arial" w:hAnsi="Arial" w:cs="Arial"/>
        </w:rPr>
      </w:pPr>
      <w:r w:rsidRPr="00215A33">
        <w:rPr>
          <w:rFonts w:ascii="Arial" w:hAnsi="Arial" w:cs="Arial"/>
        </w:rPr>
        <w:t>Mental health and learning disabilities are also a targeted risk factor. Individuals with cognitive impairments or mental health conditions may struggle to assess risk, resist coercion, or understand the nature of criminal activities they are involved in (Dearden &amp; Becker, 2021).</w:t>
      </w:r>
    </w:p>
    <w:p w14:paraId="48F524C2" w14:textId="2C15F9D0" w:rsidR="00D46CE8" w:rsidRPr="00215A33" w:rsidRDefault="00215A33" w:rsidP="00D46CE8">
      <w:pPr>
        <w:tabs>
          <w:tab w:val="left" w:pos="3235"/>
        </w:tabs>
        <w:rPr>
          <w:rFonts w:ascii="Arial" w:hAnsi="Arial" w:cs="Arial"/>
        </w:rPr>
      </w:pPr>
      <w:r w:rsidRPr="00215A33">
        <w:rPr>
          <w:rFonts w:ascii="Arial" w:hAnsi="Arial" w:cs="Arial"/>
        </w:rPr>
        <w:t>Finally,</w:t>
      </w:r>
      <w:r w:rsidR="00D46CE8" w:rsidRPr="00215A33">
        <w:rPr>
          <w:rFonts w:ascii="Arial" w:hAnsi="Arial" w:cs="Arial"/>
        </w:rPr>
        <w:t xml:space="preserve"> immigration status is another risk factor. Undocumented migrants or asylum seekers often lack access to support services and may be fearful of authorities, increasing their risk of exploitation (Dwyer et al., 2011). These factors often co-exist, creating a cumulative effect where individuals face layered vulnerabilities, increasing their susceptibility to exploitation by OCGs.</w:t>
      </w:r>
    </w:p>
    <w:p w14:paraId="54AD9AF9" w14:textId="621D6D5D" w:rsidR="00D46CE8" w:rsidRPr="00215A33" w:rsidRDefault="00D46CE8" w:rsidP="00D46CE8">
      <w:pPr>
        <w:tabs>
          <w:tab w:val="left" w:pos="3235"/>
        </w:tabs>
        <w:rPr>
          <w:rFonts w:ascii="Arial" w:hAnsi="Arial" w:cs="Arial"/>
        </w:rPr>
      </w:pPr>
      <w:r w:rsidRPr="00215A33">
        <w:rPr>
          <w:rFonts w:ascii="Arial" w:hAnsi="Arial" w:cs="Arial"/>
        </w:rPr>
        <w:t>There are numerous challenges in protecting individuals from exploitation by serious and organised crime. Firstly, detection and identification remain significant barriers. Victims may not recognise themselves as such or may be too fearful to engage with authorities (</w:t>
      </w:r>
      <w:proofErr w:type="spellStart"/>
      <w:r w:rsidRPr="00215A33">
        <w:rPr>
          <w:rFonts w:ascii="Arial" w:hAnsi="Arial" w:cs="Arial"/>
        </w:rPr>
        <w:t>Cockbain</w:t>
      </w:r>
      <w:proofErr w:type="spellEnd"/>
      <w:r w:rsidRPr="00215A33">
        <w:rPr>
          <w:rFonts w:ascii="Arial" w:hAnsi="Arial" w:cs="Arial"/>
        </w:rPr>
        <w:t xml:space="preserve"> &amp; Bowers, 2019). The victim-offender overlap is especially problematic when children caught trafficking drugs under duress are treated as criminals rather than victims (Robinson et al, 2019). His overlap blurs the lines between victim and offender with those involved often befitting both roles.</w:t>
      </w:r>
    </w:p>
    <w:p w14:paraId="231F2763" w14:textId="77777777" w:rsidR="00D46CE8" w:rsidRPr="00215A33" w:rsidRDefault="00D46CE8" w:rsidP="00D46CE8">
      <w:pPr>
        <w:tabs>
          <w:tab w:val="left" w:pos="3235"/>
        </w:tabs>
        <w:rPr>
          <w:rFonts w:ascii="Arial" w:hAnsi="Arial" w:cs="Arial"/>
        </w:rPr>
      </w:pPr>
      <w:r w:rsidRPr="00215A33">
        <w:rPr>
          <w:rFonts w:ascii="Arial" w:hAnsi="Arial" w:cs="Arial"/>
        </w:rPr>
        <w:t>Inter-agency collaboration, while essential, is often inconsistent. Multi-agency safeguarding arrangements (MASAs) aim to improve coordination, but resource constraints, data sharing issues, and differing priorities can undermine effectiveness (His Majesties Inspectorate of Constabulary Fire and Rescue Service, 2021). Moreover, criminal justice responses sometimes fail to address the root causes of exploitation. Punitive approaches may re-traumatise victims and drive them further into and more reliant on criminal networks, particularly when youth justice systems lack trauma-informed frameworks (Case &amp; Haines, 2015).</w:t>
      </w:r>
    </w:p>
    <w:p w14:paraId="3A8F185D" w14:textId="1DF96998" w:rsidR="00D46CE8" w:rsidRPr="00215A33" w:rsidRDefault="00D46CE8" w:rsidP="00D46CE8">
      <w:pPr>
        <w:tabs>
          <w:tab w:val="left" w:pos="3235"/>
        </w:tabs>
        <w:rPr>
          <w:rFonts w:ascii="Arial" w:hAnsi="Arial" w:cs="Arial"/>
        </w:rPr>
      </w:pPr>
      <w:r w:rsidRPr="00215A33">
        <w:rPr>
          <w:rFonts w:ascii="Arial" w:hAnsi="Arial" w:cs="Arial"/>
        </w:rPr>
        <w:t>Preventing exploitation by OCGs requires proactive and multi-faceted strategies. Early intervention is crucial, particularly with young adults and children. Programmes focusing on education, mentoring, and family support can disrupt the grooming process before it escalates into a larger problem (Public Health England, 2019).</w:t>
      </w:r>
    </w:p>
    <w:p w14:paraId="1EA6872C" w14:textId="77777777" w:rsidR="00D46CE8" w:rsidRPr="00215A33" w:rsidRDefault="00D46CE8" w:rsidP="00D46CE8">
      <w:pPr>
        <w:tabs>
          <w:tab w:val="left" w:pos="3235"/>
        </w:tabs>
        <w:rPr>
          <w:rFonts w:ascii="Arial" w:hAnsi="Arial" w:cs="Arial"/>
        </w:rPr>
      </w:pPr>
      <w:r w:rsidRPr="00215A33">
        <w:rPr>
          <w:rFonts w:ascii="Arial" w:hAnsi="Arial" w:cs="Arial"/>
        </w:rPr>
        <w:t>However, policing practices are evolving to include public health models that treat violence and exploitation as preventable harms. The Violence Reduction Units (VRUs) established in several UK forces adopt such an approach, addressing the socio-economic and emotional drivers of exploitation (Home Office, 2019).</w:t>
      </w:r>
    </w:p>
    <w:p w14:paraId="759C5F39" w14:textId="77777777" w:rsidR="00D46CE8" w:rsidRPr="00215A33" w:rsidRDefault="00D46CE8" w:rsidP="00D46CE8">
      <w:pPr>
        <w:tabs>
          <w:tab w:val="left" w:pos="3235"/>
        </w:tabs>
        <w:rPr>
          <w:rFonts w:ascii="Arial" w:hAnsi="Arial" w:cs="Arial"/>
        </w:rPr>
      </w:pPr>
    </w:p>
    <w:p w14:paraId="4FA1F2CE" w14:textId="0454B9C6" w:rsidR="00D46CE8" w:rsidRPr="00215A33" w:rsidRDefault="00D46CE8" w:rsidP="00D46CE8">
      <w:pPr>
        <w:tabs>
          <w:tab w:val="left" w:pos="3235"/>
        </w:tabs>
        <w:rPr>
          <w:rFonts w:ascii="Arial" w:hAnsi="Arial" w:cs="Arial"/>
        </w:rPr>
      </w:pPr>
      <w:r w:rsidRPr="00215A33">
        <w:rPr>
          <w:rFonts w:ascii="Arial" w:hAnsi="Arial" w:cs="Arial"/>
        </w:rPr>
        <w:lastRenderedPageBreak/>
        <w:t>Trauma-informed and culturally competent services are also essential, ensuring that interventions are tailored to individual needs and do not further marginalise those they aim to protect (Wright et al, 2021). Training professionals across sectors to recognise signs of exploitation and respond appropriately is key to improving outcomes.</w:t>
      </w:r>
    </w:p>
    <w:p w14:paraId="12ECA381" w14:textId="77777777" w:rsidR="00D46CE8" w:rsidRPr="00215A33" w:rsidRDefault="00D46CE8" w:rsidP="00D46CE8">
      <w:pPr>
        <w:tabs>
          <w:tab w:val="left" w:pos="3235"/>
        </w:tabs>
        <w:rPr>
          <w:rFonts w:ascii="Arial" w:hAnsi="Arial" w:cs="Arial"/>
        </w:rPr>
      </w:pPr>
      <w:r w:rsidRPr="00215A33">
        <w:rPr>
          <w:rFonts w:ascii="Arial" w:hAnsi="Arial" w:cs="Arial"/>
        </w:rPr>
        <w:t>Serious and organised crime presents profound challenges to public protection, particularly due to its exploitation of vulnerable individuals. The characteristics that increase vulnerability such as poverty, trauma, social exclusion, and mental health issues not only blur the lines between victim and offender but highlight the need for systemic and preventative responses. A coordinated, trauma-informed, multi-agency approach is essential to safeguard those at risk and disrupt the cycles of exploitation perpetuated by organised crime. Future strategies must continue to prioritise early intervention, support for victims, and tackling the root causes of vulnerability to make meaningful progress in protecting the public from serious and organised crime.</w:t>
      </w:r>
    </w:p>
    <w:p w14:paraId="1B493719" w14:textId="77777777" w:rsidR="00D46CE8" w:rsidRPr="00215A33" w:rsidRDefault="00D46CE8" w:rsidP="00D46CE8">
      <w:pPr>
        <w:tabs>
          <w:tab w:val="left" w:pos="3235"/>
        </w:tabs>
        <w:rPr>
          <w:rFonts w:ascii="Arial" w:hAnsi="Arial" w:cs="Arial"/>
        </w:rPr>
      </w:pPr>
    </w:p>
    <w:p w14:paraId="61703EA3" w14:textId="4E70E531" w:rsidR="00D46CE8" w:rsidRPr="00215A33" w:rsidRDefault="00D46CE8" w:rsidP="00D46CE8">
      <w:pPr>
        <w:tabs>
          <w:tab w:val="left" w:pos="3235"/>
        </w:tabs>
        <w:rPr>
          <w:rFonts w:ascii="Arial" w:hAnsi="Arial" w:cs="Arial"/>
        </w:rPr>
      </w:pPr>
      <w:r w:rsidRPr="006624E4">
        <w:rPr>
          <w:rFonts w:ascii="Arial" w:hAnsi="Arial" w:cs="Arial"/>
          <w:b/>
          <w:bCs/>
        </w:rPr>
        <w:t>Word Count:</w:t>
      </w:r>
      <w:r w:rsidRPr="00215A33">
        <w:rPr>
          <w:rFonts w:ascii="Arial" w:hAnsi="Arial" w:cs="Arial"/>
        </w:rPr>
        <w:t xml:space="preserve"> 1</w:t>
      </w:r>
      <w:r w:rsidR="002C46D5">
        <w:rPr>
          <w:rFonts w:ascii="Arial" w:hAnsi="Arial" w:cs="Arial"/>
        </w:rPr>
        <w:t>100</w:t>
      </w:r>
    </w:p>
    <w:p w14:paraId="6531DCB9" w14:textId="77777777" w:rsidR="00800E2C" w:rsidRPr="00215A33" w:rsidRDefault="00800E2C" w:rsidP="00800E2C">
      <w:pPr>
        <w:rPr>
          <w:rFonts w:ascii="Arial" w:hAnsi="Arial" w:cs="Arial"/>
        </w:rPr>
      </w:pPr>
    </w:p>
    <w:p w14:paraId="67DC0DC2" w14:textId="77777777" w:rsidR="00800E2C" w:rsidRPr="00215A33" w:rsidRDefault="00800E2C" w:rsidP="00800E2C">
      <w:pPr>
        <w:rPr>
          <w:rFonts w:ascii="Arial" w:hAnsi="Arial" w:cs="Arial"/>
        </w:rPr>
      </w:pPr>
    </w:p>
    <w:p w14:paraId="6C60C50B" w14:textId="77777777" w:rsidR="00800E2C" w:rsidRPr="00215A33" w:rsidRDefault="00800E2C" w:rsidP="00800E2C">
      <w:pPr>
        <w:rPr>
          <w:rFonts w:ascii="Arial" w:hAnsi="Arial" w:cs="Arial"/>
        </w:rPr>
      </w:pPr>
    </w:p>
    <w:p w14:paraId="39D4B81D" w14:textId="77777777" w:rsidR="00980CA4" w:rsidRPr="00215A33" w:rsidRDefault="00980CA4" w:rsidP="00800E2C">
      <w:pPr>
        <w:rPr>
          <w:rFonts w:ascii="Arial" w:hAnsi="Arial" w:cs="Arial"/>
        </w:rPr>
      </w:pPr>
    </w:p>
    <w:p w14:paraId="36026052" w14:textId="77777777" w:rsidR="00980CA4" w:rsidRPr="00215A33" w:rsidRDefault="00980CA4" w:rsidP="00800E2C">
      <w:pPr>
        <w:rPr>
          <w:rFonts w:ascii="Arial" w:hAnsi="Arial" w:cs="Arial"/>
        </w:rPr>
      </w:pPr>
    </w:p>
    <w:p w14:paraId="7601F9FE" w14:textId="77777777" w:rsidR="00D46CE8" w:rsidRPr="00215A33" w:rsidRDefault="00D46CE8" w:rsidP="00800E2C">
      <w:pPr>
        <w:rPr>
          <w:rFonts w:ascii="Arial" w:hAnsi="Arial" w:cs="Arial"/>
        </w:rPr>
      </w:pPr>
    </w:p>
    <w:p w14:paraId="3DB24B95" w14:textId="77777777" w:rsidR="00DE34ED" w:rsidRDefault="00DE34ED" w:rsidP="00800E2C">
      <w:pPr>
        <w:rPr>
          <w:rFonts w:ascii="Arial" w:hAnsi="Arial" w:cs="Arial"/>
        </w:rPr>
      </w:pPr>
    </w:p>
    <w:p w14:paraId="3790116E" w14:textId="77777777" w:rsidR="00DE34ED" w:rsidRDefault="00DE34ED" w:rsidP="00800E2C">
      <w:pPr>
        <w:rPr>
          <w:rFonts w:ascii="Arial" w:hAnsi="Arial" w:cs="Arial"/>
        </w:rPr>
      </w:pPr>
    </w:p>
    <w:p w14:paraId="7989563F" w14:textId="77777777" w:rsidR="00DE34ED" w:rsidRDefault="00DE34ED" w:rsidP="00800E2C">
      <w:pPr>
        <w:rPr>
          <w:rFonts w:ascii="Arial" w:hAnsi="Arial" w:cs="Arial"/>
        </w:rPr>
      </w:pPr>
    </w:p>
    <w:p w14:paraId="4278154B" w14:textId="77777777" w:rsidR="00DE34ED" w:rsidRDefault="00DE34ED" w:rsidP="00800E2C">
      <w:pPr>
        <w:rPr>
          <w:rFonts w:ascii="Arial" w:hAnsi="Arial" w:cs="Arial"/>
        </w:rPr>
      </w:pPr>
    </w:p>
    <w:p w14:paraId="07186BC8" w14:textId="77777777" w:rsidR="00DE34ED" w:rsidRDefault="00DE34ED" w:rsidP="00800E2C">
      <w:pPr>
        <w:rPr>
          <w:rFonts w:ascii="Arial" w:hAnsi="Arial" w:cs="Arial"/>
        </w:rPr>
      </w:pPr>
    </w:p>
    <w:p w14:paraId="3F53715B" w14:textId="77777777" w:rsidR="00DE34ED" w:rsidRDefault="00DE34ED" w:rsidP="00800E2C">
      <w:pPr>
        <w:rPr>
          <w:rFonts w:ascii="Arial" w:hAnsi="Arial" w:cs="Arial"/>
        </w:rPr>
      </w:pPr>
    </w:p>
    <w:p w14:paraId="060CD860" w14:textId="77777777" w:rsidR="00DE34ED" w:rsidRDefault="00DE34ED" w:rsidP="00800E2C">
      <w:pPr>
        <w:rPr>
          <w:rFonts w:ascii="Arial" w:hAnsi="Arial" w:cs="Arial"/>
        </w:rPr>
      </w:pPr>
    </w:p>
    <w:p w14:paraId="5BD16F3B" w14:textId="77777777" w:rsidR="00DE34ED" w:rsidRDefault="00DE34ED" w:rsidP="00800E2C">
      <w:pPr>
        <w:rPr>
          <w:rFonts w:ascii="Arial" w:hAnsi="Arial" w:cs="Arial"/>
        </w:rPr>
      </w:pPr>
    </w:p>
    <w:p w14:paraId="31B30254" w14:textId="77777777" w:rsidR="00DE34ED" w:rsidRDefault="00DE34ED" w:rsidP="00800E2C">
      <w:pPr>
        <w:rPr>
          <w:rFonts w:ascii="Arial" w:hAnsi="Arial" w:cs="Arial"/>
        </w:rPr>
      </w:pPr>
    </w:p>
    <w:p w14:paraId="6238E22F" w14:textId="77777777" w:rsidR="00DE34ED" w:rsidRDefault="00DE34ED" w:rsidP="00800E2C">
      <w:pPr>
        <w:rPr>
          <w:rFonts w:ascii="Arial" w:hAnsi="Arial" w:cs="Arial"/>
        </w:rPr>
      </w:pPr>
    </w:p>
    <w:p w14:paraId="213DE340" w14:textId="77777777" w:rsidR="00DE34ED" w:rsidRDefault="00DE34ED" w:rsidP="00800E2C">
      <w:pPr>
        <w:rPr>
          <w:rFonts w:ascii="Arial" w:hAnsi="Arial" w:cs="Arial"/>
        </w:rPr>
      </w:pPr>
    </w:p>
    <w:p w14:paraId="6B292EAF" w14:textId="77777777" w:rsidR="00DE34ED" w:rsidRDefault="00DE34ED" w:rsidP="00800E2C">
      <w:pPr>
        <w:rPr>
          <w:rFonts w:ascii="Arial" w:hAnsi="Arial" w:cs="Arial"/>
        </w:rPr>
      </w:pPr>
    </w:p>
    <w:p w14:paraId="25E3C5C9" w14:textId="77777777" w:rsidR="00DE34ED" w:rsidRDefault="00DE34ED" w:rsidP="00800E2C">
      <w:pPr>
        <w:rPr>
          <w:rFonts w:ascii="Arial" w:hAnsi="Arial" w:cs="Arial"/>
        </w:rPr>
      </w:pPr>
    </w:p>
    <w:p w14:paraId="3A851543" w14:textId="77777777" w:rsidR="00DE34ED" w:rsidRDefault="00DE34ED" w:rsidP="00800E2C">
      <w:pPr>
        <w:rPr>
          <w:rFonts w:ascii="Arial" w:hAnsi="Arial" w:cs="Arial"/>
        </w:rPr>
      </w:pPr>
    </w:p>
    <w:p w14:paraId="36D92045" w14:textId="77777777" w:rsidR="00DE34ED" w:rsidRDefault="00DE34ED" w:rsidP="00800E2C">
      <w:pPr>
        <w:rPr>
          <w:rFonts w:ascii="Arial" w:hAnsi="Arial" w:cs="Arial"/>
        </w:rPr>
      </w:pPr>
    </w:p>
    <w:p w14:paraId="68322B0F" w14:textId="1E8D894D" w:rsidR="00800E2C" w:rsidRPr="006624E4" w:rsidRDefault="00800E2C" w:rsidP="00800E2C">
      <w:pPr>
        <w:rPr>
          <w:rFonts w:ascii="Arial" w:hAnsi="Arial" w:cs="Arial"/>
          <w:b/>
          <w:bCs/>
        </w:rPr>
      </w:pPr>
      <w:r w:rsidRPr="006624E4">
        <w:rPr>
          <w:rFonts w:ascii="Arial" w:hAnsi="Arial" w:cs="Arial"/>
          <w:b/>
          <w:bCs/>
        </w:rPr>
        <w:lastRenderedPageBreak/>
        <w:t xml:space="preserve">Essay five: </w:t>
      </w:r>
    </w:p>
    <w:p w14:paraId="67AAC9BF" w14:textId="77777777" w:rsidR="00800E2C" w:rsidRPr="00215A33" w:rsidRDefault="00800E2C" w:rsidP="00800E2C">
      <w:pPr>
        <w:rPr>
          <w:rFonts w:ascii="Arial" w:hAnsi="Arial" w:cs="Arial"/>
        </w:rPr>
      </w:pPr>
      <w:r w:rsidRPr="00215A33">
        <w:rPr>
          <w:rFonts w:ascii="Arial" w:hAnsi="Arial" w:cs="Arial"/>
        </w:rPr>
        <w:t>How effective is early intervention an effective means of preventing young people from offending or re-offending?</w:t>
      </w:r>
    </w:p>
    <w:p w14:paraId="1E0A826D" w14:textId="77777777" w:rsidR="00800E2C" w:rsidRPr="00215A33" w:rsidRDefault="00800E2C" w:rsidP="00800E2C">
      <w:pPr>
        <w:rPr>
          <w:rFonts w:ascii="Arial" w:hAnsi="Arial" w:cs="Arial"/>
        </w:rPr>
      </w:pPr>
      <w:r w:rsidRPr="00215A33">
        <w:rPr>
          <w:rFonts w:ascii="Arial" w:hAnsi="Arial" w:cs="Arial"/>
        </w:rPr>
        <w:t xml:space="preserve">Your answer must be based on academic research, but you may </w:t>
      </w:r>
      <w:proofErr w:type="gramStart"/>
      <w:r w:rsidRPr="00215A33">
        <w:rPr>
          <w:rFonts w:ascii="Arial" w:hAnsi="Arial" w:cs="Arial"/>
        </w:rPr>
        <w:t>make reference</w:t>
      </w:r>
      <w:proofErr w:type="gramEnd"/>
      <w:r w:rsidRPr="00215A33">
        <w:rPr>
          <w:rFonts w:ascii="Arial" w:hAnsi="Arial" w:cs="Arial"/>
        </w:rPr>
        <w:t xml:space="preserve"> to relevant case studies.</w:t>
      </w:r>
    </w:p>
    <w:p w14:paraId="143A4181" w14:textId="77777777" w:rsidR="00800E2C" w:rsidRPr="00215A33" w:rsidRDefault="00800E2C" w:rsidP="00800E2C">
      <w:pPr>
        <w:rPr>
          <w:rFonts w:ascii="Arial" w:hAnsi="Arial" w:cs="Arial"/>
        </w:rPr>
      </w:pPr>
      <w:r w:rsidRPr="00215A33">
        <w:rPr>
          <w:rFonts w:ascii="Arial" w:hAnsi="Arial" w:cs="Arial"/>
        </w:rPr>
        <w:t>Word limit: 1000 words.</w:t>
      </w:r>
    </w:p>
    <w:p w14:paraId="7BC1D08B" w14:textId="77777777" w:rsidR="00DE34ED" w:rsidRDefault="00980CA4" w:rsidP="00680E88">
      <w:pPr>
        <w:rPr>
          <w:rFonts w:ascii="Arial" w:hAnsi="Arial" w:cs="Arial"/>
        </w:rPr>
      </w:pPr>
      <w:r w:rsidRPr="00215A33">
        <w:rPr>
          <w:rFonts w:ascii="Arial" w:hAnsi="Arial" w:cs="Arial"/>
        </w:rPr>
        <w:t xml:space="preserve">Early intervention strategies aimed at preventing youth offending have gained increasing prominence </w:t>
      </w:r>
      <w:r w:rsidR="003A3D3F" w:rsidRPr="00215A33">
        <w:rPr>
          <w:rFonts w:ascii="Arial" w:hAnsi="Arial" w:cs="Arial"/>
        </w:rPr>
        <w:t>in policing in recent years</w:t>
      </w:r>
      <w:r w:rsidRPr="00215A33">
        <w:rPr>
          <w:rFonts w:ascii="Arial" w:hAnsi="Arial" w:cs="Arial"/>
        </w:rPr>
        <w:t xml:space="preserve">. </w:t>
      </w:r>
      <w:r w:rsidR="003A3D3F" w:rsidRPr="00215A33">
        <w:rPr>
          <w:rFonts w:ascii="Arial" w:hAnsi="Arial" w:cs="Arial"/>
        </w:rPr>
        <w:t>A growing</w:t>
      </w:r>
      <w:r w:rsidRPr="00215A33">
        <w:rPr>
          <w:rFonts w:ascii="Arial" w:hAnsi="Arial" w:cs="Arial"/>
        </w:rPr>
        <w:t xml:space="preserve"> understanding that early risk factors such as adverse childhood experiences</w:t>
      </w:r>
      <w:r w:rsidR="003A3D3F" w:rsidRPr="00215A33">
        <w:rPr>
          <w:rFonts w:ascii="Arial" w:hAnsi="Arial" w:cs="Arial"/>
        </w:rPr>
        <w:t xml:space="preserve"> (ACEs)</w:t>
      </w:r>
      <w:r w:rsidRPr="00215A33">
        <w:rPr>
          <w:rFonts w:ascii="Arial" w:hAnsi="Arial" w:cs="Arial"/>
        </w:rPr>
        <w:t xml:space="preserve">, family dysfunction, and poor school engagement can contribute to the </w:t>
      </w:r>
      <w:r w:rsidR="003A3D3F" w:rsidRPr="00215A33">
        <w:rPr>
          <w:rFonts w:ascii="Arial" w:hAnsi="Arial" w:cs="Arial"/>
        </w:rPr>
        <w:t>inception</w:t>
      </w:r>
      <w:r w:rsidRPr="00215A33">
        <w:rPr>
          <w:rFonts w:ascii="Arial" w:hAnsi="Arial" w:cs="Arial"/>
        </w:rPr>
        <w:t xml:space="preserve"> of criminal behaviour</w:t>
      </w:r>
      <w:r w:rsidR="003A3D3F" w:rsidRPr="00215A33">
        <w:rPr>
          <w:rFonts w:ascii="Arial" w:hAnsi="Arial" w:cs="Arial"/>
        </w:rPr>
        <w:t>. E</w:t>
      </w:r>
      <w:r w:rsidRPr="00215A33">
        <w:rPr>
          <w:rFonts w:ascii="Arial" w:hAnsi="Arial" w:cs="Arial"/>
        </w:rPr>
        <w:t xml:space="preserve">arly intervention seeks to disrupt the progression into </w:t>
      </w:r>
      <w:r w:rsidR="003A3D3F" w:rsidRPr="00215A33">
        <w:rPr>
          <w:rFonts w:ascii="Arial" w:hAnsi="Arial" w:cs="Arial"/>
        </w:rPr>
        <w:t>these criminal</w:t>
      </w:r>
      <w:r w:rsidRPr="00215A33">
        <w:rPr>
          <w:rFonts w:ascii="Arial" w:hAnsi="Arial" w:cs="Arial"/>
        </w:rPr>
        <w:t xml:space="preserve"> trajectories. </w:t>
      </w:r>
      <w:r w:rsidR="00D35D52" w:rsidRPr="00215A33">
        <w:rPr>
          <w:rFonts w:ascii="Arial" w:hAnsi="Arial" w:cs="Arial"/>
        </w:rPr>
        <w:t>This essay critically evaluates the effectiveness of early intervention in preventing youth offending and reoffending by drawing on academic literature and relevant case studies.</w:t>
      </w:r>
    </w:p>
    <w:p w14:paraId="07C169B5" w14:textId="6172233C" w:rsidR="0003021B" w:rsidRPr="00215A33" w:rsidRDefault="00980CA4" w:rsidP="00680E88">
      <w:pPr>
        <w:rPr>
          <w:rFonts w:ascii="Arial" w:hAnsi="Arial" w:cs="Arial"/>
        </w:rPr>
      </w:pPr>
      <w:r w:rsidRPr="00215A33">
        <w:rPr>
          <w:rFonts w:ascii="Arial" w:hAnsi="Arial" w:cs="Arial"/>
          <w:color w:val="FF0000"/>
        </w:rPr>
        <w:br/>
      </w:r>
      <w:r w:rsidRPr="00215A33">
        <w:rPr>
          <w:rFonts w:ascii="Arial" w:hAnsi="Arial" w:cs="Arial"/>
        </w:rPr>
        <w:t xml:space="preserve">Early intervention </w:t>
      </w:r>
      <w:r w:rsidR="003A3D3F" w:rsidRPr="00215A33">
        <w:rPr>
          <w:rFonts w:ascii="Arial" w:hAnsi="Arial" w:cs="Arial"/>
        </w:rPr>
        <w:t xml:space="preserve">works on the premise that </w:t>
      </w:r>
      <w:r w:rsidRPr="00215A33">
        <w:rPr>
          <w:rFonts w:ascii="Arial" w:hAnsi="Arial" w:cs="Arial"/>
        </w:rPr>
        <w:t>earl</w:t>
      </w:r>
      <w:r w:rsidR="003A3D3F" w:rsidRPr="00215A33">
        <w:rPr>
          <w:rFonts w:ascii="Arial" w:hAnsi="Arial" w:cs="Arial"/>
        </w:rPr>
        <w:t>y life</w:t>
      </w:r>
      <w:r w:rsidRPr="00215A33">
        <w:rPr>
          <w:rFonts w:ascii="Arial" w:hAnsi="Arial" w:cs="Arial"/>
        </w:rPr>
        <w:t xml:space="preserve"> risk factors</w:t>
      </w:r>
      <w:r w:rsidR="003A3D3F" w:rsidRPr="00215A33">
        <w:rPr>
          <w:rFonts w:ascii="Arial" w:hAnsi="Arial" w:cs="Arial"/>
        </w:rPr>
        <w:t xml:space="preserve"> can cause someone to seek or fall into crime</w:t>
      </w:r>
      <w:r w:rsidR="00D35D52" w:rsidRPr="00215A33">
        <w:rPr>
          <w:rFonts w:ascii="Arial" w:hAnsi="Arial" w:cs="Arial"/>
        </w:rPr>
        <w:t>.</w:t>
      </w:r>
      <w:r w:rsidR="003A3D3F" w:rsidRPr="00215A33">
        <w:rPr>
          <w:rFonts w:ascii="Arial" w:hAnsi="Arial" w:cs="Arial"/>
        </w:rPr>
        <w:t xml:space="preserve"> </w:t>
      </w:r>
      <w:r w:rsidR="00D35D52" w:rsidRPr="00215A33">
        <w:rPr>
          <w:rFonts w:ascii="Arial" w:hAnsi="Arial" w:cs="Arial"/>
        </w:rPr>
        <w:t>W</w:t>
      </w:r>
      <w:r w:rsidR="003A3D3F" w:rsidRPr="00215A33">
        <w:rPr>
          <w:rFonts w:ascii="Arial" w:hAnsi="Arial" w:cs="Arial"/>
        </w:rPr>
        <w:t>ith early intervention it is more likely that offending behaviour can be mitigated or prevented altogether</w:t>
      </w:r>
      <w:r w:rsidRPr="00215A33">
        <w:rPr>
          <w:rFonts w:ascii="Arial" w:hAnsi="Arial" w:cs="Arial"/>
        </w:rPr>
        <w:t xml:space="preserve"> (Farrington, 2003). Risk factors include individual, familial, and environmental influences, such as low school achievement, poor parental supervision, or exposure to violence (Hawkins et al, 1998). The central idea is that criminal behaviour is not inevitable but shaped by </w:t>
      </w:r>
      <w:r w:rsidR="003A3D3F" w:rsidRPr="00215A33">
        <w:rPr>
          <w:rFonts w:ascii="Arial" w:hAnsi="Arial" w:cs="Arial"/>
        </w:rPr>
        <w:t>environmental</w:t>
      </w:r>
      <w:r w:rsidRPr="00215A33">
        <w:rPr>
          <w:rFonts w:ascii="Arial" w:hAnsi="Arial" w:cs="Arial"/>
        </w:rPr>
        <w:t xml:space="preserve"> circumstance</w:t>
      </w:r>
      <w:r w:rsidR="003A3D3F" w:rsidRPr="00215A33">
        <w:rPr>
          <w:rFonts w:ascii="Arial" w:hAnsi="Arial" w:cs="Arial"/>
        </w:rPr>
        <w:t>s that can be altered to generate more positive outcomes</w:t>
      </w:r>
      <w:r w:rsidRPr="00215A33">
        <w:rPr>
          <w:rFonts w:ascii="Arial" w:hAnsi="Arial" w:cs="Arial"/>
        </w:rPr>
        <w:t>.</w:t>
      </w:r>
      <w:r w:rsidR="0041494D" w:rsidRPr="00215A33">
        <w:rPr>
          <w:rFonts w:ascii="Arial" w:hAnsi="Arial" w:cs="Arial"/>
        </w:rPr>
        <w:t xml:space="preserve"> </w:t>
      </w:r>
      <w:r w:rsidR="00971828" w:rsidRPr="00215A33">
        <w:rPr>
          <w:rFonts w:ascii="Arial" w:hAnsi="Arial" w:cs="Arial"/>
        </w:rPr>
        <w:t xml:space="preserve">Farrington &amp; Welsh, (2007) </w:t>
      </w:r>
      <w:r w:rsidR="00EB4313">
        <w:rPr>
          <w:rFonts w:ascii="Arial" w:hAnsi="Arial" w:cs="Arial"/>
        </w:rPr>
        <w:t>state</w:t>
      </w:r>
      <w:r w:rsidR="00971828" w:rsidRPr="00215A33">
        <w:rPr>
          <w:rFonts w:ascii="Arial" w:hAnsi="Arial" w:cs="Arial"/>
        </w:rPr>
        <w:t xml:space="preserve"> that effective intervention</w:t>
      </w:r>
      <w:r w:rsidR="0041494D" w:rsidRPr="00215A33">
        <w:rPr>
          <w:rFonts w:ascii="Arial" w:hAnsi="Arial" w:cs="Arial"/>
        </w:rPr>
        <w:t xml:space="preserve"> is a multi-faceted concept, and that the interconnected needs of the child must all be addressed.</w:t>
      </w:r>
      <w:r w:rsidR="00971828" w:rsidRPr="00215A33">
        <w:rPr>
          <w:rFonts w:ascii="Arial" w:hAnsi="Arial" w:cs="Arial"/>
        </w:rPr>
        <w:t xml:space="preserve"> </w:t>
      </w:r>
      <w:r w:rsidR="00D35D52" w:rsidRPr="00215A33">
        <w:rPr>
          <w:rFonts w:ascii="Arial" w:hAnsi="Arial" w:cs="Arial"/>
        </w:rPr>
        <w:t>They argue that knowing what early life risk factors to target can result in more effective interventions.</w:t>
      </w:r>
      <w:r w:rsidRPr="00215A33">
        <w:rPr>
          <w:rFonts w:ascii="Arial" w:hAnsi="Arial" w:cs="Arial"/>
          <w:color w:val="FF0000"/>
        </w:rPr>
        <w:br/>
      </w:r>
      <w:r w:rsidRPr="00215A33">
        <w:rPr>
          <w:rFonts w:ascii="Arial" w:hAnsi="Arial" w:cs="Arial"/>
          <w:color w:val="FF0000"/>
        </w:rPr>
        <w:br/>
      </w:r>
      <w:r w:rsidR="00E322D7" w:rsidRPr="00215A33">
        <w:rPr>
          <w:rFonts w:ascii="Arial" w:hAnsi="Arial" w:cs="Arial"/>
        </w:rPr>
        <w:t>T</w:t>
      </w:r>
      <w:r w:rsidR="00546742" w:rsidRPr="00215A33">
        <w:rPr>
          <w:rFonts w:ascii="Arial" w:hAnsi="Arial" w:cs="Arial"/>
        </w:rPr>
        <w:t xml:space="preserve">here are </w:t>
      </w:r>
      <w:proofErr w:type="gramStart"/>
      <w:r w:rsidR="00E322D7" w:rsidRPr="00215A33">
        <w:rPr>
          <w:rFonts w:ascii="Arial" w:hAnsi="Arial" w:cs="Arial"/>
        </w:rPr>
        <w:t>a number of</w:t>
      </w:r>
      <w:proofErr w:type="gramEnd"/>
      <w:r w:rsidR="00546742" w:rsidRPr="00215A33">
        <w:rPr>
          <w:rFonts w:ascii="Arial" w:hAnsi="Arial" w:cs="Arial"/>
        </w:rPr>
        <w:t xml:space="preserve"> methods for early intervention, </w:t>
      </w:r>
      <w:r w:rsidRPr="00215A33">
        <w:rPr>
          <w:rFonts w:ascii="Arial" w:hAnsi="Arial" w:cs="Arial"/>
        </w:rPr>
        <w:t>Family-focused interventions, such as Functional Family Therapy (FFT) and Multisystemic Therapy (MST)</w:t>
      </w:r>
      <w:r w:rsidR="00546742" w:rsidRPr="00215A33">
        <w:rPr>
          <w:rFonts w:ascii="Arial" w:hAnsi="Arial" w:cs="Arial"/>
        </w:rPr>
        <w:t>. H</w:t>
      </w:r>
      <w:r w:rsidRPr="00215A33">
        <w:rPr>
          <w:rFonts w:ascii="Arial" w:hAnsi="Arial" w:cs="Arial"/>
        </w:rPr>
        <w:t xml:space="preserve">ave </w:t>
      </w:r>
      <w:r w:rsidR="00680E88" w:rsidRPr="00215A33">
        <w:rPr>
          <w:rFonts w:ascii="Arial" w:hAnsi="Arial" w:cs="Arial"/>
        </w:rPr>
        <w:t>demonstrated effectiveness in reducing youth offending, particularly among high-risk adolescents already involved in the criminal justice system. These interventions interact with multiple environments namely family, peer groups, education and the wider community (</w:t>
      </w:r>
      <w:proofErr w:type="spellStart"/>
      <w:r w:rsidR="00680E88" w:rsidRPr="00215A33">
        <w:rPr>
          <w:rFonts w:ascii="Arial" w:hAnsi="Arial" w:cs="Arial"/>
        </w:rPr>
        <w:t>Henggleler</w:t>
      </w:r>
      <w:proofErr w:type="spellEnd"/>
      <w:r w:rsidR="00680E88" w:rsidRPr="00215A33">
        <w:rPr>
          <w:rFonts w:ascii="Arial" w:hAnsi="Arial" w:cs="Arial"/>
        </w:rPr>
        <w:t xml:space="preserve"> et al, 2009).</w:t>
      </w:r>
    </w:p>
    <w:p w14:paraId="4D78C0BB" w14:textId="3529BCBC" w:rsidR="00680E88" w:rsidRPr="00215A33" w:rsidRDefault="0003021B" w:rsidP="00680E88">
      <w:pPr>
        <w:rPr>
          <w:rFonts w:ascii="Arial" w:hAnsi="Arial" w:cs="Arial"/>
        </w:rPr>
      </w:pPr>
      <w:r w:rsidRPr="00215A33">
        <w:rPr>
          <w:rFonts w:ascii="Arial" w:hAnsi="Arial" w:cs="Arial"/>
        </w:rPr>
        <w:t>MST is a home-based intervention that focuses on not only working with the child but the care givers, school staff and community figure</w:t>
      </w:r>
      <w:r w:rsidR="00374C2B" w:rsidRPr="00215A33">
        <w:rPr>
          <w:rFonts w:ascii="Arial" w:hAnsi="Arial" w:cs="Arial"/>
        </w:rPr>
        <w:t>s</w:t>
      </w:r>
      <w:r w:rsidRPr="00215A33">
        <w:rPr>
          <w:rFonts w:ascii="Arial" w:hAnsi="Arial" w:cs="Arial"/>
        </w:rPr>
        <w:t xml:space="preserve"> also. Data has shown MST to be an effective model of intervention, reducing reoffending by 42% (Stouwe et al, 2014). As well those who used MST had a significantly lower chance of re</w:t>
      </w:r>
      <w:r w:rsidR="00374C2B" w:rsidRPr="00215A33">
        <w:rPr>
          <w:rFonts w:ascii="Arial" w:hAnsi="Arial" w:cs="Arial"/>
        </w:rPr>
        <w:t>-</w:t>
      </w:r>
      <w:r w:rsidRPr="00215A33">
        <w:rPr>
          <w:rFonts w:ascii="Arial" w:hAnsi="Arial" w:cs="Arial"/>
        </w:rPr>
        <w:t>arrest at 25% compared to 50% in the control group (</w:t>
      </w:r>
      <w:proofErr w:type="spellStart"/>
      <w:r w:rsidRPr="00215A33">
        <w:rPr>
          <w:rFonts w:ascii="Arial" w:hAnsi="Arial" w:cs="Arial"/>
        </w:rPr>
        <w:t>Henggleler</w:t>
      </w:r>
      <w:proofErr w:type="spellEnd"/>
      <w:r w:rsidRPr="00215A33">
        <w:rPr>
          <w:rFonts w:ascii="Arial" w:hAnsi="Arial" w:cs="Arial"/>
        </w:rPr>
        <w:t xml:space="preserve"> et al, 2009).  </w:t>
      </w:r>
    </w:p>
    <w:p w14:paraId="61A9DEAF" w14:textId="360CBC89" w:rsidR="00024DA5" w:rsidRPr="00215A33" w:rsidRDefault="0003021B" w:rsidP="00680E88">
      <w:pPr>
        <w:rPr>
          <w:rFonts w:ascii="Arial" w:hAnsi="Arial" w:cs="Arial"/>
        </w:rPr>
      </w:pPr>
      <w:r w:rsidRPr="00215A33">
        <w:rPr>
          <w:rFonts w:ascii="Arial" w:hAnsi="Arial" w:cs="Arial"/>
        </w:rPr>
        <w:t xml:space="preserve">Similarly, FFT has seen similar success, targeting children aged 11 – 18 with moderate to severe behavioural problems and focusing on improving family communication, parenting practices and conflict resolution. It is reported that FFT has led to reductions to a 20% to 60% reduction in reoffending </w:t>
      </w:r>
      <w:r w:rsidR="00374C2B" w:rsidRPr="00215A33">
        <w:rPr>
          <w:rFonts w:ascii="Arial" w:hAnsi="Arial" w:cs="Arial"/>
        </w:rPr>
        <w:t xml:space="preserve">depending on geographical location and the fidelity of the programme </w:t>
      </w:r>
      <w:r w:rsidRPr="00215A33">
        <w:rPr>
          <w:rFonts w:ascii="Arial" w:hAnsi="Arial" w:cs="Arial"/>
        </w:rPr>
        <w:t>(Alexander et al, 2013).</w:t>
      </w:r>
      <w:r w:rsidR="00024DA5" w:rsidRPr="00215A33">
        <w:rPr>
          <w:rFonts w:ascii="Arial" w:hAnsi="Arial" w:cs="Arial"/>
        </w:rPr>
        <w:t xml:space="preserve"> </w:t>
      </w:r>
      <w:r w:rsidR="00DF17CA" w:rsidRPr="00215A33">
        <w:rPr>
          <w:rFonts w:ascii="Arial" w:hAnsi="Arial" w:cs="Arial"/>
        </w:rPr>
        <w:t>As well financial benefits are also seen, as MST and FFT produced returns of several dollars for every dollar invested (Aos et al, 2004). Investing early may be more economical than dealing with the consequences of persistent offending</w:t>
      </w:r>
      <w:r w:rsidR="00374C2B" w:rsidRPr="00215A33">
        <w:rPr>
          <w:rFonts w:ascii="Arial" w:hAnsi="Arial" w:cs="Arial"/>
        </w:rPr>
        <w:t xml:space="preserve"> and incarceration</w:t>
      </w:r>
      <w:r w:rsidR="00DF17CA" w:rsidRPr="00215A33">
        <w:rPr>
          <w:rFonts w:ascii="Arial" w:hAnsi="Arial" w:cs="Arial"/>
        </w:rPr>
        <w:t>.</w:t>
      </w:r>
    </w:p>
    <w:p w14:paraId="0E896D16" w14:textId="17EA7482" w:rsidR="00E44C4E" w:rsidRPr="00215A33" w:rsidRDefault="00024DA5" w:rsidP="00AE7F1F">
      <w:pPr>
        <w:rPr>
          <w:rFonts w:ascii="Arial" w:hAnsi="Arial" w:cs="Arial"/>
        </w:rPr>
      </w:pPr>
      <w:r w:rsidRPr="00215A33">
        <w:rPr>
          <w:rFonts w:ascii="Arial" w:hAnsi="Arial" w:cs="Arial"/>
        </w:rPr>
        <w:t xml:space="preserve">Both MST and FFT stand out for their cost effectiveness and </w:t>
      </w:r>
      <w:r w:rsidR="00374C2B" w:rsidRPr="00215A33">
        <w:rPr>
          <w:rFonts w:ascii="Arial" w:hAnsi="Arial" w:cs="Arial"/>
        </w:rPr>
        <w:t>positive outcomes</w:t>
      </w:r>
      <w:r w:rsidRPr="00215A33">
        <w:rPr>
          <w:rFonts w:ascii="Arial" w:hAnsi="Arial" w:cs="Arial"/>
        </w:rPr>
        <w:t xml:space="preserve">. However, that does not mean they do not have their own criticisms. </w:t>
      </w:r>
      <w:r w:rsidR="002421BF" w:rsidRPr="00215A33">
        <w:rPr>
          <w:rFonts w:ascii="Arial" w:hAnsi="Arial" w:cs="Arial"/>
        </w:rPr>
        <w:t>Littell</w:t>
      </w:r>
      <w:r w:rsidRPr="00215A33">
        <w:rPr>
          <w:rFonts w:ascii="Arial" w:hAnsi="Arial" w:cs="Arial"/>
        </w:rPr>
        <w:t xml:space="preserve"> (2005) argues there is little </w:t>
      </w:r>
      <w:r w:rsidRPr="00215A33">
        <w:rPr>
          <w:rFonts w:ascii="Arial" w:hAnsi="Arial" w:cs="Arial"/>
        </w:rPr>
        <w:lastRenderedPageBreak/>
        <w:t xml:space="preserve">long-term data to determine the success of these programmes. </w:t>
      </w:r>
      <w:proofErr w:type="gramStart"/>
      <w:r w:rsidRPr="00215A33">
        <w:rPr>
          <w:rFonts w:ascii="Arial" w:hAnsi="Arial" w:cs="Arial"/>
        </w:rPr>
        <w:t>The majority of</w:t>
      </w:r>
      <w:proofErr w:type="gramEnd"/>
      <w:r w:rsidRPr="00215A33">
        <w:rPr>
          <w:rFonts w:ascii="Arial" w:hAnsi="Arial" w:cs="Arial"/>
        </w:rPr>
        <w:t xml:space="preserve"> studies only measure reoffending results </w:t>
      </w:r>
      <w:r w:rsidR="00DF17CA" w:rsidRPr="00215A33">
        <w:rPr>
          <w:rFonts w:ascii="Arial" w:hAnsi="Arial" w:cs="Arial"/>
        </w:rPr>
        <w:t xml:space="preserve">within </w:t>
      </w:r>
      <w:r w:rsidRPr="00215A33">
        <w:rPr>
          <w:rFonts w:ascii="Arial" w:hAnsi="Arial" w:cs="Arial"/>
        </w:rPr>
        <w:t>one to two years</w:t>
      </w:r>
      <w:r w:rsidR="00374C2B" w:rsidRPr="00215A33">
        <w:rPr>
          <w:rFonts w:ascii="Arial" w:hAnsi="Arial" w:cs="Arial"/>
        </w:rPr>
        <w:t xml:space="preserve"> of participation</w:t>
      </w:r>
      <w:r w:rsidRPr="00215A33">
        <w:rPr>
          <w:rFonts w:ascii="Arial" w:hAnsi="Arial" w:cs="Arial"/>
        </w:rPr>
        <w:t>, which may not reflect the long term</w:t>
      </w:r>
      <w:r w:rsidR="00DF17CA" w:rsidRPr="00215A33">
        <w:rPr>
          <w:rFonts w:ascii="Arial" w:hAnsi="Arial" w:cs="Arial"/>
        </w:rPr>
        <w:t xml:space="preserve"> impacts this method causes. As well criticisms have been made </w:t>
      </w:r>
      <w:proofErr w:type="gramStart"/>
      <w:r w:rsidR="00DF17CA" w:rsidRPr="00215A33">
        <w:rPr>
          <w:rFonts w:ascii="Arial" w:hAnsi="Arial" w:cs="Arial"/>
        </w:rPr>
        <w:t>in regards to</w:t>
      </w:r>
      <w:proofErr w:type="gramEnd"/>
      <w:r w:rsidR="00DF17CA" w:rsidRPr="00215A33">
        <w:rPr>
          <w:rFonts w:ascii="Arial" w:hAnsi="Arial" w:cs="Arial"/>
        </w:rPr>
        <w:t xml:space="preserve"> access, with family focused interventions requiring </w:t>
      </w:r>
      <w:r w:rsidR="00374C2B" w:rsidRPr="00215A33">
        <w:rPr>
          <w:rFonts w:ascii="Arial" w:hAnsi="Arial" w:cs="Arial"/>
        </w:rPr>
        <w:t xml:space="preserve">highly trained </w:t>
      </w:r>
      <w:r w:rsidR="00DF17CA" w:rsidRPr="00215A33">
        <w:rPr>
          <w:rFonts w:ascii="Arial" w:hAnsi="Arial" w:cs="Arial"/>
        </w:rPr>
        <w:t>skilled staff with around the clock availability</w:t>
      </w:r>
      <w:r w:rsidR="00374C2B" w:rsidRPr="00215A33">
        <w:rPr>
          <w:rFonts w:ascii="Arial" w:hAnsi="Arial" w:cs="Arial"/>
        </w:rPr>
        <w:t>, many at risk youths may not have access to this method of intervention,</w:t>
      </w:r>
      <w:r w:rsidR="00DF17CA" w:rsidRPr="00215A33">
        <w:rPr>
          <w:rFonts w:ascii="Arial" w:hAnsi="Arial" w:cs="Arial"/>
        </w:rPr>
        <w:t xml:space="preserve"> leaving many unable to benefit from family focussed interventions (Sheehan, 2012).</w:t>
      </w:r>
      <w:r w:rsidR="00E44C4E" w:rsidRPr="00215A33">
        <w:rPr>
          <w:rFonts w:ascii="Arial" w:hAnsi="Arial" w:cs="Arial"/>
        </w:rPr>
        <w:t xml:space="preserve"> </w:t>
      </w:r>
      <w:r w:rsidR="00834573" w:rsidRPr="00215A33">
        <w:rPr>
          <w:rFonts w:ascii="Arial" w:hAnsi="Arial" w:cs="Arial"/>
        </w:rPr>
        <w:t>Furthermore,</w:t>
      </w:r>
      <w:r w:rsidR="00E44C4E" w:rsidRPr="00215A33">
        <w:rPr>
          <w:rFonts w:ascii="Arial" w:hAnsi="Arial" w:cs="Arial"/>
        </w:rPr>
        <w:t xml:space="preserve"> </w:t>
      </w:r>
      <w:r w:rsidR="00834573" w:rsidRPr="00215A33">
        <w:rPr>
          <w:rFonts w:ascii="Arial" w:hAnsi="Arial" w:cs="Arial"/>
        </w:rPr>
        <w:t>r</w:t>
      </w:r>
      <w:r w:rsidR="00E44C4E" w:rsidRPr="00215A33">
        <w:rPr>
          <w:rFonts w:ascii="Arial" w:hAnsi="Arial" w:cs="Arial"/>
        </w:rPr>
        <w:t>esearch indicates that poorly implemented programmes can fail to deliver anticipated outcomes or even have counterproductive effects (Fixsen et al., 2005). For instance, if practitioners are not adequately trained or if programme delivery is inconsistent, participants may not benefit and may disengage. Successful early intervention requires well-resourced, evidence-informed programmes delivered by skilled professionals in a multi-agency context.</w:t>
      </w:r>
      <w:r w:rsidR="00374C2B" w:rsidRPr="00215A33">
        <w:rPr>
          <w:rFonts w:ascii="Arial" w:hAnsi="Arial" w:cs="Arial"/>
        </w:rPr>
        <w:t xml:space="preserve"> </w:t>
      </w:r>
    </w:p>
    <w:p w14:paraId="2BECBD7B" w14:textId="3518ABF4" w:rsidR="00374C2B" w:rsidRPr="00215A33" w:rsidRDefault="00DF17CA" w:rsidP="00AE7F1F">
      <w:pPr>
        <w:rPr>
          <w:rFonts w:ascii="Arial" w:hAnsi="Arial" w:cs="Arial"/>
        </w:rPr>
      </w:pPr>
      <w:r w:rsidRPr="00215A33">
        <w:rPr>
          <w:rFonts w:ascii="Arial" w:hAnsi="Arial" w:cs="Arial"/>
        </w:rPr>
        <w:t xml:space="preserve">Although there is evidence of the </w:t>
      </w:r>
      <w:r w:rsidR="00374C2B" w:rsidRPr="00215A33">
        <w:rPr>
          <w:rFonts w:ascii="Arial" w:hAnsi="Arial" w:cs="Arial"/>
        </w:rPr>
        <w:t>short-term</w:t>
      </w:r>
      <w:r w:rsidRPr="00215A33">
        <w:rPr>
          <w:rFonts w:ascii="Arial" w:hAnsi="Arial" w:cs="Arial"/>
        </w:rPr>
        <w:t xml:space="preserve"> effectiveness of FFT and MST, there is speculation on the </w:t>
      </w:r>
      <w:r w:rsidR="00374C2B" w:rsidRPr="00215A33">
        <w:rPr>
          <w:rFonts w:ascii="Arial" w:hAnsi="Arial" w:cs="Arial"/>
        </w:rPr>
        <w:t>long-term</w:t>
      </w:r>
      <w:r w:rsidRPr="00215A33">
        <w:rPr>
          <w:rFonts w:ascii="Arial" w:hAnsi="Arial" w:cs="Arial"/>
        </w:rPr>
        <w:t xml:space="preserve"> effects this has and concerns around how accessible and feasible this could be applied to a larger population.</w:t>
      </w:r>
      <w:r w:rsidR="00374C2B" w:rsidRPr="00215A33">
        <w:rPr>
          <w:rFonts w:ascii="Arial" w:hAnsi="Arial" w:cs="Arial"/>
        </w:rPr>
        <w:t xml:space="preserve"> However, the short-term success does highlight that early interventions can be an effective method for the prevention of offending and reoffending.</w:t>
      </w:r>
    </w:p>
    <w:p w14:paraId="0109E5AE" w14:textId="1DF402B5" w:rsidR="00E44C4E" w:rsidRPr="00215A33" w:rsidRDefault="002421BF" w:rsidP="000C701A">
      <w:pPr>
        <w:rPr>
          <w:rFonts w:ascii="Arial" w:hAnsi="Arial" w:cs="Arial"/>
        </w:rPr>
      </w:pPr>
      <w:r w:rsidRPr="00215A33">
        <w:rPr>
          <w:rFonts w:ascii="Arial" w:hAnsi="Arial" w:cs="Arial"/>
        </w:rPr>
        <w:t>Case studies provide valuable insight into both the promise and complexity of early intervention. A prominent example is that of the Youth Inclusion Panel (YIP). This programme was piloted across several disadvantaged areas in England and Wales offering a multiagency approach combining youth work, mentoring, educational support and diversionary activities (Youth Justic Board, 2005).</w:t>
      </w:r>
      <w:r w:rsidR="00614195" w:rsidRPr="00215A33">
        <w:rPr>
          <w:rFonts w:ascii="Arial" w:hAnsi="Arial" w:cs="Arial"/>
        </w:rPr>
        <w:t xml:space="preserve"> An initial evaluation provided promising results with a 65% reduction in arrest rates among YIP participants (Youth Justice Board, 2005). This showed a great potential to disrupt the offending trajectory of YIP participants.  However, further reviews of YIP revealed its effectiveness would greatly differ depending in the quality of its implementation and resource allocation (Smith et al, 2012). Moreover, challenges were </w:t>
      </w:r>
      <w:r w:rsidR="00374C2B" w:rsidRPr="00215A33">
        <w:rPr>
          <w:rFonts w:ascii="Arial" w:hAnsi="Arial" w:cs="Arial"/>
        </w:rPr>
        <w:t>raised</w:t>
      </w:r>
      <w:r w:rsidR="00614195" w:rsidRPr="00215A33">
        <w:rPr>
          <w:rFonts w:ascii="Arial" w:hAnsi="Arial" w:cs="Arial"/>
        </w:rPr>
        <w:t xml:space="preserve"> in the identification and engagement </w:t>
      </w:r>
      <w:r w:rsidR="000C701A" w:rsidRPr="00215A33">
        <w:rPr>
          <w:rFonts w:ascii="Arial" w:hAnsi="Arial" w:cs="Arial"/>
        </w:rPr>
        <w:t xml:space="preserve">of the highest risk youths. In some cases, children with the greatest needs were either not referred </w:t>
      </w:r>
      <w:r w:rsidR="00374C2B" w:rsidRPr="00215A33">
        <w:rPr>
          <w:rFonts w:ascii="Arial" w:hAnsi="Arial" w:cs="Arial"/>
        </w:rPr>
        <w:t xml:space="preserve">to the programme </w:t>
      </w:r>
      <w:r w:rsidR="000C701A" w:rsidRPr="00215A33">
        <w:rPr>
          <w:rFonts w:ascii="Arial" w:hAnsi="Arial" w:cs="Arial"/>
        </w:rPr>
        <w:t xml:space="preserve">or were deemed </w:t>
      </w:r>
      <w:r w:rsidR="00374C2B" w:rsidRPr="00215A33">
        <w:rPr>
          <w:rFonts w:ascii="Arial" w:hAnsi="Arial" w:cs="Arial"/>
        </w:rPr>
        <w:t>too</w:t>
      </w:r>
      <w:r w:rsidR="000C701A" w:rsidRPr="00215A33">
        <w:rPr>
          <w:rFonts w:ascii="Arial" w:hAnsi="Arial" w:cs="Arial"/>
        </w:rPr>
        <w:t xml:space="preserve"> difficult to participate in YIP due to their chaotic lifestyles and mistrust of services (Smith et al, 2012). </w:t>
      </w:r>
      <w:r w:rsidR="00AC0D8C" w:rsidRPr="00215A33">
        <w:rPr>
          <w:rFonts w:ascii="Arial" w:hAnsi="Arial" w:cs="Arial"/>
        </w:rPr>
        <w:t>Overall,</w:t>
      </w:r>
      <w:r w:rsidR="000C701A" w:rsidRPr="00215A33">
        <w:rPr>
          <w:rFonts w:ascii="Arial" w:hAnsi="Arial" w:cs="Arial"/>
        </w:rPr>
        <w:t xml:space="preserve"> the YIP case study shows that early intervention has a demonstratable potential to prevent offending and reoffending, but also how for success there must be cooperation from the youth, their family and adequate support and application from the programme itself.</w:t>
      </w:r>
    </w:p>
    <w:p w14:paraId="0B1D0BFA" w14:textId="5882D60A" w:rsidR="00980CA4" w:rsidRPr="00215A33" w:rsidRDefault="00980CA4" w:rsidP="000C701A">
      <w:pPr>
        <w:rPr>
          <w:rFonts w:ascii="Arial" w:hAnsi="Arial" w:cs="Arial"/>
        </w:rPr>
      </w:pPr>
      <w:r w:rsidRPr="00215A33">
        <w:rPr>
          <w:rFonts w:ascii="Arial" w:hAnsi="Arial" w:cs="Arial"/>
          <w:color w:val="FF0000"/>
        </w:rPr>
        <w:br/>
      </w:r>
      <w:r w:rsidRPr="00215A33">
        <w:rPr>
          <w:rFonts w:ascii="Arial" w:hAnsi="Arial" w:cs="Arial"/>
        </w:rPr>
        <w:t xml:space="preserve">In conclusion, early intervention offers a valuable means of preventing youth offending and reoffending, particularly when it is timely, targeted, and </w:t>
      </w:r>
      <w:r w:rsidR="000C701A" w:rsidRPr="00215A33">
        <w:rPr>
          <w:rFonts w:ascii="Arial" w:hAnsi="Arial" w:cs="Arial"/>
        </w:rPr>
        <w:t>evidence based</w:t>
      </w:r>
      <w:r w:rsidRPr="00215A33">
        <w:rPr>
          <w:rFonts w:ascii="Arial" w:hAnsi="Arial" w:cs="Arial"/>
        </w:rPr>
        <w:t xml:space="preserve">. Family </w:t>
      </w:r>
      <w:r w:rsidR="000C701A" w:rsidRPr="00215A33">
        <w:rPr>
          <w:rFonts w:ascii="Arial" w:hAnsi="Arial" w:cs="Arial"/>
        </w:rPr>
        <w:t xml:space="preserve">based </w:t>
      </w:r>
      <w:r w:rsidRPr="00215A33">
        <w:rPr>
          <w:rFonts w:ascii="Arial" w:hAnsi="Arial" w:cs="Arial"/>
        </w:rPr>
        <w:t xml:space="preserve">programmes </w:t>
      </w:r>
      <w:r w:rsidR="000C701A" w:rsidRPr="00215A33">
        <w:rPr>
          <w:rFonts w:ascii="Arial" w:hAnsi="Arial" w:cs="Arial"/>
        </w:rPr>
        <w:t xml:space="preserve">such as FFT and MST </w:t>
      </w:r>
      <w:r w:rsidRPr="00215A33">
        <w:rPr>
          <w:rFonts w:ascii="Arial" w:hAnsi="Arial" w:cs="Arial"/>
        </w:rPr>
        <w:t xml:space="preserve">have demonstrated </w:t>
      </w:r>
      <w:r w:rsidR="000C701A" w:rsidRPr="00215A33">
        <w:rPr>
          <w:rFonts w:ascii="Arial" w:hAnsi="Arial" w:cs="Arial"/>
        </w:rPr>
        <w:t xml:space="preserve">their </w:t>
      </w:r>
      <w:r w:rsidRPr="00215A33">
        <w:rPr>
          <w:rFonts w:ascii="Arial" w:hAnsi="Arial" w:cs="Arial"/>
        </w:rPr>
        <w:t xml:space="preserve">effectiveness in reducing behavioural problems and promoting social development. However, the success of these interventions </w:t>
      </w:r>
      <w:r w:rsidR="001E7849" w:rsidRPr="00215A33">
        <w:rPr>
          <w:rFonts w:ascii="Arial" w:hAnsi="Arial" w:cs="Arial"/>
        </w:rPr>
        <w:t>must be carefully administered with</w:t>
      </w:r>
      <w:r w:rsidRPr="00215A33">
        <w:rPr>
          <w:rFonts w:ascii="Arial" w:hAnsi="Arial" w:cs="Arial"/>
        </w:rPr>
        <w:t xml:space="preserve"> </w:t>
      </w:r>
      <w:r w:rsidR="007030E9" w:rsidRPr="00215A33">
        <w:rPr>
          <w:rFonts w:ascii="Arial" w:hAnsi="Arial" w:cs="Arial"/>
        </w:rPr>
        <w:t>strong levels of fidelity</w:t>
      </w:r>
      <w:r w:rsidRPr="00215A33">
        <w:rPr>
          <w:rFonts w:ascii="Arial" w:hAnsi="Arial" w:cs="Arial"/>
        </w:rPr>
        <w:t>, adequate resources, and ethical considerations. While not a universal solution</w:t>
      </w:r>
      <w:r w:rsidR="001E7849" w:rsidRPr="00215A33">
        <w:rPr>
          <w:rFonts w:ascii="Arial" w:hAnsi="Arial" w:cs="Arial"/>
        </w:rPr>
        <w:t xml:space="preserve"> for all and at times counterproductive</w:t>
      </w:r>
      <w:r w:rsidRPr="00215A33">
        <w:rPr>
          <w:rFonts w:ascii="Arial" w:hAnsi="Arial" w:cs="Arial"/>
        </w:rPr>
        <w:t>, early intervention represents a proactive approach that, when integrated with broader structural reforms, can make a meaningful contribution to reducing youth crime.</w:t>
      </w:r>
    </w:p>
    <w:p w14:paraId="0473A833" w14:textId="1E3D5FE6" w:rsidR="00980CA4" w:rsidRPr="00215A33" w:rsidRDefault="00980CA4" w:rsidP="00AE7F1F">
      <w:pPr>
        <w:rPr>
          <w:rFonts w:ascii="Arial" w:hAnsi="Arial" w:cs="Arial"/>
        </w:rPr>
      </w:pPr>
      <w:r w:rsidRPr="00215A33">
        <w:rPr>
          <w:rFonts w:ascii="Arial" w:hAnsi="Arial" w:cs="Arial"/>
          <w:b/>
          <w:bCs/>
        </w:rPr>
        <w:t>Word Count:</w:t>
      </w:r>
      <w:r w:rsidRPr="00215A33">
        <w:rPr>
          <w:rFonts w:ascii="Arial" w:hAnsi="Arial" w:cs="Arial"/>
        </w:rPr>
        <w:t xml:space="preserve"> </w:t>
      </w:r>
      <w:r w:rsidR="001E7849" w:rsidRPr="00215A33">
        <w:rPr>
          <w:rFonts w:ascii="Arial" w:hAnsi="Arial" w:cs="Arial"/>
        </w:rPr>
        <w:t>961</w:t>
      </w:r>
    </w:p>
    <w:p w14:paraId="72E0BCE9" w14:textId="77777777" w:rsidR="00D46CE8" w:rsidRPr="00215A33" w:rsidRDefault="00AE7F1F" w:rsidP="00AE7F1F">
      <w:pPr>
        <w:rPr>
          <w:rFonts w:ascii="Arial" w:hAnsi="Arial" w:cs="Arial"/>
          <w:b/>
          <w:bCs/>
          <w:u w:val="single"/>
        </w:rPr>
      </w:pPr>
      <w:r w:rsidRPr="00215A33">
        <w:rPr>
          <w:rFonts w:ascii="Arial" w:hAnsi="Arial" w:cs="Arial"/>
          <w:b/>
          <w:bCs/>
          <w:u w:val="single"/>
        </w:rPr>
        <w:br/>
      </w:r>
    </w:p>
    <w:p w14:paraId="798854E3" w14:textId="77777777" w:rsidR="00D46CE8" w:rsidRPr="00215A33" w:rsidRDefault="00D46CE8" w:rsidP="00AE7F1F">
      <w:pPr>
        <w:rPr>
          <w:rFonts w:ascii="Arial" w:hAnsi="Arial" w:cs="Arial"/>
          <w:b/>
          <w:bCs/>
          <w:u w:val="single"/>
        </w:rPr>
      </w:pPr>
    </w:p>
    <w:p w14:paraId="314AEA7D" w14:textId="77777777" w:rsidR="00DE34ED" w:rsidRDefault="00DE34ED" w:rsidP="00AE7F1F">
      <w:pPr>
        <w:rPr>
          <w:rFonts w:ascii="Arial" w:hAnsi="Arial" w:cs="Arial"/>
          <w:b/>
          <w:bCs/>
          <w:u w:val="single"/>
        </w:rPr>
      </w:pPr>
    </w:p>
    <w:p w14:paraId="0EEB9FBA" w14:textId="16A41F21" w:rsidR="00AE7F1F" w:rsidRPr="00215A33" w:rsidRDefault="00AE7F1F" w:rsidP="00AE7F1F">
      <w:pPr>
        <w:rPr>
          <w:rFonts w:ascii="Arial" w:hAnsi="Arial" w:cs="Arial"/>
          <w:color w:val="FF0000"/>
        </w:rPr>
      </w:pPr>
      <w:r w:rsidRPr="00215A33">
        <w:rPr>
          <w:rFonts w:ascii="Arial" w:hAnsi="Arial" w:cs="Arial"/>
          <w:b/>
          <w:bCs/>
          <w:u w:val="single"/>
        </w:rPr>
        <w:lastRenderedPageBreak/>
        <w:t>Bibliography</w:t>
      </w:r>
    </w:p>
    <w:p w14:paraId="310FE9DC" w14:textId="4B5E7849" w:rsidR="00024DA5" w:rsidRPr="00215A33" w:rsidRDefault="0003021B" w:rsidP="00257FE6">
      <w:pPr>
        <w:pStyle w:val="ListParagraph"/>
        <w:numPr>
          <w:ilvl w:val="0"/>
          <w:numId w:val="6"/>
        </w:numPr>
        <w:spacing w:after="0" w:line="240" w:lineRule="auto"/>
        <w:rPr>
          <w:rFonts w:ascii="Arial" w:eastAsia="Times New Roman" w:hAnsi="Arial" w:cs="Arial"/>
          <w:kern w:val="0"/>
          <w:lang w:eastAsia="en-GB"/>
          <w14:ligatures w14:val="none"/>
        </w:rPr>
      </w:pPr>
      <w:r w:rsidRPr="00215A33">
        <w:rPr>
          <w:rFonts w:ascii="Arial" w:eastAsia="Times New Roman" w:hAnsi="Arial" w:cs="Arial"/>
          <w:kern w:val="0"/>
          <w:lang w:eastAsia="en-GB"/>
          <w14:ligatures w14:val="none"/>
        </w:rPr>
        <w:t>Alexa</w:t>
      </w:r>
      <w:r w:rsidR="00024DA5" w:rsidRPr="00215A33">
        <w:rPr>
          <w:rFonts w:ascii="Arial" w:eastAsia="Times New Roman" w:hAnsi="Arial" w:cs="Arial"/>
          <w:kern w:val="0"/>
          <w:lang w:eastAsia="en-GB"/>
          <w14:ligatures w14:val="none"/>
        </w:rPr>
        <w:t>n</w:t>
      </w:r>
      <w:r w:rsidRPr="00215A33">
        <w:rPr>
          <w:rFonts w:ascii="Arial" w:eastAsia="Times New Roman" w:hAnsi="Arial" w:cs="Arial"/>
          <w:kern w:val="0"/>
          <w:lang w:eastAsia="en-GB"/>
          <w14:ligatures w14:val="none"/>
        </w:rPr>
        <w:t>der</w:t>
      </w:r>
      <w:r w:rsidR="00024DA5" w:rsidRPr="00215A33">
        <w:rPr>
          <w:rFonts w:ascii="Arial" w:eastAsia="Times New Roman" w:hAnsi="Arial" w:cs="Arial"/>
          <w:kern w:val="0"/>
          <w:lang w:eastAsia="en-GB"/>
          <w14:ligatures w14:val="none"/>
        </w:rPr>
        <w:t xml:space="preserve">, J.F. Waldron, H.B. Robbins, M.S. and Need, A.A. (2013) </w:t>
      </w:r>
      <w:r w:rsidR="00024DA5" w:rsidRPr="00215A33">
        <w:rPr>
          <w:rFonts w:ascii="Arial" w:eastAsia="Times New Roman" w:hAnsi="Arial" w:cs="Arial"/>
          <w:i/>
          <w:iCs/>
          <w:kern w:val="0"/>
          <w:lang w:eastAsia="en-GB"/>
          <w14:ligatures w14:val="none"/>
        </w:rPr>
        <w:t xml:space="preserve">Functional Family Therapy for adolescent behaviour problems. </w:t>
      </w:r>
      <w:r w:rsidR="00024DA5" w:rsidRPr="00215A33">
        <w:rPr>
          <w:rFonts w:ascii="Arial" w:eastAsia="Times New Roman" w:hAnsi="Arial" w:cs="Arial"/>
          <w:kern w:val="0"/>
          <w:lang w:eastAsia="en-GB"/>
          <w14:ligatures w14:val="none"/>
        </w:rPr>
        <w:t>Washington DC; American Psychological Association.</w:t>
      </w:r>
    </w:p>
    <w:p w14:paraId="0F9006C9" w14:textId="772A6920" w:rsidR="00FF1B4B" w:rsidRPr="00215A33" w:rsidRDefault="00FF1B4B" w:rsidP="00257FE6">
      <w:pPr>
        <w:pStyle w:val="ListParagraph"/>
        <w:numPr>
          <w:ilvl w:val="0"/>
          <w:numId w:val="6"/>
        </w:numPr>
        <w:spacing w:after="0" w:line="240" w:lineRule="auto"/>
        <w:rPr>
          <w:rFonts w:ascii="Arial" w:eastAsia="Times New Roman" w:hAnsi="Arial" w:cs="Arial"/>
          <w:kern w:val="0"/>
          <w:lang w:eastAsia="en-GB"/>
          <w14:ligatures w14:val="none"/>
        </w:rPr>
      </w:pPr>
      <w:r w:rsidRPr="00215A33">
        <w:rPr>
          <w:rFonts w:ascii="Arial" w:eastAsia="Times New Roman" w:hAnsi="Arial" w:cs="Arial"/>
          <w:kern w:val="0"/>
          <w:lang w:eastAsia="en-GB"/>
          <w14:ligatures w14:val="none"/>
        </w:rPr>
        <w:t xml:space="preserve">American Psychiatric Association (2013) </w:t>
      </w:r>
      <w:r w:rsidRPr="00215A33">
        <w:rPr>
          <w:rFonts w:ascii="Arial" w:eastAsia="Times New Roman" w:hAnsi="Arial" w:cs="Arial"/>
          <w:i/>
          <w:iCs/>
          <w:kern w:val="0"/>
          <w:lang w:eastAsia="en-GB"/>
          <w14:ligatures w14:val="none"/>
        </w:rPr>
        <w:t xml:space="preserve">Diagnostic and Statistical manual of mental disorders. </w:t>
      </w:r>
      <w:r w:rsidRPr="00215A33">
        <w:rPr>
          <w:rFonts w:ascii="Arial" w:eastAsia="Times New Roman" w:hAnsi="Arial" w:cs="Arial"/>
          <w:kern w:val="0"/>
          <w:lang w:eastAsia="en-GB"/>
          <w14:ligatures w14:val="none"/>
        </w:rPr>
        <w:t>5</w:t>
      </w:r>
      <w:r w:rsidRPr="00215A33">
        <w:rPr>
          <w:rFonts w:ascii="Arial" w:eastAsia="Times New Roman" w:hAnsi="Arial" w:cs="Arial"/>
          <w:kern w:val="0"/>
          <w:vertAlign w:val="superscript"/>
          <w:lang w:eastAsia="en-GB"/>
          <w14:ligatures w14:val="none"/>
        </w:rPr>
        <w:t>th</w:t>
      </w:r>
      <w:r w:rsidRPr="00215A33">
        <w:rPr>
          <w:rFonts w:ascii="Arial" w:eastAsia="Times New Roman" w:hAnsi="Arial" w:cs="Arial"/>
          <w:kern w:val="0"/>
          <w:lang w:eastAsia="en-GB"/>
          <w14:ligatures w14:val="none"/>
        </w:rPr>
        <w:t xml:space="preserve"> ed. Washington DC: American Psychiatric Publishing.</w:t>
      </w:r>
    </w:p>
    <w:p w14:paraId="19C9A93B" w14:textId="67D71A74" w:rsidR="002421BF" w:rsidRPr="00215A33" w:rsidRDefault="002421BF" w:rsidP="00257FE6">
      <w:pPr>
        <w:pStyle w:val="ListParagraph"/>
        <w:numPr>
          <w:ilvl w:val="0"/>
          <w:numId w:val="6"/>
        </w:numPr>
        <w:spacing w:after="0" w:line="240" w:lineRule="auto"/>
        <w:rPr>
          <w:rFonts w:ascii="Arial" w:eastAsia="Times New Roman" w:hAnsi="Arial" w:cs="Arial"/>
          <w:kern w:val="0"/>
          <w:lang w:eastAsia="en-GB"/>
          <w14:ligatures w14:val="none"/>
        </w:rPr>
      </w:pPr>
      <w:r w:rsidRPr="00215A33">
        <w:rPr>
          <w:rFonts w:ascii="Arial" w:eastAsia="Times New Roman" w:hAnsi="Arial" w:cs="Arial"/>
          <w:kern w:val="0"/>
          <w:lang w:eastAsia="en-GB"/>
          <w14:ligatures w14:val="none"/>
        </w:rPr>
        <w:t xml:space="preserve">Aos, S., Lieb, R., Mayfield, J., Miller, M. and Pennucci, A. (2004). </w:t>
      </w:r>
      <w:r w:rsidRPr="00215A33">
        <w:rPr>
          <w:rFonts w:ascii="Arial" w:eastAsia="Times New Roman" w:hAnsi="Arial" w:cs="Arial"/>
          <w:i/>
          <w:iCs/>
          <w:kern w:val="0"/>
          <w:lang w:eastAsia="en-GB"/>
          <w14:ligatures w14:val="none"/>
        </w:rPr>
        <w:t>Benefits and costs of prevention and early intervention programs for youth.</w:t>
      </w:r>
      <w:r w:rsidRPr="00215A33">
        <w:rPr>
          <w:rFonts w:ascii="Arial" w:eastAsia="Times New Roman" w:hAnsi="Arial" w:cs="Arial"/>
          <w:kern w:val="0"/>
          <w:lang w:eastAsia="en-GB"/>
          <w14:ligatures w14:val="none"/>
        </w:rPr>
        <w:t xml:space="preserve"> Olympia, WA: Washington State Institute for Public Policy.</w:t>
      </w:r>
    </w:p>
    <w:p w14:paraId="752C9C73" w14:textId="3591DD44" w:rsidR="00D46CE8" w:rsidRPr="00215A33" w:rsidRDefault="00D46CE8" w:rsidP="00257FE6">
      <w:pPr>
        <w:pStyle w:val="ListParagraph"/>
        <w:numPr>
          <w:ilvl w:val="0"/>
          <w:numId w:val="6"/>
        </w:numPr>
        <w:spacing w:after="0" w:line="240" w:lineRule="auto"/>
        <w:rPr>
          <w:rFonts w:ascii="Arial" w:eastAsia="Times New Roman" w:hAnsi="Arial" w:cs="Arial"/>
          <w:kern w:val="0"/>
          <w:lang w:eastAsia="en-GB"/>
          <w14:ligatures w14:val="none"/>
        </w:rPr>
      </w:pPr>
      <w:r w:rsidRPr="00215A33">
        <w:rPr>
          <w:rFonts w:ascii="Arial" w:eastAsia="Times New Roman" w:hAnsi="Arial" w:cs="Arial"/>
          <w:kern w:val="0"/>
          <w:lang w:eastAsia="en-GB"/>
          <w14:ligatures w14:val="none"/>
        </w:rPr>
        <w:t>Bales, K. (2007) Ending Slavery: How We Free Today’s Slaves. Berkeley: University of California Press.</w:t>
      </w:r>
    </w:p>
    <w:p w14:paraId="6BE08B45" w14:textId="175895CD" w:rsidR="00D46CE8" w:rsidRPr="00215A33" w:rsidRDefault="00D46CE8" w:rsidP="00257FE6">
      <w:pPr>
        <w:pStyle w:val="ListParagraph"/>
        <w:numPr>
          <w:ilvl w:val="0"/>
          <w:numId w:val="6"/>
        </w:numPr>
        <w:spacing w:after="0" w:line="240" w:lineRule="auto"/>
        <w:rPr>
          <w:rFonts w:ascii="Arial" w:eastAsia="Times New Roman" w:hAnsi="Arial" w:cs="Arial"/>
          <w:kern w:val="0"/>
          <w:lang w:eastAsia="en-GB"/>
          <w14:ligatures w14:val="none"/>
        </w:rPr>
      </w:pPr>
      <w:r w:rsidRPr="00215A33">
        <w:rPr>
          <w:rFonts w:ascii="Arial" w:eastAsia="Times New Roman" w:hAnsi="Arial" w:cs="Arial"/>
          <w:kern w:val="0"/>
          <w:lang w:eastAsia="en-GB"/>
          <w14:ligatures w14:val="none"/>
        </w:rPr>
        <w:t>Bellis, M.A., Hughes, K., Leckenby, N., Perkins, C. and Lowey, H. (2014) ‘National household survey of adverse childhood experiences and their relationship with resilience to health-harming behaviours in England’, BMC Medicine, 12(1), pp.1–10.</w:t>
      </w:r>
    </w:p>
    <w:p w14:paraId="1B71EE9A" w14:textId="74522CDD" w:rsidR="00257FE6" w:rsidRPr="00215A33" w:rsidRDefault="00257FE6" w:rsidP="00257FE6">
      <w:pPr>
        <w:pStyle w:val="ListParagraph"/>
        <w:numPr>
          <w:ilvl w:val="0"/>
          <w:numId w:val="6"/>
        </w:numPr>
        <w:spacing w:after="0" w:line="240" w:lineRule="auto"/>
        <w:rPr>
          <w:rFonts w:ascii="Arial" w:eastAsia="Times New Roman" w:hAnsi="Arial" w:cs="Arial"/>
          <w:kern w:val="0"/>
          <w:lang w:eastAsia="en-GB"/>
          <w14:ligatures w14:val="none"/>
        </w:rPr>
      </w:pPr>
      <w:r w:rsidRPr="00215A33">
        <w:rPr>
          <w:rFonts w:ascii="Arial" w:eastAsia="Times New Roman" w:hAnsi="Arial" w:cs="Arial"/>
          <w:kern w:val="0"/>
          <w:lang w:eastAsia="en-GB"/>
          <w14:ligatures w14:val="none"/>
        </w:rPr>
        <w:t xml:space="preserve">Biron, C. and </w:t>
      </w:r>
      <w:proofErr w:type="spellStart"/>
      <w:r w:rsidRPr="00215A33">
        <w:rPr>
          <w:rFonts w:ascii="Arial" w:eastAsia="Times New Roman" w:hAnsi="Arial" w:cs="Arial"/>
          <w:kern w:val="0"/>
          <w:lang w:eastAsia="en-GB"/>
          <w14:ligatures w14:val="none"/>
        </w:rPr>
        <w:t>Karanika</w:t>
      </w:r>
      <w:proofErr w:type="spellEnd"/>
      <w:r w:rsidRPr="00215A33">
        <w:rPr>
          <w:rFonts w:ascii="Arial" w:eastAsia="Times New Roman" w:hAnsi="Arial" w:cs="Arial"/>
          <w:kern w:val="0"/>
          <w:lang w:eastAsia="en-GB"/>
          <w14:ligatures w14:val="none"/>
        </w:rPr>
        <w:t xml:space="preserve">-Murray, M. </w:t>
      </w:r>
      <w:r w:rsidR="00DB267C" w:rsidRPr="00215A33">
        <w:rPr>
          <w:rFonts w:ascii="Arial" w:eastAsia="Times New Roman" w:hAnsi="Arial" w:cs="Arial"/>
          <w:kern w:val="0"/>
          <w:lang w:eastAsia="en-GB"/>
          <w14:ligatures w14:val="none"/>
        </w:rPr>
        <w:t>(</w:t>
      </w:r>
      <w:r w:rsidRPr="00215A33">
        <w:rPr>
          <w:rFonts w:ascii="Arial" w:eastAsia="Times New Roman" w:hAnsi="Arial" w:cs="Arial"/>
          <w:kern w:val="0"/>
          <w:lang w:eastAsia="en-GB"/>
          <w14:ligatures w14:val="none"/>
        </w:rPr>
        <w:t>2014</w:t>
      </w:r>
      <w:r w:rsidR="00DB267C" w:rsidRPr="00215A33">
        <w:rPr>
          <w:rFonts w:ascii="Arial" w:eastAsia="Times New Roman" w:hAnsi="Arial" w:cs="Arial"/>
          <w:kern w:val="0"/>
          <w:lang w:eastAsia="en-GB"/>
          <w14:ligatures w14:val="none"/>
        </w:rPr>
        <w:t>)</w:t>
      </w:r>
      <w:r w:rsidRPr="00215A33">
        <w:rPr>
          <w:rFonts w:ascii="Arial" w:eastAsia="Times New Roman" w:hAnsi="Arial" w:cs="Arial"/>
          <w:kern w:val="0"/>
          <w:lang w:eastAsia="en-GB"/>
          <w14:ligatures w14:val="none"/>
        </w:rPr>
        <w:t xml:space="preserve">. </w:t>
      </w:r>
      <w:r w:rsidRPr="00215A33">
        <w:rPr>
          <w:rFonts w:ascii="Arial" w:eastAsia="Times New Roman" w:hAnsi="Arial" w:cs="Arial"/>
          <w:i/>
          <w:iCs/>
          <w:kern w:val="0"/>
          <w:lang w:eastAsia="en-GB"/>
          <w14:ligatures w14:val="none"/>
        </w:rPr>
        <w:t>Process evaluation for organizational stress and well-being interventions: Implications for theory, method, and practice.</w:t>
      </w:r>
      <w:r w:rsidRPr="00215A33">
        <w:rPr>
          <w:rFonts w:ascii="Arial" w:eastAsia="Times New Roman" w:hAnsi="Arial" w:cs="Arial"/>
          <w:kern w:val="0"/>
          <w:lang w:eastAsia="en-GB"/>
          <w14:ligatures w14:val="none"/>
        </w:rPr>
        <w:t xml:space="preserve"> International Journal of Stress Management, 21(1), pp.85-111.</w:t>
      </w:r>
    </w:p>
    <w:p w14:paraId="25F0D617" w14:textId="06FC6316" w:rsidR="00AE7F1F" w:rsidRPr="00215A33" w:rsidRDefault="00AE7F1F" w:rsidP="00AE7F1F">
      <w:pPr>
        <w:pStyle w:val="ListParagraph"/>
        <w:numPr>
          <w:ilvl w:val="0"/>
          <w:numId w:val="6"/>
        </w:numPr>
        <w:rPr>
          <w:rFonts w:ascii="Arial" w:hAnsi="Arial" w:cs="Arial"/>
        </w:rPr>
      </w:pPr>
      <w:r w:rsidRPr="00215A33">
        <w:rPr>
          <w:rFonts w:ascii="Arial" w:hAnsi="Arial" w:cs="Arial"/>
        </w:rPr>
        <w:t xml:space="preserve">Bradford, B. (2014) </w:t>
      </w:r>
      <w:r w:rsidRPr="00215A33">
        <w:rPr>
          <w:rFonts w:ascii="Arial" w:hAnsi="Arial" w:cs="Arial"/>
          <w:i/>
          <w:iCs/>
        </w:rPr>
        <w:t>‘Policing and social identity: procedural justice, inclusion and cooperation between police and public’, Policing and Society,</w:t>
      </w:r>
      <w:r w:rsidRPr="00215A33">
        <w:rPr>
          <w:rFonts w:ascii="Arial" w:hAnsi="Arial" w:cs="Arial"/>
        </w:rPr>
        <w:t xml:space="preserve"> 24(1), pp. 22–43.</w:t>
      </w:r>
    </w:p>
    <w:p w14:paraId="51391A05" w14:textId="364A63D3" w:rsidR="00D46CE8" w:rsidRPr="00215A33" w:rsidRDefault="00D46CE8" w:rsidP="00AE7F1F">
      <w:pPr>
        <w:pStyle w:val="ListParagraph"/>
        <w:numPr>
          <w:ilvl w:val="0"/>
          <w:numId w:val="6"/>
        </w:numPr>
        <w:rPr>
          <w:rFonts w:ascii="Arial" w:hAnsi="Arial" w:cs="Arial"/>
        </w:rPr>
      </w:pPr>
      <w:r w:rsidRPr="00215A33">
        <w:rPr>
          <w:rFonts w:ascii="Arial" w:hAnsi="Arial" w:cs="Arial"/>
        </w:rPr>
        <w:t>Case, S. and Haines, K. (2015) Positive Youth Justice: Children First, Offenders Second. Bristol: Policy Press.</w:t>
      </w:r>
    </w:p>
    <w:p w14:paraId="136A1967" w14:textId="0FE40992" w:rsidR="00D46CE8" w:rsidRPr="00215A33" w:rsidRDefault="00D46CE8" w:rsidP="00AE7F1F">
      <w:pPr>
        <w:pStyle w:val="ListParagraph"/>
        <w:numPr>
          <w:ilvl w:val="0"/>
          <w:numId w:val="6"/>
        </w:numPr>
        <w:rPr>
          <w:rFonts w:ascii="Arial" w:hAnsi="Arial" w:cs="Arial"/>
        </w:rPr>
      </w:pPr>
      <w:r w:rsidRPr="00215A33">
        <w:rPr>
          <w:rFonts w:ascii="Arial" w:hAnsi="Arial" w:cs="Arial"/>
        </w:rPr>
        <w:t>Children and Families Directorate (2018) Understanding childhood adversity, resilience and crime. [Online] Available at: https://www.gov.scot/publications/understanding-childhood-adversity-resilience-crime/ [Accessed 27/06/2025].</w:t>
      </w:r>
    </w:p>
    <w:p w14:paraId="6FE5FD2F" w14:textId="33322AF6" w:rsidR="00D46CE8" w:rsidRPr="00215A33" w:rsidRDefault="00D46CE8" w:rsidP="00D46CE8">
      <w:pPr>
        <w:pStyle w:val="ListParagraph"/>
        <w:numPr>
          <w:ilvl w:val="0"/>
          <w:numId w:val="6"/>
        </w:numPr>
        <w:rPr>
          <w:rFonts w:ascii="Arial" w:hAnsi="Arial" w:cs="Arial"/>
        </w:rPr>
      </w:pPr>
      <w:proofErr w:type="spellStart"/>
      <w:r w:rsidRPr="00215A33">
        <w:rPr>
          <w:rFonts w:ascii="Arial" w:hAnsi="Arial" w:cs="Arial"/>
        </w:rPr>
        <w:t>Cockbain</w:t>
      </w:r>
      <w:proofErr w:type="spellEnd"/>
      <w:r w:rsidRPr="00215A33">
        <w:rPr>
          <w:rFonts w:ascii="Arial" w:hAnsi="Arial" w:cs="Arial"/>
        </w:rPr>
        <w:t>, E. and Bowers, K. (2019) ‘Human trafficking for labour exploitation: The results of a two-year analysis of UK crime data’, Journal of Human Trafficking, 5(2), pp.111–126.</w:t>
      </w:r>
    </w:p>
    <w:p w14:paraId="1FFFD1BC" w14:textId="112669AD" w:rsidR="00AE7F1F" w:rsidRPr="00215A33" w:rsidRDefault="00AE7F1F" w:rsidP="00AE7F1F">
      <w:pPr>
        <w:pStyle w:val="ListParagraph"/>
        <w:numPr>
          <w:ilvl w:val="0"/>
          <w:numId w:val="6"/>
        </w:numPr>
        <w:rPr>
          <w:rFonts w:ascii="Arial" w:hAnsi="Arial" w:cs="Arial"/>
        </w:rPr>
      </w:pPr>
      <w:r w:rsidRPr="00215A33">
        <w:rPr>
          <w:rFonts w:ascii="Arial" w:hAnsi="Arial" w:cs="Arial"/>
        </w:rPr>
        <w:t xml:space="preserve">College of Policing (2013) </w:t>
      </w:r>
      <w:r w:rsidRPr="00215A33">
        <w:rPr>
          <w:rFonts w:ascii="Arial" w:hAnsi="Arial" w:cs="Arial"/>
          <w:i/>
          <w:iCs/>
        </w:rPr>
        <w:t>Equality, Diversity and Inclusion Strategy.</w:t>
      </w:r>
      <w:r w:rsidRPr="00215A33">
        <w:rPr>
          <w:rFonts w:ascii="Arial" w:hAnsi="Arial" w:cs="Arial"/>
        </w:rPr>
        <w:t xml:space="preserve"> Available at: </w:t>
      </w:r>
      <w:hyperlink r:id="rId5" w:tooltip="Original URL: https://www.college.police.uk/. Click or tap if you trust this link." w:history="1">
        <w:r w:rsidRPr="00215A33">
          <w:rPr>
            <w:rStyle w:val="Hyperlink"/>
            <w:rFonts w:ascii="Arial" w:hAnsi="Arial" w:cs="Arial"/>
            <w:u w:val="none"/>
          </w:rPr>
          <w:t>https://www.college.police.uk</w:t>
        </w:r>
      </w:hyperlink>
      <w:r w:rsidRPr="00215A33">
        <w:rPr>
          <w:rFonts w:ascii="Arial" w:hAnsi="Arial" w:cs="Arial"/>
        </w:rPr>
        <w:t xml:space="preserve">/ </w:t>
      </w:r>
      <w:r w:rsidR="008D02D7" w:rsidRPr="00215A33">
        <w:rPr>
          <w:rFonts w:ascii="Arial" w:hAnsi="Arial" w:cs="Arial"/>
        </w:rPr>
        <w:t>[</w:t>
      </w:r>
      <w:r w:rsidRPr="00215A33">
        <w:rPr>
          <w:rFonts w:ascii="Arial" w:hAnsi="Arial" w:cs="Arial"/>
        </w:rPr>
        <w:t>Accessed: 2</w:t>
      </w:r>
      <w:r w:rsidR="008D02D7" w:rsidRPr="00215A33">
        <w:rPr>
          <w:rFonts w:ascii="Arial" w:hAnsi="Arial" w:cs="Arial"/>
        </w:rPr>
        <w:t>4/06/</w:t>
      </w:r>
      <w:r w:rsidRPr="00215A33">
        <w:rPr>
          <w:rFonts w:ascii="Arial" w:hAnsi="Arial" w:cs="Arial"/>
        </w:rPr>
        <w:t>2025</w:t>
      </w:r>
      <w:r w:rsidR="008D02D7" w:rsidRPr="00215A33">
        <w:rPr>
          <w:rFonts w:ascii="Arial" w:hAnsi="Arial" w:cs="Arial"/>
        </w:rPr>
        <w:t>]</w:t>
      </w:r>
      <w:r w:rsidRPr="00215A33">
        <w:rPr>
          <w:rFonts w:ascii="Arial" w:hAnsi="Arial" w:cs="Arial"/>
        </w:rPr>
        <w:t>.</w:t>
      </w:r>
    </w:p>
    <w:p w14:paraId="64DDE62D" w14:textId="4FBAB02F" w:rsidR="00257FE6" w:rsidRPr="00215A33" w:rsidRDefault="00257FE6" w:rsidP="00AE7F1F">
      <w:pPr>
        <w:pStyle w:val="ListParagraph"/>
        <w:numPr>
          <w:ilvl w:val="0"/>
          <w:numId w:val="6"/>
        </w:numPr>
        <w:rPr>
          <w:rFonts w:ascii="Arial" w:hAnsi="Arial" w:cs="Arial"/>
        </w:rPr>
      </w:pPr>
      <w:r w:rsidRPr="00215A33">
        <w:rPr>
          <w:rFonts w:ascii="Arial" w:hAnsi="Arial" w:cs="Arial"/>
        </w:rPr>
        <w:t xml:space="preserve">College of Policing, 2019. </w:t>
      </w:r>
      <w:r w:rsidRPr="00215A33">
        <w:rPr>
          <w:rFonts w:ascii="Arial" w:hAnsi="Arial" w:cs="Arial"/>
          <w:i/>
          <w:iCs/>
        </w:rPr>
        <w:t>Stress and resilience in policing.</w:t>
      </w:r>
      <w:r w:rsidRPr="00215A33">
        <w:rPr>
          <w:rFonts w:ascii="Arial" w:hAnsi="Arial" w:cs="Arial"/>
        </w:rPr>
        <w:t xml:space="preserve"> [online] Available at: </w:t>
      </w:r>
      <w:hyperlink r:id="rId6" w:tooltip="Original URL: https://www.college.police.uk/research/stress-resilience-policing. Click or tap if you trust this link." w:history="1">
        <w:r w:rsidRPr="00215A33">
          <w:rPr>
            <w:rStyle w:val="Hyperlink"/>
            <w:rFonts w:ascii="Arial" w:hAnsi="Arial" w:cs="Arial"/>
          </w:rPr>
          <w:t>https://www.college.police.uk/research/stress-resilience-policing</w:t>
        </w:r>
      </w:hyperlink>
      <w:r w:rsidRPr="00215A33">
        <w:rPr>
          <w:rFonts w:ascii="Arial" w:hAnsi="Arial" w:cs="Arial"/>
        </w:rPr>
        <w:t> [Accessed 2</w:t>
      </w:r>
      <w:r w:rsidR="008D02D7" w:rsidRPr="00215A33">
        <w:rPr>
          <w:rFonts w:ascii="Arial" w:hAnsi="Arial" w:cs="Arial"/>
        </w:rPr>
        <w:t>4/06</w:t>
      </w:r>
      <w:r w:rsidRPr="00215A33">
        <w:rPr>
          <w:rFonts w:ascii="Arial" w:hAnsi="Arial" w:cs="Arial"/>
        </w:rPr>
        <w:t>2025].</w:t>
      </w:r>
    </w:p>
    <w:p w14:paraId="0BCA0369" w14:textId="248CD0E9" w:rsidR="00DB267C" w:rsidRPr="00215A33" w:rsidRDefault="00DB267C" w:rsidP="00AE7F1F">
      <w:pPr>
        <w:pStyle w:val="ListParagraph"/>
        <w:numPr>
          <w:ilvl w:val="0"/>
          <w:numId w:val="6"/>
        </w:numPr>
        <w:rPr>
          <w:rFonts w:ascii="Arial" w:hAnsi="Arial" w:cs="Arial"/>
        </w:rPr>
      </w:pPr>
      <w:r w:rsidRPr="00215A33">
        <w:rPr>
          <w:rFonts w:ascii="Arial" w:hAnsi="Arial" w:cs="Arial"/>
        </w:rPr>
        <w:t xml:space="preserve">College of Policing, 2021. </w:t>
      </w:r>
      <w:r w:rsidRPr="00215A33">
        <w:rPr>
          <w:rFonts w:ascii="Arial" w:hAnsi="Arial" w:cs="Arial"/>
          <w:i/>
          <w:iCs/>
        </w:rPr>
        <w:t>National Police Wellbeing Service (NPWS) evaluation.</w:t>
      </w:r>
      <w:r w:rsidRPr="00215A33">
        <w:rPr>
          <w:rFonts w:ascii="Arial" w:hAnsi="Arial" w:cs="Arial"/>
        </w:rPr>
        <w:t xml:space="preserve"> [online] Available at: </w:t>
      </w:r>
      <w:hyperlink r:id="rId7" w:tooltip="Original URL: https://www.college.police.uk/article/npws-evaluation. Click or tap if you trust this link." w:history="1">
        <w:r w:rsidRPr="00215A33">
          <w:rPr>
            <w:rStyle w:val="Hyperlink"/>
            <w:rFonts w:ascii="Arial" w:hAnsi="Arial" w:cs="Arial"/>
          </w:rPr>
          <w:t>https://www.college.police.uk/article/npws-evaluation</w:t>
        </w:r>
      </w:hyperlink>
      <w:r w:rsidRPr="00215A33">
        <w:rPr>
          <w:rFonts w:ascii="Arial" w:hAnsi="Arial" w:cs="Arial"/>
        </w:rPr>
        <w:t> [Accessed 2</w:t>
      </w:r>
      <w:r w:rsidR="008D02D7" w:rsidRPr="00215A33">
        <w:rPr>
          <w:rFonts w:ascii="Arial" w:hAnsi="Arial" w:cs="Arial"/>
        </w:rPr>
        <w:t>4/06/</w:t>
      </w:r>
      <w:r w:rsidRPr="00215A33">
        <w:rPr>
          <w:rFonts w:ascii="Arial" w:hAnsi="Arial" w:cs="Arial"/>
        </w:rPr>
        <w:t>2025].</w:t>
      </w:r>
    </w:p>
    <w:p w14:paraId="38ABB64D" w14:textId="10E8FBC6" w:rsidR="00D46CE8" w:rsidRPr="00215A33" w:rsidRDefault="00D46CE8" w:rsidP="00AE7F1F">
      <w:pPr>
        <w:pStyle w:val="ListParagraph"/>
        <w:numPr>
          <w:ilvl w:val="0"/>
          <w:numId w:val="6"/>
        </w:numPr>
        <w:rPr>
          <w:rFonts w:ascii="Arial" w:hAnsi="Arial" w:cs="Arial"/>
        </w:rPr>
      </w:pPr>
      <w:r w:rsidRPr="00215A33">
        <w:rPr>
          <w:rFonts w:ascii="Arial" w:hAnsi="Arial" w:cs="Arial"/>
        </w:rPr>
        <w:t>Coomber, R. and Moyle, L. (2018) ‘The normalisation of drug supply: The social supply of drugs as the “other side” of the history of normalisation’, Drugs: Education, Prevention and Policy, 25(3), pp.282–288.</w:t>
      </w:r>
    </w:p>
    <w:p w14:paraId="160C4EF4" w14:textId="4C69819A" w:rsidR="00D46CE8" w:rsidRPr="00215A33" w:rsidRDefault="00D46CE8" w:rsidP="00AE7F1F">
      <w:pPr>
        <w:pStyle w:val="ListParagraph"/>
        <w:numPr>
          <w:ilvl w:val="0"/>
          <w:numId w:val="6"/>
        </w:numPr>
        <w:rPr>
          <w:rFonts w:ascii="Arial" w:hAnsi="Arial" w:cs="Arial"/>
        </w:rPr>
      </w:pPr>
      <w:r w:rsidRPr="00215A33">
        <w:rPr>
          <w:rFonts w:ascii="Arial" w:hAnsi="Arial" w:cs="Arial"/>
        </w:rPr>
        <w:t>Dearden, C. and Becker, S. (2021) ‘Vulnerability, exploitation and criminality: Addressing safeguarding gaps for individuals with learning disabilities’, British Journal of Social Work, 51(6), pp.2121–2138.</w:t>
      </w:r>
    </w:p>
    <w:p w14:paraId="4D46A2A5" w14:textId="77777777" w:rsidR="00D46CE8" w:rsidRPr="00215A33" w:rsidRDefault="00B31217" w:rsidP="009E7BB9">
      <w:pPr>
        <w:pStyle w:val="ListParagraph"/>
        <w:numPr>
          <w:ilvl w:val="0"/>
          <w:numId w:val="6"/>
        </w:numPr>
        <w:rPr>
          <w:rFonts w:ascii="Arial" w:hAnsi="Arial" w:cs="Arial"/>
        </w:rPr>
      </w:pPr>
      <w:r w:rsidRPr="00215A33">
        <w:rPr>
          <w:rFonts w:ascii="Arial" w:hAnsi="Arial" w:cs="Arial"/>
        </w:rPr>
        <w:t xml:space="preserve">Durlak, J.A., Weissberg, R.P., </w:t>
      </w:r>
      <w:proofErr w:type="spellStart"/>
      <w:r w:rsidRPr="00215A33">
        <w:rPr>
          <w:rFonts w:ascii="Arial" w:hAnsi="Arial" w:cs="Arial"/>
        </w:rPr>
        <w:t>Dymnicki</w:t>
      </w:r>
      <w:proofErr w:type="spellEnd"/>
      <w:r w:rsidRPr="00215A33">
        <w:rPr>
          <w:rFonts w:ascii="Arial" w:hAnsi="Arial" w:cs="Arial"/>
        </w:rPr>
        <w:t xml:space="preserve">, A.B., Taylor, R.D. and Schellinger, K.B., (2011). </w:t>
      </w:r>
      <w:r w:rsidRPr="00215A33">
        <w:rPr>
          <w:rFonts w:ascii="Arial" w:hAnsi="Arial" w:cs="Arial"/>
          <w:i/>
          <w:iCs/>
        </w:rPr>
        <w:t>The impact of enhancing students’ social and emotional learning: A meta</w:t>
      </w:r>
      <w:r w:rsidRPr="00215A33">
        <w:rPr>
          <w:rFonts w:ascii="Cambria Math" w:hAnsi="Cambria Math" w:cs="Cambria Math"/>
          <w:i/>
          <w:iCs/>
        </w:rPr>
        <w:t>‐</w:t>
      </w:r>
      <w:r w:rsidRPr="00215A33">
        <w:rPr>
          <w:rFonts w:ascii="Arial" w:hAnsi="Arial" w:cs="Arial"/>
          <w:i/>
          <w:iCs/>
        </w:rPr>
        <w:t>analysis of school</w:t>
      </w:r>
      <w:r w:rsidRPr="00215A33">
        <w:rPr>
          <w:rFonts w:ascii="Cambria Math" w:hAnsi="Cambria Math" w:cs="Cambria Math"/>
          <w:i/>
          <w:iCs/>
        </w:rPr>
        <w:t>‐</w:t>
      </w:r>
      <w:r w:rsidRPr="00215A33">
        <w:rPr>
          <w:rFonts w:ascii="Arial" w:hAnsi="Arial" w:cs="Arial"/>
          <w:i/>
          <w:iCs/>
        </w:rPr>
        <w:t>based universal interventions.</w:t>
      </w:r>
      <w:r w:rsidRPr="00215A33">
        <w:rPr>
          <w:rFonts w:ascii="Arial" w:hAnsi="Arial" w:cs="Arial"/>
        </w:rPr>
        <w:t xml:space="preserve"> Child Development, 82(1), pp.405–432.</w:t>
      </w:r>
    </w:p>
    <w:p w14:paraId="3A81B10A" w14:textId="4C389F6B" w:rsidR="00D46CE8" w:rsidRPr="00215A33" w:rsidRDefault="00D46CE8" w:rsidP="009E7BB9">
      <w:pPr>
        <w:pStyle w:val="ListParagraph"/>
        <w:numPr>
          <w:ilvl w:val="0"/>
          <w:numId w:val="6"/>
        </w:numPr>
        <w:rPr>
          <w:rFonts w:ascii="Arial" w:hAnsi="Arial" w:cs="Arial"/>
        </w:rPr>
      </w:pPr>
      <w:r w:rsidRPr="00215A33">
        <w:rPr>
          <w:rFonts w:ascii="Arial" w:hAnsi="Arial" w:cs="Arial"/>
        </w:rPr>
        <w:t>Dwyer, P., Lewis, H., Scullion, L. and Waite, L. (2011) ‘Forced labour and UK immigration policy: Status matters?’, Joseph Rowntree Foundation. Available at: https://www.jrf.org.uk/report/forced-labour-and-uk-immigration-policy</w:t>
      </w:r>
    </w:p>
    <w:p w14:paraId="6814E4DA" w14:textId="2432D5F3" w:rsidR="00AE7F1F" w:rsidRPr="00215A33" w:rsidRDefault="00AE7F1F" w:rsidP="009E7BB9">
      <w:pPr>
        <w:pStyle w:val="ListParagraph"/>
        <w:numPr>
          <w:ilvl w:val="0"/>
          <w:numId w:val="6"/>
        </w:numPr>
        <w:rPr>
          <w:rFonts w:ascii="Arial" w:hAnsi="Arial" w:cs="Arial"/>
        </w:rPr>
      </w:pPr>
      <w:r w:rsidRPr="00215A33">
        <w:rPr>
          <w:rFonts w:ascii="Arial" w:hAnsi="Arial" w:cs="Arial"/>
        </w:rPr>
        <w:t xml:space="preserve">Easton, M. (2020) </w:t>
      </w:r>
      <w:r w:rsidRPr="00215A33">
        <w:rPr>
          <w:rFonts w:ascii="Arial" w:hAnsi="Arial" w:cs="Arial"/>
          <w:i/>
          <w:iCs/>
        </w:rPr>
        <w:t>Is British policing institutionally racist?</w:t>
      </w:r>
      <w:r w:rsidRPr="00215A33">
        <w:rPr>
          <w:rFonts w:ascii="Arial" w:hAnsi="Arial" w:cs="Arial"/>
        </w:rPr>
        <w:t xml:space="preserve"> BBC News. Available at: </w:t>
      </w:r>
      <w:hyperlink r:id="rId8" w:tooltip="Original URL: https://www.bbc.co.uk/news. Click or tap if you trust this link." w:history="1">
        <w:r w:rsidRPr="00215A33">
          <w:rPr>
            <w:rStyle w:val="Hyperlink"/>
            <w:rFonts w:ascii="Arial" w:hAnsi="Arial" w:cs="Arial"/>
            <w:u w:val="none"/>
          </w:rPr>
          <w:t>https://www.bbc.co.uk/news</w:t>
        </w:r>
      </w:hyperlink>
      <w:r w:rsidRPr="00215A33">
        <w:rPr>
          <w:rFonts w:ascii="Arial" w:hAnsi="Arial" w:cs="Arial"/>
        </w:rPr>
        <w:t xml:space="preserve">/ </w:t>
      </w:r>
      <w:r w:rsidR="008D02D7" w:rsidRPr="00215A33">
        <w:rPr>
          <w:rFonts w:ascii="Arial" w:hAnsi="Arial" w:cs="Arial"/>
        </w:rPr>
        <w:t>[</w:t>
      </w:r>
      <w:r w:rsidRPr="00215A33">
        <w:rPr>
          <w:rFonts w:ascii="Arial" w:hAnsi="Arial" w:cs="Arial"/>
        </w:rPr>
        <w:t>Accessed: 2</w:t>
      </w:r>
      <w:r w:rsidR="008D02D7" w:rsidRPr="00215A33">
        <w:rPr>
          <w:rFonts w:ascii="Arial" w:hAnsi="Arial" w:cs="Arial"/>
        </w:rPr>
        <w:t>4/06</w:t>
      </w:r>
      <w:r w:rsidRPr="00215A33">
        <w:rPr>
          <w:rFonts w:ascii="Arial" w:hAnsi="Arial" w:cs="Arial"/>
        </w:rPr>
        <w:t>2025</w:t>
      </w:r>
      <w:r w:rsidR="008D02D7" w:rsidRPr="00215A33">
        <w:rPr>
          <w:rFonts w:ascii="Arial" w:hAnsi="Arial" w:cs="Arial"/>
        </w:rPr>
        <w:t>]</w:t>
      </w:r>
      <w:r w:rsidRPr="00215A33">
        <w:rPr>
          <w:rFonts w:ascii="Arial" w:hAnsi="Arial" w:cs="Arial"/>
        </w:rPr>
        <w:t>.</w:t>
      </w:r>
    </w:p>
    <w:p w14:paraId="1CB7FA75" w14:textId="573087B3" w:rsidR="00C37EBC" w:rsidRPr="00215A33" w:rsidRDefault="00C37EBC" w:rsidP="00AE7F1F">
      <w:pPr>
        <w:pStyle w:val="ListParagraph"/>
        <w:numPr>
          <w:ilvl w:val="0"/>
          <w:numId w:val="6"/>
        </w:numPr>
        <w:rPr>
          <w:rFonts w:ascii="Arial" w:hAnsi="Arial" w:cs="Arial"/>
        </w:rPr>
      </w:pPr>
      <w:r w:rsidRPr="00215A33">
        <w:rPr>
          <w:rFonts w:ascii="Arial" w:hAnsi="Arial" w:cs="Arial"/>
        </w:rPr>
        <w:t xml:space="preserve">Farrington, D.P., (2003). </w:t>
      </w:r>
      <w:r w:rsidRPr="00215A33">
        <w:rPr>
          <w:rFonts w:ascii="Arial" w:hAnsi="Arial" w:cs="Arial"/>
          <w:i/>
          <w:iCs/>
        </w:rPr>
        <w:t>Developmental and life-course criminology: Key theoretical and empirical issues—The 2002 Sutherland Award address.</w:t>
      </w:r>
      <w:r w:rsidRPr="00215A33">
        <w:rPr>
          <w:rFonts w:ascii="Arial" w:hAnsi="Arial" w:cs="Arial"/>
        </w:rPr>
        <w:t xml:space="preserve"> Criminology, 41(2), pp.221–225.</w:t>
      </w:r>
    </w:p>
    <w:p w14:paraId="212DB6DE" w14:textId="2C46A16B" w:rsidR="0041494D" w:rsidRPr="00215A33" w:rsidRDefault="0041494D" w:rsidP="00AE7F1F">
      <w:pPr>
        <w:pStyle w:val="ListParagraph"/>
        <w:numPr>
          <w:ilvl w:val="0"/>
          <w:numId w:val="6"/>
        </w:numPr>
        <w:rPr>
          <w:rFonts w:ascii="Arial" w:hAnsi="Arial" w:cs="Arial"/>
        </w:rPr>
      </w:pPr>
      <w:r w:rsidRPr="00215A33">
        <w:rPr>
          <w:rFonts w:ascii="Arial" w:hAnsi="Arial" w:cs="Arial"/>
        </w:rPr>
        <w:lastRenderedPageBreak/>
        <w:t>Farrington, D.P., &amp; Welsh, B.C. (2007).</w:t>
      </w:r>
      <w:r w:rsidRPr="00215A33">
        <w:rPr>
          <w:rFonts w:ascii="Arial" w:hAnsi="Arial" w:cs="Arial"/>
          <w:i/>
          <w:iCs/>
        </w:rPr>
        <w:t xml:space="preserve"> Saving children from a life of crime: Early risk factors and effective interventions.</w:t>
      </w:r>
      <w:r w:rsidRPr="00215A33">
        <w:rPr>
          <w:rFonts w:ascii="Arial" w:hAnsi="Arial" w:cs="Arial"/>
        </w:rPr>
        <w:t xml:space="preserve"> Oxford University Press.</w:t>
      </w:r>
    </w:p>
    <w:p w14:paraId="67E70ED2" w14:textId="2E0785D0" w:rsidR="00C76FBC" w:rsidRPr="00215A33" w:rsidRDefault="00C76FBC" w:rsidP="00C76FBC">
      <w:pPr>
        <w:pStyle w:val="ListParagraph"/>
        <w:numPr>
          <w:ilvl w:val="0"/>
          <w:numId w:val="6"/>
        </w:numPr>
        <w:spacing w:line="360" w:lineRule="auto"/>
        <w:rPr>
          <w:rFonts w:ascii="Arial" w:hAnsi="Arial" w:cs="Arial"/>
        </w:rPr>
      </w:pPr>
      <w:r w:rsidRPr="00215A33">
        <w:rPr>
          <w:rFonts w:ascii="Arial" w:hAnsi="Arial" w:cs="Arial"/>
        </w:rPr>
        <w:t xml:space="preserve">Foster, J., </w:t>
      </w:r>
      <w:proofErr w:type="spellStart"/>
      <w:proofErr w:type="gramStart"/>
      <w:r w:rsidRPr="00215A33">
        <w:rPr>
          <w:rFonts w:ascii="Arial" w:hAnsi="Arial" w:cs="Arial"/>
        </w:rPr>
        <w:t>Newburn,T</w:t>
      </w:r>
      <w:proofErr w:type="spellEnd"/>
      <w:r w:rsidRPr="00215A33">
        <w:rPr>
          <w:rFonts w:ascii="Arial" w:hAnsi="Arial" w:cs="Arial"/>
        </w:rPr>
        <w:t>.</w:t>
      </w:r>
      <w:proofErr w:type="gramEnd"/>
      <w:r w:rsidRPr="00215A33">
        <w:rPr>
          <w:rFonts w:ascii="Arial" w:hAnsi="Arial" w:cs="Arial"/>
        </w:rPr>
        <w:t xml:space="preserve">, &amp; </w:t>
      </w:r>
      <w:proofErr w:type="spellStart"/>
      <w:r w:rsidRPr="00215A33">
        <w:rPr>
          <w:rFonts w:ascii="Arial" w:hAnsi="Arial" w:cs="Arial"/>
        </w:rPr>
        <w:t>Souhami</w:t>
      </w:r>
      <w:proofErr w:type="spellEnd"/>
      <w:r w:rsidRPr="00215A33">
        <w:rPr>
          <w:rFonts w:ascii="Arial" w:hAnsi="Arial" w:cs="Arial"/>
        </w:rPr>
        <w:t xml:space="preserve">, A. (2005). </w:t>
      </w:r>
      <w:r w:rsidRPr="00215A33">
        <w:rPr>
          <w:rFonts w:ascii="Arial" w:hAnsi="Arial" w:cs="Arial"/>
          <w:i/>
          <w:iCs/>
        </w:rPr>
        <w:t xml:space="preserve">Assessing the impact of the Stephen Lawrence Inquiry. </w:t>
      </w:r>
      <w:r w:rsidRPr="00215A33">
        <w:rPr>
          <w:rFonts w:ascii="Arial" w:hAnsi="Arial" w:cs="Arial"/>
        </w:rPr>
        <w:t>Home Office Research study 294. Home Office.</w:t>
      </w:r>
    </w:p>
    <w:p w14:paraId="3D8A0EC6" w14:textId="0BCD8B30" w:rsidR="00D46CE8" w:rsidRPr="00215A33" w:rsidRDefault="00D46CE8" w:rsidP="00C76FBC">
      <w:pPr>
        <w:pStyle w:val="ListParagraph"/>
        <w:numPr>
          <w:ilvl w:val="0"/>
          <w:numId w:val="6"/>
        </w:numPr>
        <w:spacing w:line="360" w:lineRule="auto"/>
        <w:rPr>
          <w:rFonts w:ascii="Arial" w:hAnsi="Arial" w:cs="Arial"/>
        </w:rPr>
      </w:pPr>
      <w:r w:rsidRPr="00215A33">
        <w:rPr>
          <w:rFonts w:ascii="Arial" w:hAnsi="Arial" w:cs="Arial"/>
        </w:rPr>
        <w:t>Hales, G. and Silverstone, D. (2005) ‘Drug markets, organised crime and development of violent gangs’, Home Office Research Report.</w:t>
      </w:r>
    </w:p>
    <w:p w14:paraId="2B74288C" w14:textId="0665D853" w:rsidR="00215A33" w:rsidRPr="00215A33" w:rsidRDefault="00215A33" w:rsidP="00C76FBC">
      <w:pPr>
        <w:pStyle w:val="ListParagraph"/>
        <w:numPr>
          <w:ilvl w:val="0"/>
          <w:numId w:val="6"/>
        </w:numPr>
        <w:spacing w:line="360" w:lineRule="auto"/>
        <w:rPr>
          <w:rFonts w:ascii="Arial" w:hAnsi="Arial" w:cs="Arial"/>
        </w:rPr>
      </w:pPr>
      <w:r w:rsidRPr="00215A33">
        <w:rPr>
          <w:rFonts w:ascii="Arial" w:hAnsi="Arial" w:cs="Arial"/>
        </w:rPr>
        <w:t>Harding, S. (2020) County Lines: Exploitation and Drug Dealing Among Urban Street Gangs. Bristol: Bristol University Press.</w:t>
      </w:r>
    </w:p>
    <w:p w14:paraId="7990AF72" w14:textId="77777777" w:rsidR="00D46CE8" w:rsidRPr="00215A33" w:rsidRDefault="00C37EBC" w:rsidP="000E6C1F">
      <w:pPr>
        <w:pStyle w:val="ListParagraph"/>
        <w:numPr>
          <w:ilvl w:val="0"/>
          <w:numId w:val="6"/>
        </w:numPr>
        <w:spacing w:line="360" w:lineRule="auto"/>
        <w:rPr>
          <w:rFonts w:ascii="Arial" w:hAnsi="Arial" w:cs="Arial"/>
        </w:rPr>
      </w:pPr>
      <w:r w:rsidRPr="00215A33">
        <w:rPr>
          <w:rFonts w:ascii="Arial" w:hAnsi="Arial" w:cs="Arial"/>
        </w:rPr>
        <w:t xml:space="preserve">Hawkins, J.D., </w:t>
      </w:r>
      <w:proofErr w:type="spellStart"/>
      <w:r w:rsidRPr="00215A33">
        <w:rPr>
          <w:rFonts w:ascii="Arial" w:hAnsi="Arial" w:cs="Arial"/>
        </w:rPr>
        <w:t>Herrenkohl</w:t>
      </w:r>
      <w:proofErr w:type="spellEnd"/>
      <w:r w:rsidRPr="00215A33">
        <w:rPr>
          <w:rFonts w:ascii="Arial" w:hAnsi="Arial" w:cs="Arial"/>
        </w:rPr>
        <w:t xml:space="preserve">, T.I., Farrington, D.P., Brewer, D., Catalano, R.F., </w:t>
      </w:r>
      <w:proofErr w:type="spellStart"/>
      <w:r w:rsidRPr="00215A33">
        <w:rPr>
          <w:rFonts w:ascii="Arial" w:hAnsi="Arial" w:cs="Arial"/>
        </w:rPr>
        <w:t>Harachi</w:t>
      </w:r>
      <w:proofErr w:type="spellEnd"/>
      <w:r w:rsidRPr="00215A33">
        <w:rPr>
          <w:rFonts w:ascii="Arial" w:hAnsi="Arial" w:cs="Arial"/>
        </w:rPr>
        <w:t xml:space="preserve">, T.W. and Cothern, L., (1998). </w:t>
      </w:r>
      <w:r w:rsidRPr="00215A33">
        <w:rPr>
          <w:rFonts w:ascii="Arial" w:hAnsi="Arial" w:cs="Arial"/>
          <w:i/>
          <w:iCs/>
        </w:rPr>
        <w:t>Predictors of youth violence.</w:t>
      </w:r>
      <w:r w:rsidRPr="00215A33">
        <w:rPr>
          <w:rFonts w:ascii="Arial" w:hAnsi="Arial" w:cs="Arial"/>
        </w:rPr>
        <w:t xml:space="preserve"> Washington, DC: Office of Juvenile Justice and Delinquency Prevention.</w:t>
      </w:r>
    </w:p>
    <w:p w14:paraId="13A4E0A4" w14:textId="633EC176" w:rsidR="00080300" w:rsidRPr="00215A33" w:rsidRDefault="00080300" w:rsidP="000E6C1F">
      <w:pPr>
        <w:pStyle w:val="ListParagraph"/>
        <w:numPr>
          <w:ilvl w:val="0"/>
          <w:numId w:val="6"/>
        </w:numPr>
        <w:spacing w:line="360" w:lineRule="auto"/>
        <w:rPr>
          <w:rFonts w:ascii="Arial" w:hAnsi="Arial" w:cs="Arial"/>
        </w:rPr>
      </w:pPr>
      <w:r w:rsidRPr="00215A33">
        <w:rPr>
          <w:rFonts w:ascii="Arial" w:hAnsi="Arial" w:cs="Arial"/>
        </w:rPr>
        <w:t xml:space="preserve">Hesketh, I. Cooper, C.L. and Ivy, J. (2015) </w:t>
      </w:r>
      <w:r w:rsidRPr="00215A33">
        <w:rPr>
          <w:rFonts w:ascii="Arial" w:hAnsi="Arial" w:cs="Arial"/>
          <w:i/>
          <w:iCs/>
        </w:rPr>
        <w:t xml:space="preserve">Well-being, austerity and policing: Is it worth investing in the workforce? </w:t>
      </w:r>
      <w:r w:rsidRPr="00215A33">
        <w:rPr>
          <w:rFonts w:ascii="Arial" w:hAnsi="Arial" w:cs="Arial"/>
        </w:rPr>
        <w:t>Occupational Medicine, 65(8), pp.625-630.</w:t>
      </w:r>
    </w:p>
    <w:p w14:paraId="1234D2AF" w14:textId="5FFA64E3" w:rsidR="00AE7F1F" w:rsidRPr="00215A33" w:rsidRDefault="00215A33" w:rsidP="00215A33">
      <w:pPr>
        <w:pStyle w:val="ListParagraph"/>
        <w:numPr>
          <w:ilvl w:val="0"/>
          <w:numId w:val="6"/>
        </w:numPr>
        <w:rPr>
          <w:rFonts w:ascii="Arial" w:hAnsi="Arial" w:cs="Arial"/>
          <w:i/>
          <w:iCs/>
        </w:rPr>
      </w:pPr>
      <w:r w:rsidRPr="00215A33">
        <w:rPr>
          <w:rFonts w:ascii="Arial" w:hAnsi="Arial" w:cs="Arial"/>
        </w:rPr>
        <w:t xml:space="preserve">His Majesties Inspectorate of Constabulary Fire and Rescue Service </w:t>
      </w:r>
      <w:r w:rsidR="00AE7F1F" w:rsidRPr="00215A33">
        <w:rPr>
          <w:rFonts w:ascii="Arial" w:hAnsi="Arial" w:cs="Arial"/>
        </w:rPr>
        <w:t xml:space="preserve">(2021) </w:t>
      </w:r>
      <w:r w:rsidR="00AE7F1F" w:rsidRPr="00215A33">
        <w:rPr>
          <w:rFonts w:ascii="Arial" w:hAnsi="Arial" w:cs="Arial"/>
          <w:i/>
          <w:iCs/>
        </w:rPr>
        <w:t>Disproportionate use of police powers – A spotlight on stop and search and the use of force.</w:t>
      </w:r>
      <w:r w:rsidR="00AE7F1F" w:rsidRPr="00215A33">
        <w:rPr>
          <w:rFonts w:ascii="Arial" w:hAnsi="Arial" w:cs="Arial"/>
        </w:rPr>
        <w:t xml:space="preserve"> London: HMICFRS.</w:t>
      </w:r>
    </w:p>
    <w:p w14:paraId="49040990" w14:textId="7F3F383E" w:rsidR="00215A33" w:rsidRPr="00215A33" w:rsidRDefault="00215A33" w:rsidP="00215A33">
      <w:pPr>
        <w:pStyle w:val="ListParagraph"/>
        <w:numPr>
          <w:ilvl w:val="0"/>
          <w:numId w:val="6"/>
        </w:numPr>
        <w:rPr>
          <w:rFonts w:ascii="Arial" w:hAnsi="Arial" w:cs="Arial"/>
          <w:i/>
          <w:iCs/>
        </w:rPr>
      </w:pPr>
      <w:r w:rsidRPr="00215A33">
        <w:rPr>
          <w:rFonts w:ascii="Arial" w:hAnsi="Arial" w:cs="Arial"/>
        </w:rPr>
        <w:t>His Majesties Inspectorate of Constabulary Fire and Rescue Service</w:t>
      </w:r>
      <w:r w:rsidRPr="00215A33">
        <w:rPr>
          <w:rFonts w:ascii="Arial" w:hAnsi="Arial" w:cs="Arial"/>
          <w:i/>
          <w:iCs/>
        </w:rPr>
        <w:t xml:space="preserve"> (2021) Thematic Inspection: The Police Response to Serious Organised Crime. Available at: </w:t>
      </w:r>
      <w:hyperlink r:id="rId9" w:history="1">
        <w:r w:rsidRPr="00215A33">
          <w:rPr>
            <w:rStyle w:val="Hyperlink"/>
            <w:rFonts w:ascii="Arial" w:hAnsi="Arial" w:cs="Arial"/>
            <w:i/>
            <w:iCs/>
          </w:rPr>
          <w:t>https://www.justiceinspectorates.gov.uk</w:t>
        </w:r>
      </w:hyperlink>
      <w:r w:rsidRPr="00215A33">
        <w:rPr>
          <w:rFonts w:ascii="Arial" w:hAnsi="Arial" w:cs="Arial"/>
          <w:i/>
          <w:iCs/>
        </w:rPr>
        <w:t xml:space="preserve"> </w:t>
      </w:r>
      <w:r w:rsidRPr="00215A33">
        <w:rPr>
          <w:rFonts w:ascii="Arial" w:hAnsi="Arial" w:cs="Arial"/>
        </w:rPr>
        <w:t>[Accessed 27/06/2025].</w:t>
      </w:r>
    </w:p>
    <w:p w14:paraId="76AD113E" w14:textId="3DD71F0A" w:rsidR="00A515E8" w:rsidRPr="00215A33" w:rsidRDefault="00A515E8" w:rsidP="00A515E8">
      <w:pPr>
        <w:pStyle w:val="ListParagraph"/>
        <w:numPr>
          <w:ilvl w:val="0"/>
          <w:numId w:val="6"/>
        </w:numPr>
        <w:spacing w:line="360" w:lineRule="auto"/>
        <w:rPr>
          <w:rFonts w:ascii="Arial" w:hAnsi="Arial" w:cs="Arial"/>
        </w:rPr>
      </w:pPr>
      <w:r w:rsidRPr="00215A33">
        <w:rPr>
          <w:rFonts w:ascii="Arial" w:hAnsi="Arial" w:cs="Arial"/>
        </w:rPr>
        <w:t xml:space="preserve">Holdaway, S., &amp; O’Neill, M. (2007). </w:t>
      </w:r>
      <w:r w:rsidRPr="00215A33">
        <w:rPr>
          <w:rFonts w:ascii="Arial" w:hAnsi="Arial" w:cs="Arial"/>
          <w:i/>
          <w:iCs/>
        </w:rPr>
        <w:t>Where has all the racism gone</w:t>
      </w:r>
      <w:r w:rsidRPr="00215A33">
        <w:rPr>
          <w:rFonts w:ascii="Arial" w:hAnsi="Arial" w:cs="Arial"/>
        </w:rPr>
        <w:t>? Views of racisms within</w:t>
      </w:r>
      <w:r w:rsidR="00C76FBC" w:rsidRPr="00215A33">
        <w:rPr>
          <w:rFonts w:ascii="Arial" w:hAnsi="Arial" w:cs="Arial"/>
        </w:rPr>
        <w:t xml:space="preserve"> </w:t>
      </w:r>
      <w:r w:rsidRPr="00215A33">
        <w:rPr>
          <w:rFonts w:ascii="Arial" w:hAnsi="Arial" w:cs="Arial"/>
        </w:rPr>
        <w:t>constabularies after Macpherson. Ethnic and Racial Studies, 30(3), 397-415.</w:t>
      </w:r>
    </w:p>
    <w:p w14:paraId="4ACA341A" w14:textId="6EF5BE67" w:rsidR="00215A33" w:rsidRPr="00215A33" w:rsidRDefault="00215A33" w:rsidP="00A515E8">
      <w:pPr>
        <w:pStyle w:val="ListParagraph"/>
        <w:numPr>
          <w:ilvl w:val="0"/>
          <w:numId w:val="6"/>
        </w:numPr>
        <w:spacing w:line="360" w:lineRule="auto"/>
        <w:rPr>
          <w:rFonts w:ascii="Arial" w:hAnsi="Arial" w:cs="Arial"/>
        </w:rPr>
      </w:pPr>
      <w:r w:rsidRPr="00215A33">
        <w:rPr>
          <w:rFonts w:ascii="Arial" w:hAnsi="Arial" w:cs="Arial"/>
        </w:rPr>
        <w:t>Home Office (2018) Serious and Organised Crime Strategy. London: HM Government.</w:t>
      </w:r>
    </w:p>
    <w:p w14:paraId="69C934E3" w14:textId="57347336" w:rsidR="00AE7F1F" w:rsidRPr="00215A33" w:rsidRDefault="00AE7F1F" w:rsidP="00AE7F1F">
      <w:pPr>
        <w:pStyle w:val="ListParagraph"/>
        <w:numPr>
          <w:ilvl w:val="0"/>
          <w:numId w:val="6"/>
        </w:numPr>
        <w:rPr>
          <w:rFonts w:ascii="Arial" w:hAnsi="Arial" w:cs="Arial"/>
        </w:rPr>
      </w:pPr>
      <w:r w:rsidRPr="00215A33">
        <w:rPr>
          <w:rFonts w:ascii="Arial" w:hAnsi="Arial" w:cs="Arial"/>
        </w:rPr>
        <w:t xml:space="preserve">Home Office (2024) </w:t>
      </w:r>
      <w:r w:rsidRPr="00215A33">
        <w:rPr>
          <w:rFonts w:ascii="Arial" w:hAnsi="Arial" w:cs="Arial"/>
          <w:i/>
          <w:iCs/>
        </w:rPr>
        <w:t>Police workforce, England and Wales: 31 March 2024</w:t>
      </w:r>
      <w:r w:rsidRPr="00215A33">
        <w:rPr>
          <w:rFonts w:ascii="Arial" w:hAnsi="Arial" w:cs="Arial"/>
        </w:rPr>
        <w:t>. London: HMSO.</w:t>
      </w:r>
    </w:p>
    <w:p w14:paraId="21C8CB4C" w14:textId="44342E52" w:rsidR="00DB267C" w:rsidRPr="00215A33" w:rsidRDefault="00DB267C" w:rsidP="00AE7F1F">
      <w:pPr>
        <w:pStyle w:val="ListParagraph"/>
        <w:numPr>
          <w:ilvl w:val="0"/>
          <w:numId w:val="6"/>
        </w:numPr>
        <w:rPr>
          <w:rFonts w:ascii="Arial" w:hAnsi="Arial" w:cs="Arial"/>
        </w:rPr>
      </w:pPr>
      <w:proofErr w:type="spellStart"/>
      <w:r w:rsidRPr="00215A33">
        <w:rPr>
          <w:rFonts w:ascii="Arial" w:hAnsi="Arial" w:cs="Arial"/>
        </w:rPr>
        <w:t>Houdmont</w:t>
      </w:r>
      <w:proofErr w:type="spellEnd"/>
      <w:r w:rsidRPr="00215A33">
        <w:rPr>
          <w:rFonts w:ascii="Arial" w:hAnsi="Arial" w:cs="Arial"/>
        </w:rPr>
        <w:t>, J. and Elliott-Davies, M., 2016. The management of mental health in UK police forces. Occupational Medicine, 66(7), pp.592–597.</w:t>
      </w:r>
    </w:p>
    <w:p w14:paraId="3FA08076" w14:textId="12268F9F" w:rsidR="00DB267C" w:rsidRPr="00215A33" w:rsidRDefault="00DB267C" w:rsidP="00DB267C">
      <w:pPr>
        <w:pStyle w:val="ListParagraph"/>
        <w:numPr>
          <w:ilvl w:val="0"/>
          <w:numId w:val="6"/>
        </w:numPr>
        <w:spacing w:after="0" w:line="240" w:lineRule="auto"/>
        <w:rPr>
          <w:rFonts w:ascii="Arial" w:eastAsia="Times New Roman" w:hAnsi="Arial" w:cs="Arial"/>
          <w:kern w:val="0"/>
          <w:lang w:eastAsia="en-GB"/>
          <w14:ligatures w14:val="none"/>
        </w:rPr>
      </w:pPr>
      <w:proofErr w:type="spellStart"/>
      <w:r w:rsidRPr="00215A33">
        <w:rPr>
          <w:rFonts w:ascii="Arial" w:eastAsia="Times New Roman" w:hAnsi="Arial" w:cs="Arial"/>
          <w:kern w:val="0"/>
          <w:lang w:eastAsia="en-GB"/>
          <w14:ligatures w14:val="none"/>
        </w:rPr>
        <w:t>Jetelina</w:t>
      </w:r>
      <w:proofErr w:type="spellEnd"/>
      <w:r w:rsidRPr="00215A33">
        <w:rPr>
          <w:rFonts w:ascii="Arial" w:eastAsia="Times New Roman" w:hAnsi="Arial" w:cs="Arial"/>
          <w:kern w:val="0"/>
          <w:lang w:eastAsia="en-GB"/>
          <w14:ligatures w14:val="none"/>
        </w:rPr>
        <w:t xml:space="preserve">, K.K., Molsberry, R.J., Gonzalez, J.R. and Beauchamp, A.M. (2020). </w:t>
      </w:r>
      <w:r w:rsidRPr="00215A33">
        <w:rPr>
          <w:rFonts w:ascii="Arial" w:eastAsia="Times New Roman" w:hAnsi="Arial" w:cs="Arial"/>
          <w:i/>
          <w:iCs/>
          <w:kern w:val="0"/>
          <w:lang w:eastAsia="en-GB"/>
          <w14:ligatures w14:val="none"/>
        </w:rPr>
        <w:t>Prevalence of mental illness and mental health care use among police officers.</w:t>
      </w:r>
      <w:r w:rsidRPr="00215A33">
        <w:rPr>
          <w:rFonts w:ascii="Arial" w:eastAsia="Times New Roman" w:hAnsi="Arial" w:cs="Arial"/>
          <w:kern w:val="0"/>
          <w:lang w:eastAsia="en-GB"/>
          <w14:ligatures w14:val="none"/>
        </w:rPr>
        <w:t xml:space="preserve"> JAMA Network Open, 3(10), e2019658.</w:t>
      </w:r>
    </w:p>
    <w:p w14:paraId="63630392" w14:textId="2F019C6A" w:rsidR="00DB267C" w:rsidRPr="00215A33" w:rsidRDefault="00DB267C" w:rsidP="00DB267C">
      <w:pPr>
        <w:pStyle w:val="ListParagraph"/>
        <w:numPr>
          <w:ilvl w:val="0"/>
          <w:numId w:val="6"/>
        </w:numPr>
        <w:spacing w:after="0" w:line="240" w:lineRule="auto"/>
        <w:rPr>
          <w:rFonts w:ascii="Arial" w:eastAsia="Times New Roman" w:hAnsi="Arial" w:cs="Arial"/>
          <w:kern w:val="0"/>
          <w:lang w:eastAsia="en-GB"/>
          <w14:ligatures w14:val="none"/>
        </w:rPr>
      </w:pPr>
      <w:r w:rsidRPr="00215A33">
        <w:rPr>
          <w:rFonts w:ascii="Arial" w:eastAsia="Times New Roman" w:hAnsi="Arial" w:cs="Arial"/>
          <w:kern w:val="0"/>
          <w:lang w:eastAsia="en-GB"/>
          <w14:ligatures w14:val="none"/>
        </w:rPr>
        <w:t xml:space="preserve">Karaffa, K.M. and </w:t>
      </w:r>
      <w:proofErr w:type="spellStart"/>
      <w:r w:rsidRPr="00215A33">
        <w:rPr>
          <w:rFonts w:ascii="Arial" w:eastAsia="Times New Roman" w:hAnsi="Arial" w:cs="Arial"/>
          <w:kern w:val="0"/>
          <w:lang w:eastAsia="en-GB"/>
          <w14:ligatures w14:val="none"/>
        </w:rPr>
        <w:t>Tochkov</w:t>
      </w:r>
      <w:proofErr w:type="spellEnd"/>
      <w:r w:rsidRPr="00215A33">
        <w:rPr>
          <w:rFonts w:ascii="Arial" w:eastAsia="Times New Roman" w:hAnsi="Arial" w:cs="Arial"/>
          <w:kern w:val="0"/>
          <w:lang w:eastAsia="en-GB"/>
          <w14:ligatures w14:val="none"/>
        </w:rPr>
        <w:t xml:space="preserve">, K. (2013). </w:t>
      </w:r>
      <w:r w:rsidRPr="00215A33">
        <w:rPr>
          <w:rFonts w:ascii="Arial" w:eastAsia="Times New Roman" w:hAnsi="Arial" w:cs="Arial"/>
          <w:i/>
          <w:iCs/>
          <w:kern w:val="0"/>
          <w:lang w:eastAsia="en-GB"/>
          <w14:ligatures w14:val="none"/>
        </w:rPr>
        <w:t>Attitudes toward seeking mental health treatment among law enforcement officers.</w:t>
      </w:r>
      <w:r w:rsidRPr="00215A33">
        <w:rPr>
          <w:rFonts w:ascii="Arial" w:eastAsia="Times New Roman" w:hAnsi="Arial" w:cs="Arial"/>
          <w:kern w:val="0"/>
          <w:lang w:eastAsia="en-GB"/>
          <w14:ligatures w14:val="none"/>
        </w:rPr>
        <w:t xml:space="preserve"> Applied Psychology in Criminal Justice, 9(2), pp.75-99.</w:t>
      </w:r>
    </w:p>
    <w:p w14:paraId="3A59716F" w14:textId="11809C1E" w:rsidR="00080300" w:rsidRPr="00215A33" w:rsidRDefault="00080300" w:rsidP="00DB267C">
      <w:pPr>
        <w:pStyle w:val="ListParagraph"/>
        <w:numPr>
          <w:ilvl w:val="0"/>
          <w:numId w:val="6"/>
        </w:numPr>
        <w:spacing w:after="0" w:line="240" w:lineRule="auto"/>
        <w:rPr>
          <w:rFonts w:ascii="Arial" w:eastAsia="Times New Roman" w:hAnsi="Arial" w:cs="Arial"/>
          <w:kern w:val="0"/>
          <w:lang w:eastAsia="en-GB"/>
          <w14:ligatures w14:val="none"/>
        </w:rPr>
      </w:pPr>
      <w:r w:rsidRPr="00215A33">
        <w:rPr>
          <w:rFonts w:ascii="Arial" w:eastAsia="Times New Roman" w:hAnsi="Arial" w:cs="Arial"/>
          <w:kern w:val="0"/>
          <w:lang w:eastAsia="en-GB"/>
          <w14:ligatures w14:val="none"/>
        </w:rPr>
        <w:t xml:space="preserve">Kiely, J and Butterworth, M. (2019) </w:t>
      </w:r>
      <w:r w:rsidRPr="00215A33">
        <w:rPr>
          <w:rFonts w:ascii="Arial" w:eastAsia="Times New Roman" w:hAnsi="Arial" w:cs="Arial"/>
          <w:i/>
          <w:iCs/>
          <w:kern w:val="0"/>
          <w:lang w:eastAsia="en-GB"/>
          <w14:ligatures w14:val="none"/>
        </w:rPr>
        <w:t xml:space="preserve">Police Wellbeing and organisational culture: A critical review. </w:t>
      </w:r>
      <w:r w:rsidRPr="00215A33">
        <w:rPr>
          <w:rFonts w:ascii="Arial" w:eastAsia="Times New Roman" w:hAnsi="Arial" w:cs="Arial"/>
          <w:kern w:val="0"/>
          <w:lang w:eastAsia="en-GB"/>
          <w14:ligatures w14:val="none"/>
        </w:rPr>
        <w:t>London: Centre for policing studies, University of South Wales.</w:t>
      </w:r>
    </w:p>
    <w:p w14:paraId="2441A04E" w14:textId="29230932" w:rsidR="00DF17CA" w:rsidRPr="00215A33" w:rsidRDefault="00DF17CA" w:rsidP="00DB267C">
      <w:pPr>
        <w:pStyle w:val="ListParagraph"/>
        <w:numPr>
          <w:ilvl w:val="0"/>
          <w:numId w:val="6"/>
        </w:numPr>
        <w:spacing w:after="0" w:line="240" w:lineRule="auto"/>
        <w:rPr>
          <w:rFonts w:ascii="Arial" w:eastAsia="Times New Roman" w:hAnsi="Arial" w:cs="Arial"/>
          <w:kern w:val="0"/>
          <w:lang w:eastAsia="en-GB"/>
          <w14:ligatures w14:val="none"/>
        </w:rPr>
      </w:pPr>
      <w:r w:rsidRPr="00215A33">
        <w:rPr>
          <w:rFonts w:ascii="Arial" w:eastAsia="Times New Roman" w:hAnsi="Arial" w:cs="Arial"/>
          <w:kern w:val="0"/>
          <w:lang w:eastAsia="en-GB"/>
          <w14:ligatures w14:val="none"/>
        </w:rPr>
        <w:t xml:space="preserve">Littell, J.H. (2005). </w:t>
      </w:r>
      <w:r w:rsidRPr="00215A33">
        <w:rPr>
          <w:rFonts w:ascii="Arial" w:eastAsia="Times New Roman" w:hAnsi="Arial" w:cs="Arial"/>
          <w:i/>
          <w:iCs/>
          <w:kern w:val="0"/>
          <w:lang w:eastAsia="en-GB"/>
          <w14:ligatures w14:val="none"/>
        </w:rPr>
        <w:t>Lessons from a systematic review of effects of multisystemic therapy.</w:t>
      </w:r>
      <w:r w:rsidRPr="00215A33">
        <w:rPr>
          <w:rFonts w:ascii="Arial" w:eastAsia="Times New Roman" w:hAnsi="Arial" w:cs="Arial"/>
          <w:kern w:val="0"/>
          <w:lang w:eastAsia="en-GB"/>
          <w14:ligatures w14:val="none"/>
        </w:rPr>
        <w:t xml:space="preserve"> Children and Youth Services Review, 27(4), 445-463.</w:t>
      </w:r>
    </w:p>
    <w:p w14:paraId="714274EC" w14:textId="2E6813B8" w:rsidR="00AE7F1F" w:rsidRPr="00215A33" w:rsidRDefault="00AE7F1F" w:rsidP="00AE7F1F">
      <w:pPr>
        <w:pStyle w:val="ListParagraph"/>
        <w:numPr>
          <w:ilvl w:val="0"/>
          <w:numId w:val="6"/>
        </w:numPr>
        <w:rPr>
          <w:rFonts w:ascii="Arial" w:hAnsi="Arial" w:cs="Arial"/>
        </w:rPr>
      </w:pPr>
      <w:r w:rsidRPr="00215A33">
        <w:rPr>
          <w:rFonts w:ascii="Arial" w:hAnsi="Arial" w:cs="Arial"/>
        </w:rPr>
        <w:t xml:space="preserve">Macpherson, W. (1999) </w:t>
      </w:r>
      <w:r w:rsidRPr="00215A33">
        <w:rPr>
          <w:rFonts w:ascii="Arial" w:hAnsi="Arial" w:cs="Arial"/>
          <w:i/>
          <w:iCs/>
        </w:rPr>
        <w:t>The Stephen Lawrence Inquiry: Report of an Inquiry.</w:t>
      </w:r>
      <w:r w:rsidRPr="00215A33">
        <w:rPr>
          <w:rFonts w:ascii="Arial" w:hAnsi="Arial" w:cs="Arial"/>
        </w:rPr>
        <w:t xml:space="preserve"> London: HMSO.</w:t>
      </w:r>
    </w:p>
    <w:p w14:paraId="76975EE0" w14:textId="311B8F40" w:rsidR="00C37EBC" w:rsidRPr="00215A33" w:rsidRDefault="00C37EBC" w:rsidP="00AE7F1F">
      <w:pPr>
        <w:pStyle w:val="ListParagraph"/>
        <w:numPr>
          <w:ilvl w:val="0"/>
          <w:numId w:val="6"/>
        </w:numPr>
        <w:rPr>
          <w:rFonts w:ascii="Arial" w:hAnsi="Arial" w:cs="Arial"/>
        </w:rPr>
      </w:pPr>
      <w:r w:rsidRPr="00215A33">
        <w:rPr>
          <w:rFonts w:ascii="Arial" w:hAnsi="Arial" w:cs="Arial"/>
        </w:rPr>
        <w:t xml:space="preserve">Melhuish, E., Belsky, J. and Barnes, J., (2008). </w:t>
      </w:r>
      <w:r w:rsidRPr="00215A33">
        <w:rPr>
          <w:rFonts w:ascii="Arial" w:hAnsi="Arial" w:cs="Arial"/>
          <w:i/>
          <w:iCs/>
        </w:rPr>
        <w:t>Effectiveness of Sure Start local programmes in promoting children’s development.</w:t>
      </w:r>
      <w:r w:rsidRPr="00215A33">
        <w:rPr>
          <w:rFonts w:ascii="Arial" w:hAnsi="Arial" w:cs="Arial"/>
        </w:rPr>
        <w:t xml:space="preserve"> British Medical Journal, 336(7649), pp.1–4.</w:t>
      </w:r>
    </w:p>
    <w:p w14:paraId="2A1058CC" w14:textId="092C607F" w:rsidR="00DF29EC" w:rsidRPr="00215A33" w:rsidRDefault="00DF29EC" w:rsidP="00AE7F1F">
      <w:pPr>
        <w:pStyle w:val="ListParagraph"/>
        <w:numPr>
          <w:ilvl w:val="0"/>
          <w:numId w:val="6"/>
        </w:numPr>
        <w:rPr>
          <w:rFonts w:ascii="Arial" w:hAnsi="Arial" w:cs="Arial"/>
        </w:rPr>
      </w:pPr>
      <w:r w:rsidRPr="00215A33">
        <w:rPr>
          <w:rFonts w:ascii="Arial" w:hAnsi="Arial" w:cs="Arial"/>
        </w:rPr>
        <w:t xml:space="preserve">Metropolitan Police (2021) </w:t>
      </w:r>
      <w:r w:rsidR="00CB7359" w:rsidRPr="00215A33">
        <w:rPr>
          <w:rFonts w:ascii="Arial" w:hAnsi="Arial" w:cs="Arial"/>
          <w:i/>
          <w:iCs/>
        </w:rPr>
        <w:t xml:space="preserve">The Met’s Strategy for Inclusion, Diversity and Engagement (STRIDE) 2021-2025. </w:t>
      </w:r>
      <w:r w:rsidR="00CB7359" w:rsidRPr="00215A33">
        <w:rPr>
          <w:rFonts w:ascii="Arial" w:hAnsi="Arial" w:cs="Arial"/>
        </w:rPr>
        <w:t xml:space="preserve">[Online] Available at: </w:t>
      </w:r>
      <w:hyperlink r:id="rId10" w:history="1">
        <w:r w:rsidR="00CB7359" w:rsidRPr="00215A33">
          <w:rPr>
            <w:rStyle w:val="Hyperlink"/>
            <w:rFonts w:ascii="Arial" w:hAnsi="Arial" w:cs="Arial"/>
          </w:rPr>
          <w:t>https://www.london.gov.uk/sites/default/files/item_3_stride_2021-2025_and_governance_process.pdf</w:t>
        </w:r>
      </w:hyperlink>
      <w:r w:rsidR="00CB7359" w:rsidRPr="00215A33">
        <w:rPr>
          <w:rFonts w:ascii="Arial" w:hAnsi="Arial" w:cs="Arial"/>
        </w:rPr>
        <w:t xml:space="preserve"> [Accessed 24/06/2025]. </w:t>
      </w:r>
    </w:p>
    <w:p w14:paraId="748CAC69" w14:textId="3DF63094" w:rsidR="00DB267C" w:rsidRPr="00215A33" w:rsidRDefault="00DB267C" w:rsidP="00AE7F1F">
      <w:pPr>
        <w:pStyle w:val="ListParagraph"/>
        <w:numPr>
          <w:ilvl w:val="0"/>
          <w:numId w:val="6"/>
        </w:numPr>
        <w:rPr>
          <w:rFonts w:ascii="Arial" w:hAnsi="Arial" w:cs="Arial"/>
        </w:rPr>
      </w:pPr>
      <w:r w:rsidRPr="00215A33">
        <w:rPr>
          <w:rFonts w:ascii="Arial" w:hAnsi="Arial" w:cs="Arial"/>
        </w:rPr>
        <w:t xml:space="preserve">Mind (2016). </w:t>
      </w:r>
      <w:r w:rsidRPr="00215A33">
        <w:rPr>
          <w:rFonts w:ascii="Arial" w:hAnsi="Arial" w:cs="Arial"/>
          <w:i/>
          <w:iCs/>
        </w:rPr>
        <w:t>Blue Light Programme: Research Summary.</w:t>
      </w:r>
      <w:r w:rsidRPr="00215A33">
        <w:rPr>
          <w:rFonts w:ascii="Arial" w:hAnsi="Arial" w:cs="Arial"/>
        </w:rPr>
        <w:t xml:space="preserve"> [online] Available at: </w:t>
      </w:r>
      <w:hyperlink r:id="rId11" w:tooltip="Original URL: https://www.mind.org.uk/. Click or tap if you trust this link." w:history="1">
        <w:r w:rsidRPr="00215A33">
          <w:rPr>
            <w:rStyle w:val="Hyperlink"/>
            <w:rFonts w:ascii="Arial" w:hAnsi="Arial" w:cs="Arial"/>
          </w:rPr>
          <w:t>https://www.mind.org.uk</w:t>
        </w:r>
      </w:hyperlink>
      <w:r w:rsidRPr="00215A33">
        <w:rPr>
          <w:rFonts w:ascii="Arial" w:hAnsi="Arial" w:cs="Arial"/>
        </w:rPr>
        <w:t> [Accessed 2</w:t>
      </w:r>
      <w:r w:rsidR="008D02D7" w:rsidRPr="00215A33">
        <w:rPr>
          <w:rFonts w:ascii="Arial" w:hAnsi="Arial" w:cs="Arial"/>
        </w:rPr>
        <w:t>4/06</w:t>
      </w:r>
      <w:r w:rsidRPr="00215A33">
        <w:rPr>
          <w:rFonts w:ascii="Arial" w:hAnsi="Arial" w:cs="Arial"/>
        </w:rPr>
        <w:t>2025].</w:t>
      </w:r>
    </w:p>
    <w:p w14:paraId="2B9DFFC6" w14:textId="6E37E469" w:rsidR="00AE7F1F" w:rsidRPr="00215A33" w:rsidRDefault="00AE7F1F" w:rsidP="00AE7F1F">
      <w:pPr>
        <w:pStyle w:val="ListParagraph"/>
        <w:numPr>
          <w:ilvl w:val="0"/>
          <w:numId w:val="6"/>
        </w:numPr>
        <w:rPr>
          <w:rFonts w:ascii="Arial" w:hAnsi="Arial" w:cs="Arial"/>
        </w:rPr>
      </w:pPr>
      <w:r w:rsidRPr="00215A33">
        <w:rPr>
          <w:rFonts w:ascii="Arial" w:hAnsi="Arial" w:cs="Arial"/>
        </w:rPr>
        <w:lastRenderedPageBreak/>
        <w:t>Murray, K. and Harkin, D. (2017) ‘</w:t>
      </w:r>
      <w:r w:rsidRPr="00215A33">
        <w:rPr>
          <w:rFonts w:ascii="Arial" w:hAnsi="Arial" w:cs="Arial"/>
          <w:i/>
          <w:iCs/>
        </w:rPr>
        <w:t>Policing in a multicultural society: the legitimacy gap’, Policing and Society</w:t>
      </w:r>
      <w:r w:rsidRPr="00215A33">
        <w:rPr>
          <w:rFonts w:ascii="Arial" w:hAnsi="Arial" w:cs="Arial"/>
        </w:rPr>
        <w:t>, 27(1), pp. 3–20.</w:t>
      </w:r>
    </w:p>
    <w:p w14:paraId="01022934" w14:textId="301AC813" w:rsidR="00933BB2" w:rsidRPr="00215A33" w:rsidRDefault="00933BB2" w:rsidP="00AE7F1F">
      <w:pPr>
        <w:pStyle w:val="ListParagraph"/>
        <w:numPr>
          <w:ilvl w:val="0"/>
          <w:numId w:val="6"/>
        </w:numPr>
        <w:rPr>
          <w:rFonts w:ascii="Arial" w:hAnsi="Arial" w:cs="Arial"/>
        </w:rPr>
      </w:pPr>
      <w:r w:rsidRPr="00215A33">
        <w:rPr>
          <w:rFonts w:ascii="Arial" w:hAnsi="Arial" w:cs="Arial"/>
        </w:rPr>
        <w:t xml:space="preserve">Myhill, A. (2012) </w:t>
      </w:r>
      <w:r w:rsidRPr="00215A33">
        <w:rPr>
          <w:rFonts w:ascii="Arial" w:hAnsi="Arial" w:cs="Arial"/>
          <w:i/>
          <w:iCs/>
        </w:rPr>
        <w:t xml:space="preserve">Community engagement in policing: Lessons from the literature. </w:t>
      </w:r>
      <w:r w:rsidRPr="00215A33">
        <w:rPr>
          <w:rFonts w:ascii="Arial" w:hAnsi="Arial" w:cs="Arial"/>
        </w:rPr>
        <w:t>National Policing Improvement Agency.</w:t>
      </w:r>
    </w:p>
    <w:p w14:paraId="592BE59E" w14:textId="118F6B38" w:rsidR="00215A33" w:rsidRPr="00215A33" w:rsidRDefault="00215A33" w:rsidP="00AE7F1F">
      <w:pPr>
        <w:pStyle w:val="ListParagraph"/>
        <w:numPr>
          <w:ilvl w:val="0"/>
          <w:numId w:val="6"/>
        </w:numPr>
        <w:rPr>
          <w:rFonts w:ascii="Arial" w:hAnsi="Arial" w:cs="Arial"/>
        </w:rPr>
      </w:pPr>
      <w:r w:rsidRPr="00215A33">
        <w:rPr>
          <w:rFonts w:ascii="Arial" w:hAnsi="Arial" w:cs="Arial"/>
        </w:rPr>
        <w:t>National Crime Agency (2023) National Strategic Assessment of Serious and Organised Crime. Available at: </w:t>
      </w:r>
      <w:hyperlink r:id="rId12" w:tooltip="Original URL: https://www.nationalcrimeagency.gov.uk/. Click or tap if you trust this link." w:history="1">
        <w:r w:rsidRPr="00215A33">
          <w:rPr>
            <w:rStyle w:val="Hyperlink"/>
            <w:rFonts w:ascii="Arial" w:hAnsi="Arial" w:cs="Arial"/>
          </w:rPr>
          <w:t>https://www.nationalcrimeagency.gov.uk</w:t>
        </w:r>
      </w:hyperlink>
    </w:p>
    <w:p w14:paraId="6F0568BB" w14:textId="1344449D" w:rsidR="00517EF1" w:rsidRPr="00215A33" w:rsidRDefault="00AE7F1F" w:rsidP="00AE7F1F">
      <w:pPr>
        <w:pStyle w:val="ListParagraph"/>
        <w:numPr>
          <w:ilvl w:val="0"/>
          <w:numId w:val="6"/>
        </w:numPr>
        <w:rPr>
          <w:rFonts w:ascii="Arial" w:hAnsi="Arial" w:cs="Arial"/>
        </w:rPr>
      </w:pPr>
      <w:r w:rsidRPr="00215A33">
        <w:rPr>
          <w:rFonts w:ascii="Arial" w:hAnsi="Arial" w:cs="Arial"/>
        </w:rPr>
        <w:t xml:space="preserve">Office for National Statistics (2023) </w:t>
      </w:r>
      <w:r w:rsidRPr="00215A33">
        <w:rPr>
          <w:rFonts w:ascii="Arial" w:hAnsi="Arial" w:cs="Arial"/>
          <w:i/>
          <w:iCs/>
        </w:rPr>
        <w:t>Crime Survey for England and Wales: perceptions of the police.</w:t>
      </w:r>
      <w:r w:rsidR="00C76FBC" w:rsidRPr="00215A33">
        <w:rPr>
          <w:rFonts w:ascii="Arial" w:hAnsi="Arial" w:cs="Arial"/>
        </w:rPr>
        <w:t xml:space="preserve"> [Online]</w:t>
      </w:r>
      <w:r w:rsidRPr="00215A33">
        <w:rPr>
          <w:rFonts w:ascii="Arial" w:hAnsi="Arial" w:cs="Arial"/>
        </w:rPr>
        <w:t xml:space="preserve"> Available at: </w:t>
      </w:r>
      <w:hyperlink r:id="rId13" w:tooltip="Original URL: https://www.ons.gov.uk/. Click or tap if you trust this link." w:history="1">
        <w:r w:rsidRPr="00215A33">
          <w:rPr>
            <w:rStyle w:val="Hyperlink"/>
            <w:rFonts w:ascii="Arial" w:hAnsi="Arial" w:cs="Arial"/>
            <w:u w:val="none"/>
          </w:rPr>
          <w:t>https://www.ons.gov.uk</w:t>
        </w:r>
      </w:hyperlink>
      <w:r w:rsidRPr="00215A33">
        <w:rPr>
          <w:rFonts w:ascii="Arial" w:hAnsi="Arial" w:cs="Arial"/>
        </w:rPr>
        <w:t xml:space="preserve">/ </w:t>
      </w:r>
      <w:r w:rsidR="008D02D7" w:rsidRPr="00215A33">
        <w:rPr>
          <w:rFonts w:ascii="Arial" w:hAnsi="Arial" w:cs="Arial"/>
        </w:rPr>
        <w:t>[</w:t>
      </w:r>
      <w:r w:rsidRPr="00215A33">
        <w:rPr>
          <w:rFonts w:ascii="Arial" w:hAnsi="Arial" w:cs="Arial"/>
        </w:rPr>
        <w:t xml:space="preserve">Accessed: </w:t>
      </w:r>
      <w:r w:rsidR="008D02D7" w:rsidRPr="00215A33">
        <w:rPr>
          <w:rFonts w:ascii="Arial" w:hAnsi="Arial" w:cs="Arial"/>
        </w:rPr>
        <w:t>24/06/</w:t>
      </w:r>
      <w:r w:rsidRPr="00215A33">
        <w:rPr>
          <w:rFonts w:ascii="Arial" w:hAnsi="Arial" w:cs="Arial"/>
        </w:rPr>
        <w:t xml:space="preserve"> 2025</w:t>
      </w:r>
      <w:r w:rsidR="008D02D7" w:rsidRPr="00215A33">
        <w:rPr>
          <w:rFonts w:ascii="Arial" w:hAnsi="Arial" w:cs="Arial"/>
        </w:rPr>
        <w:t>]</w:t>
      </w:r>
      <w:r w:rsidRPr="00215A33">
        <w:rPr>
          <w:rFonts w:ascii="Arial" w:hAnsi="Arial" w:cs="Arial"/>
        </w:rPr>
        <w:t>.</w:t>
      </w:r>
    </w:p>
    <w:p w14:paraId="62317FC9" w14:textId="0B732223" w:rsidR="00C37EBC" w:rsidRPr="00215A33" w:rsidRDefault="00C37EBC" w:rsidP="00AE7F1F">
      <w:pPr>
        <w:pStyle w:val="ListParagraph"/>
        <w:numPr>
          <w:ilvl w:val="0"/>
          <w:numId w:val="6"/>
        </w:numPr>
        <w:rPr>
          <w:rFonts w:ascii="Arial" w:hAnsi="Arial" w:cs="Arial"/>
        </w:rPr>
      </w:pPr>
      <w:r w:rsidRPr="00215A33">
        <w:rPr>
          <w:rFonts w:ascii="Arial" w:hAnsi="Arial" w:cs="Arial"/>
        </w:rPr>
        <w:t xml:space="preserve">Olds, D., Henderson, C.R., Cole, R., Eckenrode, J., Kitzman, H., Luckey, D. and Powers, J., (1998). </w:t>
      </w:r>
      <w:r w:rsidRPr="00215A33">
        <w:rPr>
          <w:rFonts w:ascii="Arial" w:hAnsi="Arial" w:cs="Arial"/>
          <w:i/>
          <w:iCs/>
        </w:rPr>
        <w:t xml:space="preserve">Long-term effects of nurse home visitation on children's criminal and antisocial </w:t>
      </w:r>
      <w:proofErr w:type="spellStart"/>
      <w:r w:rsidRPr="00215A33">
        <w:rPr>
          <w:rFonts w:ascii="Arial" w:hAnsi="Arial" w:cs="Arial"/>
          <w:i/>
          <w:iCs/>
        </w:rPr>
        <w:t>behavior</w:t>
      </w:r>
      <w:proofErr w:type="spellEnd"/>
      <w:r w:rsidRPr="00215A33">
        <w:rPr>
          <w:rFonts w:ascii="Arial" w:hAnsi="Arial" w:cs="Arial"/>
          <w:i/>
          <w:iCs/>
        </w:rPr>
        <w:t>: 15-year follow-up of a randomized controlled trial.</w:t>
      </w:r>
      <w:r w:rsidRPr="00215A33">
        <w:rPr>
          <w:rFonts w:ascii="Arial" w:hAnsi="Arial" w:cs="Arial"/>
        </w:rPr>
        <w:t xml:space="preserve"> JAMA, 280(14), pp.1238–1244</w:t>
      </w:r>
    </w:p>
    <w:p w14:paraId="2EA382B4" w14:textId="74728DD3" w:rsidR="00FF1B4B" w:rsidRPr="00215A33" w:rsidRDefault="00FF1B4B" w:rsidP="00AE7F1F">
      <w:pPr>
        <w:pStyle w:val="ListParagraph"/>
        <w:numPr>
          <w:ilvl w:val="0"/>
          <w:numId w:val="6"/>
        </w:numPr>
        <w:rPr>
          <w:rFonts w:ascii="Arial" w:hAnsi="Arial" w:cs="Arial"/>
        </w:rPr>
      </w:pPr>
      <w:r w:rsidRPr="00215A33">
        <w:rPr>
          <w:rFonts w:ascii="Arial" w:hAnsi="Arial" w:cs="Arial"/>
        </w:rPr>
        <w:t xml:space="preserve">Papazoglou, K. &amp; Andersen, J.P. (2014) </w:t>
      </w:r>
      <w:r w:rsidRPr="00215A33">
        <w:rPr>
          <w:rFonts w:ascii="Arial" w:hAnsi="Arial" w:cs="Arial"/>
          <w:i/>
          <w:iCs/>
        </w:rPr>
        <w:t xml:space="preserve">A guide to utilizing police training as a tool to promote resilience and improve health outcomes among police </w:t>
      </w:r>
      <w:proofErr w:type="gramStart"/>
      <w:r w:rsidRPr="00215A33">
        <w:rPr>
          <w:rFonts w:ascii="Arial" w:hAnsi="Arial" w:cs="Arial"/>
          <w:i/>
          <w:iCs/>
        </w:rPr>
        <w:t>officer</w:t>
      </w:r>
      <w:proofErr w:type="gramEnd"/>
      <w:r w:rsidRPr="00215A33">
        <w:rPr>
          <w:rFonts w:ascii="Arial" w:hAnsi="Arial" w:cs="Arial"/>
          <w:i/>
          <w:iCs/>
        </w:rPr>
        <w:t xml:space="preserve">. </w:t>
      </w:r>
      <w:r w:rsidRPr="00215A33">
        <w:rPr>
          <w:rFonts w:ascii="Arial" w:hAnsi="Arial" w:cs="Arial"/>
        </w:rPr>
        <w:t>Traumatology, 20(2), pp.103-111.</w:t>
      </w:r>
    </w:p>
    <w:p w14:paraId="294166DD" w14:textId="5EC541B6" w:rsidR="00DB267C" w:rsidRPr="00215A33" w:rsidRDefault="00DB267C" w:rsidP="00AE7F1F">
      <w:pPr>
        <w:pStyle w:val="ListParagraph"/>
        <w:numPr>
          <w:ilvl w:val="0"/>
          <w:numId w:val="6"/>
        </w:numPr>
        <w:rPr>
          <w:rFonts w:ascii="Arial" w:hAnsi="Arial" w:cs="Arial"/>
        </w:rPr>
      </w:pPr>
      <w:r w:rsidRPr="00215A33">
        <w:rPr>
          <w:rFonts w:ascii="Arial" w:hAnsi="Arial" w:cs="Arial"/>
        </w:rPr>
        <w:t xml:space="preserve">Patterson, G.T., Chung, I.W. and Swan, P.W., (2014). </w:t>
      </w:r>
      <w:r w:rsidRPr="00215A33">
        <w:rPr>
          <w:rFonts w:ascii="Arial" w:hAnsi="Arial" w:cs="Arial"/>
          <w:i/>
          <w:iCs/>
        </w:rPr>
        <w:t>Stress management interventions for police officers and recruits: A meta-analysis.</w:t>
      </w:r>
      <w:r w:rsidRPr="00215A33">
        <w:rPr>
          <w:rFonts w:ascii="Arial" w:hAnsi="Arial" w:cs="Arial"/>
        </w:rPr>
        <w:t xml:space="preserve"> Journal of Experimental Criminology, 10(4), pp.487–513.</w:t>
      </w:r>
    </w:p>
    <w:p w14:paraId="17DC9917" w14:textId="472A6EBF" w:rsidR="00215A33" w:rsidRPr="00215A33" w:rsidRDefault="00215A33" w:rsidP="00AE7F1F">
      <w:pPr>
        <w:pStyle w:val="ListParagraph"/>
        <w:numPr>
          <w:ilvl w:val="0"/>
          <w:numId w:val="6"/>
        </w:numPr>
        <w:rPr>
          <w:rFonts w:ascii="Arial" w:hAnsi="Arial" w:cs="Arial"/>
        </w:rPr>
      </w:pPr>
      <w:r w:rsidRPr="00215A33">
        <w:rPr>
          <w:rFonts w:ascii="Arial" w:hAnsi="Arial" w:cs="Arial"/>
        </w:rPr>
        <w:t>Pitts, J. (2008) Reluctant Gangsters: Youth Gangs in Waltham Forest. Cullompton: Willan.</w:t>
      </w:r>
    </w:p>
    <w:p w14:paraId="4CA1DEAA" w14:textId="78E7F9E5" w:rsidR="00215A33" w:rsidRPr="00215A33" w:rsidRDefault="00215A33" w:rsidP="00AE7F1F">
      <w:pPr>
        <w:pStyle w:val="ListParagraph"/>
        <w:numPr>
          <w:ilvl w:val="0"/>
          <w:numId w:val="6"/>
        </w:numPr>
        <w:rPr>
          <w:rFonts w:ascii="Arial" w:hAnsi="Arial" w:cs="Arial"/>
        </w:rPr>
      </w:pPr>
      <w:r w:rsidRPr="00215A33">
        <w:rPr>
          <w:rFonts w:ascii="Arial" w:hAnsi="Arial" w:cs="Arial"/>
        </w:rPr>
        <w:t>Public Health England (2019) A Whole System Approach to Tackling Serious Violence. London: PHE.</w:t>
      </w:r>
    </w:p>
    <w:p w14:paraId="1C902926" w14:textId="53C98FDB" w:rsidR="00DB267C" w:rsidRPr="00215A33" w:rsidRDefault="00DB267C" w:rsidP="00DB267C">
      <w:pPr>
        <w:pStyle w:val="ListParagraph"/>
        <w:numPr>
          <w:ilvl w:val="0"/>
          <w:numId w:val="6"/>
        </w:numPr>
        <w:spacing w:after="0" w:line="240" w:lineRule="auto"/>
        <w:rPr>
          <w:rFonts w:ascii="Arial" w:eastAsia="Times New Roman" w:hAnsi="Arial" w:cs="Arial"/>
          <w:kern w:val="0"/>
          <w:lang w:eastAsia="en-GB"/>
          <w14:ligatures w14:val="none"/>
        </w:rPr>
      </w:pPr>
      <w:proofErr w:type="spellStart"/>
      <w:r w:rsidRPr="00215A33">
        <w:rPr>
          <w:rFonts w:ascii="Arial" w:eastAsia="Times New Roman" w:hAnsi="Arial" w:cs="Arial"/>
          <w:kern w:val="0"/>
          <w:lang w:eastAsia="en-GB"/>
          <w14:ligatures w14:val="none"/>
        </w:rPr>
        <w:t>Purba</w:t>
      </w:r>
      <w:proofErr w:type="spellEnd"/>
      <w:r w:rsidRPr="00215A33">
        <w:rPr>
          <w:rFonts w:ascii="Arial" w:eastAsia="Times New Roman" w:hAnsi="Arial" w:cs="Arial"/>
          <w:kern w:val="0"/>
          <w:lang w:eastAsia="en-GB"/>
          <w14:ligatures w14:val="none"/>
        </w:rPr>
        <w:t xml:space="preserve">, A. and </w:t>
      </w:r>
      <w:proofErr w:type="spellStart"/>
      <w:r w:rsidRPr="00215A33">
        <w:rPr>
          <w:rFonts w:ascii="Arial" w:eastAsia="Times New Roman" w:hAnsi="Arial" w:cs="Arial"/>
          <w:kern w:val="0"/>
          <w:lang w:eastAsia="en-GB"/>
          <w14:ligatures w14:val="none"/>
        </w:rPr>
        <w:t>Demou</w:t>
      </w:r>
      <w:proofErr w:type="spellEnd"/>
      <w:r w:rsidRPr="00215A33">
        <w:rPr>
          <w:rFonts w:ascii="Arial" w:eastAsia="Times New Roman" w:hAnsi="Arial" w:cs="Arial"/>
          <w:kern w:val="0"/>
          <w:lang w:eastAsia="en-GB"/>
          <w14:ligatures w14:val="none"/>
        </w:rPr>
        <w:t xml:space="preserve">, E., (2019). </w:t>
      </w:r>
      <w:r w:rsidRPr="00215A33">
        <w:rPr>
          <w:rFonts w:ascii="Arial" w:eastAsia="Times New Roman" w:hAnsi="Arial" w:cs="Arial"/>
          <w:i/>
          <w:iCs/>
          <w:kern w:val="0"/>
          <w:lang w:eastAsia="en-GB"/>
          <w14:ligatures w14:val="none"/>
        </w:rPr>
        <w:t>The relationship between organisational stressors and mental wellbeing within police officers: A systematic review.</w:t>
      </w:r>
      <w:r w:rsidRPr="00215A33">
        <w:rPr>
          <w:rFonts w:ascii="Arial" w:eastAsia="Times New Roman" w:hAnsi="Arial" w:cs="Arial"/>
          <w:kern w:val="0"/>
          <w:lang w:eastAsia="en-GB"/>
          <w14:ligatures w14:val="none"/>
        </w:rPr>
        <w:t xml:space="preserve"> BMC Public Health, 19(1), p.1286.</w:t>
      </w:r>
    </w:p>
    <w:p w14:paraId="394E30B0" w14:textId="2275CEED" w:rsidR="00C76FBC" w:rsidRPr="00215A33" w:rsidRDefault="00C76FBC" w:rsidP="00DB267C">
      <w:pPr>
        <w:pStyle w:val="ListParagraph"/>
        <w:numPr>
          <w:ilvl w:val="0"/>
          <w:numId w:val="6"/>
        </w:numPr>
        <w:spacing w:after="0" w:line="240" w:lineRule="auto"/>
        <w:rPr>
          <w:rFonts w:ascii="Arial" w:eastAsia="Times New Roman" w:hAnsi="Arial" w:cs="Arial"/>
          <w:kern w:val="0"/>
          <w:lang w:eastAsia="en-GB"/>
          <w14:ligatures w14:val="none"/>
        </w:rPr>
      </w:pPr>
      <w:r w:rsidRPr="00215A33">
        <w:rPr>
          <w:rFonts w:ascii="Arial" w:hAnsi="Arial" w:cs="Arial"/>
        </w:rPr>
        <w:t xml:space="preserve">Reiner, R (2020) </w:t>
      </w:r>
      <w:r w:rsidRPr="00215A33">
        <w:rPr>
          <w:rFonts w:ascii="Arial" w:hAnsi="Arial" w:cs="Arial"/>
          <w:i/>
          <w:iCs/>
        </w:rPr>
        <w:t xml:space="preserve">The Politics of the Police. </w:t>
      </w:r>
      <w:r w:rsidRPr="00215A33">
        <w:rPr>
          <w:rFonts w:ascii="Arial" w:hAnsi="Arial" w:cs="Arial"/>
        </w:rPr>
        <w:t>5</w:t>
      </w:r>
      <w:r w:rsidRPr="00215A33">
        <w:rPr>
          <w:rFonts w:ascii="Arial" w:hAnsi="Arial" w:cs="Arial"/>
          <w:vertAlign w:val="superscript"/>
        </w:rPr>
        <w:t>th</w:t>
      </w:r>
      <w:r w:rsidRPr="00215A33">
        <w:rPr>
          <w:rFonts w:ascii="Arial" w:hAnsi="Arial" w:cs="Arial"/>
        </w:rPr>
        <w:t xml:space="preserve"> </w:t>
      </w:r>
      <w:proofErr w:type="spellStart"/>
      <w:r w:rsidRPr="00215A33">
        <w:rPr>
          <w:rFonts w:ascii="Arial" w:hAnsi="Arial" w:cs="Arial"/>
        </w:rPr>
        <w:t>edn</w:t>
      </w:r>
      <w:proofErr w:type="spellEnd"/>
      <w:r w:rsidRPr="00215A33">
        <w:rPr>
          <w:rFonts w:ascii="Arial" w:hAnsi="Arial" w:cs="Arial"/>
        </w:rPr>
        <w:t>. Oxford: Oxford University Press.</w:t>
      </w:r>
    </w:p>
    <w:p w14:paraId="4330FD9B" w14:textId="438065DC" w:rsidR="00215A33" w:rsidRPr="00215A33" w:rsidRDefault="00215A33" w:rsidP="00DB267C">
      <w:pPr>
        <w:pStyle w:val="ListParagraph"/>
        <w:numPr>
          <w:ilvl w:val="0"/>
          <w:numId w:val="6"/>
        </w:numPr>
        <w:spacing w:after="0" w:line="240" w:lineRule="auto"/>
        <w:rPr>
          <w:rFonts w:ascii="Arial" w:eastAsia="Times New Roman" w:hAnsi="Arial" w:cs="Arial"/>
          <w:kern w:val="0"/>
          <w:lang w:eastAsia="en-GB"/>
          <w14:ligatures w14:val="none"/>
        </w:rPr>
      </w:pPr>
      <w:r w:rsidRPr="00215A33">
        <w:rPr>
          <w:rFonts w:ascii="Arial" w:hAnsi="Arial" w:cs="Arial"/>
        </w:rPr>
        <w:t>Robinson, G., McLean, R. and Densley, J. (2019) ‘Working County Lines: Child criminal exploitation and illicit drug dealing in Glasgow and Merseyside’, International Journal of Offender Therapy and Comparative Criminology, 63(5), pp.694–711.</w:t>
      </w:r>
    </w:p>
    <w:p w14:paraId="5685AE19" w14:textId="237B60E4" w:rsidR="00DF17CA" w:rsidRPr="00215A33" w:rsidRDefault="00DF17CA" w:rsidP="00DB267C">
      <w:pPr>
        <w:pStyle w:val="ListParagraph"/>
        <w:numPr>
          <w:ilvl w:val="0"/>
          <w:numId w:val="6"/>
        </w:numPr>
        <w:spacing w:after="0" w:line="240" w:lineRule="auto"/>
        <w:rPr>
          <w:rFonts w:ascii="Arial" w:eastAsia="Times New Roman" w:hAnsi="Arial" w:cs="Arial"/>
          <w:kern w:val="0"/>
          <w:lang w:eastAsia="en-GB"/>
          <w14:ligatures w14:val="none"/>
        </w:rPr>
      </w:pPr>
      <w:r w:rsidRPr="00215A33">
        <w:rPr>
          <w:rFonts w:ascii="Arial" w:hAnsi="Arial" w:cs="Arial"/>
        </w:rPr>
        <w:t xml:space="preserve">Sheehan, R, (2012) </w:t>
      </w:r>
      <w:r w:rsidRPr="00215A33">
        <w:rPr>
          <w:rFonts w:ascii="Arial" w:hAnsi="Arial" w:cs="Arial"/>
          <w:i/>
          <w:iCs/>
        </w:rPr>
        <w:t xml:space="preserve">Reoffending and Rehabilitation. </w:t>
      </w:r>
      <w:proofErr w:type="gramStart"/>
      <w:r w:rsidRPr="00215A33">
        <w:rPr>
          <w:rFonts w:ascii="Arial" w:hAnsi="Arial" w:cs="Arial"/>
          <w:i/>
          <w:iCs/>
        </w:rPr>
        <w:t>In :</w:t>
      </w:r>
      <w:proofErr w:type="gramEnd"/>
      <w:r w:rsidRPr="00215A33">
        <w:rPr>
          <w:rFonts w:ascii="Arial" w:hAnsi="Arial" w:cs="Arial"/>
          <w:i/>
          <w:iCs/>
        </w:rPr>
        <w:t xml:space="preserve"> M. Malloch and B. </w:t>
      </w:r>
      <w:proofErr w:type="spellStart"/>
      <w:r w:rsidRPr="00215A33">
        <w:rPr>
          <w:rFonts w:ascii="Arial" w:hAnsi="Arial" w:cs="Arial"/>
          <w:i/>
          <w:iCs/>
        </w:rPr>
        <w:t>Mclvor</w:t>
      </w:r>
      <w:proofErr w:type="spellEnd"/>
      <w:r w:rsidRPr="00215A33">
        <w:rPr>
          <w:rFonts w:ascii="Arial" w:hAnsi="Arial" w:cs="Arial"/>
          <w:i/>
          <w:iCs/>
        </w:rPr>
        <w:t xml:space="preserve"> eds. Women, punishment and social justice. </w:t>
      </w:r>
      <w:r w:rsidRPr="00215A33">
        <w:rPr>
          <w:rFonts w:ascii="Arial" w:hAnsi="Arial" w:cs="Arial"/>
        </w:rPr>
        <w:t>London: Routledge, pp.183-197.</w:t>
      </w:r>
    </w:p>
    <w:p w14:paraId="59CDF205" w14:textId="170E0930" w:rsidR="00614195" w:rsidRPr="00215A33" w:rsidRDefault="00614195" w:rsidP="00DB267C">
      <w:pPr>
        <w:pStyle w:val="ListParagraph"/>
        <w:numPr>
          <w:ilvl w:val="0"/>
          <w:numId w:val="6"/>
        </w:numPr>
        <w:spacing w:after="0" w:line="240" w:lineRule="auto"/>
        <w:rPr>
          <w:rFonts w:ascii="Arial" w:eastAsia="Times New Roman" w:hAnsi="Arial" w:cs="Arial"/>
          <w:kern w:val="0"/>
          <w:lang w:eastAsia="en-GB"/>
          <w14:ligatures w14:val="none"/>
        </w:rPr>
      </w:pPr>
      <w:r w:rsidRPr="00215A33">
        <w:rPr>
          <w:rFonts w:ascii="Arial" w:hAnsi="Arial" w:cs="Arial"/>
        </w:rPr>
        <w:t xml:space="preserve">Smith, D. Prior, J. and Huckle, S. (2012) </w:t>
      </w:r>
      <w:r w:rsidRPr="00215A33">
        <w:rPr>
          <w:rFonts w:ascii="Arial" w:hAnsi="Arial" w:cs="Arial"/>
          <w:i/>
          <w:iCs/>
        </w:rPr>
        <w:t xml:space="preserve">An evaluation of the Youth Inclusion Programme (YIP): </w:t>
      </w:r>
      <w:proofErr w:type="spellStart"/>
      <w:r w:rsidRPr="00215A33">
        <w:rPr>
          <w:rFonts w:ascii="Arial" w:hAnsi="Arial" w:cs="Arial"/>
          <w:i/>
          <w:iCs/>
        </w:rPr>
        <w:t>Pmplementation</w:t>
      </w:r>
      <w:proofErr w:type="spellEnd"/>
      <w:r w:rsidRPr="00215A33">
        <w:rPr>
          <w:rFonts w:ascii="Arial" w:hAnsi="Arial" w:cs="Arial"/>
          <w:i/>
          <w:iCs/>
        </w:rPr>
        <w:t xml:space="preserve"> and Outcomes. </w:t>
      </w:r>
      <w:r w:rsidRPr="00215A33">
        <w:rPr>
          <w:rFonts w:ascii="Arial" w:hAnsi="Arial" w:cs="Arial"/>
        </w:rPr>
        <w:t>Youth Justice, 12(2), pp.123-140.</w:t>
      </w:r>
    </w:p>
    <w:p w14:paraId="7ABCAB79" w14:textId="77777777" w:rsidR="00DB267C" w:rsidRPr="00215A33" w:rsidRDefault="00DB267C" w:rsidP="00DB267C">
      <w:pPr>
        <w:pStyle w:val="ListParagraph"/>
        <w:numPr>
          <w:ilvl w:val="0"/>
          <w:numId w:val="6"/>
        </w:numPr>
        <w:spacing w:after="0" w:line="240" w:lineRule="auto"/>
        <w:rPr>
          <w:rFonts w:ascii="Arial" w:eastAsia="Times New Roman" w:hAnsi="Arial" w:cs="Arial"/>
          <w:kern w:val="0"/>
          <w:lang w:eastAsia="en-GB"/>
          <w14:ligatures w14:val="none"/>
        </w:rPr>
      </w:pPr>
      <w:r w:rsidRPr="00215A33">
        <w:rPr>
          <w:rFonts w:ascii="Arial" w:eastAsia="Times New Roman" w:hAnsi="Arial" w:cs="Arial"/>
          <w:kern w:val="0"/>
          <w:lang w:eastAsia="en-GB"/>
          <w14:ligatures w14:val="none"/>
        </w:rPr>
        <w:t xml:space="preserve">Stogner, J., Miller, B.L. and McLean, K., 2020. </w:t>
      </w:r>
      <w:r w:rsidRPr="00215A33">
        <w:rPr>
          <w:rFonts w:ascii="Arial" w:eastAsia="Times New Roman" w:hAnsi="Arial" w:cs="Arial"/>
          <w:i/>
          <w:iCs/>
          <w:kern w:val="0"/>
          <w:lang w:eastAsia="en-GB"/>
          <w14:ligatures w14:val="none"/>
        </w:rPr>
        <w:t>Police stress, mental health, and resiliency during the COVID-19 pandemic.</w:t>
      </w:r>
      <w:r w:rsidRPr="00215A33">
        <w:rPr>
          <w:rFonts w:ascii="Arial" w:eastAsia="Times New Roman" w:hAnsi="Arial" w:cs="Arial"/>
          <w:kern w:val="0"/>
          <w:lang w:eastAsia="en-GB"/>
          <w14:ligatures w14:val="none"/>
        </w:rPr>
        <w:t xml:space="preserve"> American Journal of Criminal Justice, 45(4), pp.718–730.</w:t>
      </w:r>
    </w:p>
    <w:p w14:paraId="7565E36A" w14:textId="03BCD369" w:rsidR="009C0DF1" w:rsidRPr="00215A33" w:rsidRDefault="009C0DF1" w:rsidP="00DB267C">
      <w:pPr>
        <w:pStyle w:val="ListParagraph"/>
        <w:numPr>
          <w:ilvl w:val="0"/>
          <w:numId w:val="6"/>
        </w:numPr>
        <w:spacing w:after="0" w:line="240" w:lineRule="auto"/>
        <w:rPr>
          <w:rFonts w:ascii="Arial" w:eastAsia="Times New Roman" w:hAnsi="Arial" w:cs="Arial"/>
          <w:kern w:val="0"/>
          <w:lang w:eastAsia="en-GB"/>
          <w14:ligatures w14:val="none"/>
        </w:rPr>
      </w:pPr>
      <w:r w:rsidRPr="00215A33">
        <w:rPr>
          <w:rFonts w:ascii="Arial" w:eastAsia="Times New Roman" w:hAnsi="Arial" w:cs="Arial"/>
          <w:kern w:val="0"/>
          <w:lang w:eastAsia="en-GB"/>
          <w14:ligatures w14:val="none"/>
        </w:rPr>
        <w:t xml:space="preserve">Tyler, T.R. and Huo, Y.J. (2002) </w:t>
      </w:r>
      <w:r w:rsidRPr="00215A33">
        <w:rPr>
          <w:rFonts w:ascii="Arial" w:eastAsia="Times New Roman" w:hAnsi="Arial" w:cs="Arial"/>
          <w:i/>
          <w:iCs/>
          <w:kern w:val="0"/>
          <w:lang w:eastAsia="en-GB"/>
          <w14:ligatures w14:val="none"/>
        </w:rPr>
        <w:t xml:space="preserve">Trust in the law: Encouraging public cooperation with the police and courts. </w:t>
      </w:r>
      <w:r w:rsidRPr="00215A33">
        <w:rPr>
          <w:rFonts w:ascii="Arial" w:eastAsia="Times New Roman" w:hAnsi="Arial" w:cs="Arial"/>
          <w:kern w:val="0"/>
          <w:lang w:eastAsia="en-GB"/>
          <w14:ligatures w14:val="none"/>
        </w:rPr>
        <w:t>New York: Russel Sage Foundation.</w:t>
      </w:r>
    </w:p>
    <w:p w14:paraId="677F8704" w14:textId="785B58B5" w:rsidR="0003021B" w:rsidRPr="00215A33" w:rsidRDefault="00DB267C" w:rsidP="00080300">
      <w:pPr>
        <w:pStyle w:val="ListParagraph"/>
        <w:numPr>
          <w:ilvl w:val="0"/>
          <w:numId w:val="6"/>
        </w:numPr>
        <w:spacing w:after="0" w:line="240" w:lineRule="auto"/>
        <w:rPr>
          <w:rFonts w:ascii="Arial" w:eastAsia="Times New Roman" w:hAnsi="Arial" w:cs="Arial"/>
          <w:kern w:val="0"/>
          <w:lang w:eastAsia="en-GB"/>
          <w14:ligatures w14:val="none"/>
        </w:rPr>
      </w:pPr>
      <w:r w:rsidRPr="00215A33">
        <w:rPr>
          <w:rFonts w:ascii="Arial" w:eastAsia="Times New Roman" w:hAnsi="Arial" w:cs="Arial"/>
          <w:kern w:val="0"/>
          <w:lang w:eastAsia="en-GB"/>
          <w14:ligatures w14:val="none"/>
        </w:rPr>
        <w:t>V</w:t>
      </w:r>
      <w:r w:rsidR="0003021B" w:rsidRPr="00215A33">
        <w:rPr>
          <w:rFonts w:ascii="Arial" w:eastAsia="Times New Roman" w:hAnsi="Arial" w:cs="Arial"/>
          <w:kern w:val="0"/>
          <w:lang w:eastAsia="en-GB"/>
          <w14:ligatures w14:val="none"/>
        </w:rPr>
        <w:t xml:space="preserve">an Der Stouwe, T. Asscher, J.J. </w:t>
      </w:r>
      <w:proofErr w:type="spellStart"/>
      <w:r w:rsidR="0003021B" w:rsidRPr="00215A33">
        <w:rPr>
          <w:rFonts w:ascii="Arial" w:eastAsia="Times New Roman" w:hAnsi="Arial" w:cs="Arial"/>
          <w:kern w:val="0"/>
          <w:lang w:eastAsia="en-GB"/>
          <w14:ligatures w14:val="none"/>
        </w:rPr>
        <w:t>Stams</w:t>
      </w:r>
      <w:proofErr w:type="spellEnd"/>
      <w:r w:rsidR="0003021B" w:rsidRPr="00215A33">
        <w:rPr>
          <w:rFonts w:ascii="Arial" w:eastAsia="Times New Roman" w:hAnsi="Arial" w:cs="Arial"/>
          <w:kern w:val="0"/>
          <w:lang w:eastAsia="en-GB"/>
          <w14:ligatures w14:val="none"/>
        </w:rPr>
        <w:t xml:space="preserve">, G.J. </w:t>
      </w:r>
      <w:proofErr w:type="spellStart"/>
      <w:r w:rsidR="0003021B" w:rsidRPr="00215A33">
        <w:rPr>
          <w:rFonts w:ascii="Arial" w:eastAsia="Times New Roman" w:hAnsi="Arial" w:cs="Arial"/>
          <w:kern w:val="0"/>
          <w:lang w:eastAsia="en-GB"/>
          <w14:ligatures w14:val="none"/>
        </w:rPr>
        <w:t>Dekovic</w:t>
      </w:r>
      <w:proofErr w:type="spellEnd"/>
      <w:r w:rsidR="0003021B" w:rsidRPr="00215A33">
        <w:rPr>
          <w:rFonts w:ascii="Arial" w:eastAsia="Times New Roman" w:hAnsi="Arial" w:cs="Arial"/>
          <w:kern w:val="0"/>
          <w:lang w:eastAsia="en-GB"/>
          <w14:ligatures w14:val="none"/>
        </w:rPr>
        <w:t xml:space="preserve">, M. and Van Der </w:t>
      </w:r>
      <w:proofErr w:type="spellStart"/>
      <w:r w:rsidR="0003021B" w:rsidRPr="00215A33">
        <w:rPr>
          <w:rFonts w:ascii="Arial" w:eastAsia="Times New Roman" w:hAnsi="Arial" w:cs="Arial"/>
          <w:kern w:val="0"/>
          <w:lang w:eastAsia="en-GB"/>
          <w14:ligatures w14:val="none"/>
        </w:rPr>
        <w:t>Lannm</w:t>
      </w:r>
      <w:proofErr w:type="spellEnd"/>
      <w:r w:rsidR="0003021B" w:rsidRPr="00215A33">
        <w:rPr>
          <w:rFonts w:ascii="Arial" w:eastAsia="Times New Roman" w:hAnsi="Arial" w:cs="Arial"/>
          <w:kern w:val="0"/>
          <w:lang w:eastAsia="en-GB"/>
          <w14:ligatures w14:val="none"/>
        </w:rPr>
        <w:t xml:space="preserve"> P.H. (2014) </w:t>
      </w:r>
      <w:r w:rsidR="0003021B" w:rsidRPr="00215A33">
        <w:rPr>
          <w:rFonts w:ascii="Arial" w:eastAsia="Times New Roman" w:hAnsi="Arial" w:cs="Arial"/>
          <w:i/>
          <w:iCs/>
          <w:kern w:val="0"/>
          <w:lang w:eastAsia="en-GB"/>
          <w14:ligatures w14:val="none"/>
        </w:rPr>
        <w:t xml:space="preserve">The effectiveness of Multisystemic Therapy (MST): A </w:t>
      </w:r>
      <w:proofErr w:type="spellStart"/>
      <w:proofErr w:type="gramStart"/>
      <w:r w:rsidR="0003021B" w:rsidRPr="00215A33">
        <w:rPr>
          <w:rFonts w:ascii="Arial" w:eastAsia="Times New Roman" w:hAnsi="Arial" w:cs="Arial"/>
          <w:i/>
          <w:iCs/>
          <w:kern w:val="0"/>
          <w:lang w:eastAsia="en-GB"/>
          <w14:ligatures w14:val="none"/>
        </w:rPr>
        <w:t>meta analysis</w:t>
      </w:r>
      <w:proofErr w:type="spellEnd"/>
      <w:proofErr w:type="gramEnd"/>
      <w:r w:rsidR="0003021B" w:rsidRPr="00215A33">
        <w:rPr>
          <w:rFonts w:ascii="Arial" w:eastAsia="Times New Roman" w:hAnsi="Arial" w:cs="Arial"/>
          <w:i/>
          <w:iCs/>
          <w:kern w:val="0"/>
          <w:lang w:eastAsia="en-GB"/>
          <w14:ligatures w14:val="none"/>
        </w:rPr>
        <w:t xml:space="preserve">. </w:t>
      </w:r>
      <w:r w:rsidR="0003021B" w:rsidRPr="00215A33">
        <w:rPr>
          <w:rFonts w:ascii="Arial" w:eastAsia="Times New Roman" w:hAnsi="Arial" w:cs="Arial"/>
          <w:kern w:val="0"/>
          <w:lang w:eastAsia="en-GB"/>
          <w14:ligatures w14:val="none"/>
        </w:rPr>
        <w:t>Clinical Psychology Review, 34(6), pp.468-481.</w:t>
      </w:r>
    </w:p>
    <w:p w14:paraId="21D9F40F" w14:textId="226B9705" w:rsidR="00DB267C" w:rsidRPr="00215A33" w:rsidRDefault="0003021B" w:rsidP="00080300">
      <w:pPr>
        <w:pStyle w:val="ListParagraph"/>
        <w:numPr>
          <w:ilvl w:val="0"/>
          <w:numId w:val="6"/>
        </w:numPr>
        <w:spacing w:after="0" w:line="240" w:lineRule="auto"/>
        <w:rPr>
          <w:rFonts w:ascii="Arial" w:eastAsia="Times New Roman" w:hAnsi="Arial" w:cs="Arial"/>
          <w:kern w:val="0"/>
          <w:lang w:eastAsia="en-GB"/>
          <w14:ligatures w14:val="none"/>
        </w:rPr>
      </w:pPr>
      <w:r w:rsidRPr="00215A33">
        <w:rPr>
          <w:rFonts w:ascii="Arial" w:eastAsia="Times New Roman" w:hAnsi="Arial" w:cs="Arial"/>
          <w:kern w:val="0"/>
          <w:lang w:eastAsia="en-GB"/>
          <w14:ligatures w14:val="none"/>
        </w:rPr>
        <w:t>V</w:t>
      </w:r>
      <w:r w:rsidR="00DB267C" w:rsidRPr="00215A33">
        <w:rPr>
          <w:rFonts w:ascii="Arial" w:eastAsia="Times New Roman" w:hAnsi="Arial" w:cs="Arial"/>
          <w:kern w:val="0"/>
          <w:lang w:eastAsia="en-GB"/>
          <w14:ligatures w14:val="none"/>
        </w:rPr>
        <w:t xml:space="preserve">iolanti, J.M., Owens, S.L., </w:t>
      </w:r>
      <w:proofErr w:type="spellStart"/>
      <w:r w:rsidR="00DB267C" w:rsidRPr="00215A33">
        <w:rPr>
          <w:rFonts w:ascii="Arial" w:eastAsia="Times New Roman" w:hAnsi="Arial" w:cs="Arial"/>
          <w:kern w:val="0"/>
          <w:lang w:eastAsia="en-GB"/>
          <w14:ligatures w14:val="none"/>
        </w:rPr>
        <w:t>McCanlies</w:t>
      </w:r>
      <w:proofErr w:type="spellEnd"/>
      <w:r w:rsidR="00DB267C" w:rsidRPr="00215A33">
        <w:rPr>
          <w:rFonts w:ascii="Arial" w:eastAsia="Times New Roman" w:hAnsi="Arial" w:cs="Arial"/>
          <w:kern w:val="0"/>
          <w:lang w:eastAsia="en-GB"/>
          <w14:ligatures w14:val="none"/>
        </w:rPr>
        <w:t xml:space="preserve">, E., </w:t>
      </w:r>
      <w:proofErr w:type="spellStart"/>
      <w:r w:rsidR="00DB267C" w:rsidRPr="00215A33">
        <w:rPr>
          <w:rFonts w:ascii="Arial" w:eastAsia="Times New Roman" w:hAnsi="Arial" w:cs="Arial"/>
          <w:kern w:val="0"/>
          <w:lang w:eastAsia="en-GB"/>
          <w14:ligatures w14:val="none"/>
        </w:rPr>
        <w:t>Fekedulegn</w:t>
      </w:r>
      <w:proofErr w:type="spellEnd"/>
      <w:r w:rsidR="00DB267C" w:rsidRPr="00215A33">
        <w:rPr>
          <w:rFonts w:ascii="Arial" w:eastAsia="Times New Roman" w:hAnsi="Arial" w:cs="Arial"/>
          <w:kern w:val="0"/>
          <w:lang w:eastAsia="en-GB"/>
          <w14:ligatures w14:val="none"/>
        </w:rPr>
        <w:t xml:space="preserve">, D., Andrew, M.E. and Lawler, B., (2012). </w:t>
      </w:r>
      <w:r w:rsidR="00DB267C" w:rsidRPr="00215A33">
        <w:rPr>
          <w:rFonts w:ascii="Arial" w:eastAsia="Times New Roman" w:hAnsi="Arial" w:cs="Arial"/>
          <w:i/>
          <w:iCs/>
          <w:kern w:val="0"/>
          <w:lang w:eastAsia="en-GB"/>
          <w14:ligatures w14:val="none"/>
        </w:rPr>
        <w:t>Police and suicide: A dangerous formula.</w:t>
      </w:r>
      <w:r w:rsidR="00DB267C" w:rsidRPr="00215A33">
        <w:rPr>
          <w:rFonts w:ascii="Arial" w:eastAsia="Times New Roman" w:hAnsi="Arial" w:cs="Arial"/>
          <w:kern w:val="0"/>
          <w:lang w:eastAsia="en-GB"/>
          <w14:ligatures w14:val="none"/>
        </w:rPr>
        <w:t xml:space="preserve"> Journal of Law Enforcement Leadership and Ethics, 1(1), pp.1-1</w:t>
      </w:r>
      <w:r w:rsidR="00080300" w:rsidRPr="00215A33">
        <w:rPr>
          <w:rFonts w:ascii="Arial" w:eastAsia="Times New Roman" w:hAnsi="Arial" w:cs="Arial"/>
          <w:kern w:val="0"/>
          <w:lang w:eastAsia="en-GB"/>
          <w14:ligatures w14:val="none"/>
        </w:rPr>
        <w:t>.</w:t>
      </w:r>
    </w:p>
    <w:p w14:paraId="34DE1F89" w14:textId="486C983F" w:rsidR="00215A33" w:rsidRPr="00215A33" w:rsidRDefault="00215A33" w:rsidP="00080300">
      <w:pPr>
        <w:pStyle w:val="ListParagraph"/>
        <w:numPr>
          <w:ilvl w:val="0"/>
          <w:numId w:val="6"/>
        </w:numPr>
        <w:spacing w:after="0" w:line="240" w:lineRule="auto"/>
        <w:rPr>
          <w:rFonts w:ascii="Arial" w:eastAsia="Times New Roman" w:hAnsi="Arial" w:cs="Arial"/>
          <w:kern w:val="0"/>
          <w:lang w:eastAsia="en-GB"/>
          <w14:ligatures w14:val="none"/>
        </w:rPr>
      </w:pPr>
      <w:r w:rsidRPr="00215A33">
        <w:rPr>
          <w:rFonts w:ascii="Arial" w:hAnsi="Arial" w:cs="Arial"/>
        </w:rPr>
        <w:t xml:space="preserve">Walker, T., </w:t>
      </w:r>
      <w:proofErr w:type="spellStart"/>
      <w:r w:rsidRPr="00215A33">
        <w:rPr>
          <w:rFonts w:ascii="Arial" w:hAnsi="Arial" w:cs="Arial"/>
        </w:rPr>
        <w:t>Scrine</w:t>
      </w:r>
      <w:proofErr w:type="spellEnd"/>
      <w:r w:rsidRPr="00215A33">
        <w:rPr>
          <w:rFonts w:ascii="Arial" w:hAnsi="Arial" w:cs="Arial"/>
        </w:rPr>
        <w:t>, C., van Rensburg, A. and Black, S. (2019) ‘Exploitation in organised crime: Grooming, coercion and control’, British Journal of Criminology, 59(1), pp.91–109.</w:t>
      </w:r>
    </w:p>
    <w:p w14:paraId="5675EFE9" w14:textId="3978806D" w:rsidR="00B31217" w:rsidRPr="00215A33" w:rsidRDefault="00B31217" w:rsidP="00080300">
      <w:pPr>
        <w:pStyle w:val="ListParagraph"/>
        <w:numPr>
          <w:ilvl w:val="0"/>
          <w:numId w:val="6"/>
        </w:numPr>
        <w:spacing w:after="0" w:line="240" w:lineRule="auto"/>
        <w:rPr>
          <w:rFonts w:ascii="Arial" w:eastAsia="Times New Roman" w:hAnsi="Arial" w:cs="Arial"/>
          <w:kern w:val="0"/>
          <w:lang w:eastAsia="en-GB"/>
          <w14:ligatures w14:val="none"/>
        </w:rPr>
      </w:pPr>
      <w:r w:rsidRPr="00215A33">
        <w:rPr>
          <w:rFonts w:ascii="Arial" w:eastAsia="Times New Roman" w:hAnsi="Arial" w:cs="Arial"/>
          <w:kern w:val="0"/>
          <w:lang w:eastAsia="en-GB"/>
          <w14:ligatures w14:val="none"/>
        </w:rPr>
        <w:t xml:space="preserve">Wilson, D.B. &amp; Lipsey, M.W. (2007) </w:t>
      </w:r>
      <w:r w:rsidRPr="00215A33">
        <w:rPr>
          <w:rFonts w:ascii="Arial" w:eastAsia="Times New Roman" w:hAnsi="Arial" w:cs="Arial"/>
          <w:i/>
          <w:iCs/>
          <w:kern w:val="0"/>
          <w:lang w:eastAsia="en-GB"/>
          <w14:ligatures w14:val="none"/>
        </w:rPr>
        <w:t xml:space="preserve">Effectiveness of programmatic interventions for juveniles: A meta-analysis. </w:t>
      </w:r>
      <w:r w:rsidRPr="00215A33">
        <w:rPr>
          <w:rFonts w:ascii="Arial" w:eastAsia="Times New Roman" w:hAnsi="Arial" w:cs="Arial"/>
          <w:kern w:val="0"/>
          <w:lang w:eastAsia="en-GB"/>
          <w14:ligatures w14:val="none"/>
        </w:rPr>
        <w:t>Crime and Justice, 35, pp.449-510.</w:t>
      </w:r>
    </w:p>
    <w:p w14:paraId="52F1BB8C" w14:textId="77777777" w:rsidR="00215A33" w:rsidRPr="00215A33" w:rsidRDefault="00215A33" w:rsidP="00215A33">
      <w:pPr>
        <w:pStyle w:val="ListParagraph"/>
        <w:numPr>
          <w:ilvl w:val="0"/>
          <w:numId w:val="6"/>
        </w:numPr>
        <w:rPr>
          <w:rFonts w:ascii="Arial" w:hAnsi="Arial" w:cs="Arial"/>
        </w:rPr>
      </w:pPr>
      <w:r w:rsidRPr="00215A33">
        <w:rPr>
          <w:rFonts w:ascii="Arial" w:hAnsi="Arial" w:cs="Arial"/>
        </w:rPr>
        <w:t>Wright, S., Goldblatt, P. and Street, R. (2021) Embedding Trauma-Informed Practice in Services. London: Centre for Mental Health.</w:t>
      </w:r>
    </w:p>
    <w:p w14:paraId="102E153F" w14:textId="77777777" w:rsidR="00215A33" w:rsidRPr="00215A33" w:rsidRDefault="00215A33" w:rsidP="00215A33">
      <w:pPr>
        <w:spacing w:after="0" w:line="240" w:lineRule="auto"/>
        <w:rPr>
          <w:rFonts w:ascii="Arial" w:eastAsia="Times New Roman" w:hAnsi="Arial" w:cs="Arial"/>
          <w:kern w:val="0"/>
          <w:lang w:eastAsia="en-GB"/>
          <w14:ligatures w14:val="none"/>
        </w:rPr>
      </w:pPr>
    </w:p>
    <w:p w14:paraId="6FFC1500" w14:textId="6FC5920E" w:rsidR="002421BF" w:rsidRPr="00215A33" w:rsidRDefault="002421BF" w:rsidP="00080300">
      <w:pPr>
        <w:pStyle w:val="ListParagraph"/>
        <w:numPr>
          <w:ilvl w:val="0"/>
          <w:numId w:val="6"/>
        </w:numPr>
        <w:spacing w:after="0" w:line="240" w:lineRule="auto"/>
        <w:rPr>
          <w:rFonts w:ascii="Arial" w:eastAsia="Times New Roman" w:hAnsi="Arial" w:cs="Arial"/>
          <w:kern w:val="0"/>
          <w:lang w:eastAsia="en-GB"/>
          <w14:ligatures w14:val="none"/>
        </w:rPr>
      </w:pPr>
      <w:r w:rsidRPr="00215A33">
        <w:rPr>
          <w:rFonts w:ascii="Arial" w:eastAsia="Times New Roman" w:hAnsi="Arial" w:cs="Arial"/>
          <w:kern w:val="0"/>
          <w:lang w:eastAsia="en-GB"/>
          <w14:ligatures w14:val="none"/>
        </w:rPr>
        <w:lastRenderedPageBreak/>
        <w:t xml:space="preserve">Youth Justice Board (2005) </w:t>
      </w:r>
      <w:r w:rsidRPr="00215A33">
        <w:rPr>
          <w:rFonts w:ascii="Arial" w:eastAsia="Times New Roman" w:hAnsi="Arial" w:cs="Arial"/>
          <w:i/>
          <w:iCs/>
          <w:kern w:val="0"/>
          <w:lang w:eastAsia="en-GB"/>
          <w14:ligatures w14:val="none"/>
        </w:rPr>
        <w:t xml:space="preserve">Youth Inclusion Programme: Final evaluation report. </w:t>
      </w:r>
      <w:r w:rsidRPr="00215A33">
        <w:rPr>
          <w:rFonts w:ascii="Arial" w:eastAsia="Times New Roman" w:hAnsi="Arial" w:cs="Arial"/>
          <w:kern w:val="0"/>
          <w:lang w:eastAsia="en-GB"/>
          <w14:ligatures w14:val="none"/>
        </w:rPr>
        <w:t>London: Youth Justice Board.</w:t>
      </w:r>
    </w:p>
    <w:sectPr w:rsidR="002421BF" w:rsidRPr="00215A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759CD"/>
    <w:multiLevelType w:val="hybridMultilevel"/>
    <w:tmpl w:val="9232E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EA6CC0"/>
    <w:multiLevelType w:val="hybridMultilevel"/>
    <w:tmpl w:val="E3B09DA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C7C53B3"/>
    <w:multiLevelType w:val="hybridMultilevel"/>
    <w:tmpl w:val="B7D642C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508F47E4"/>
    <w:multiLevelType w:val="hybridMultilevel"/>
    <w:tmpl w:val="7C8C7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3D6938"/>
    <w:multiLevelType w:val="hybridMultilevel"/>
    <w:tmpl w:val="DB16991A"/>
    <w:lvl w:ilvl="0" w:tplc="08090011">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C5D4700"/>
    <w:multiLevelType w:val="hybridMultilevel"/>
    <w:tmpl w:val="153AA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5805190">
    <w:abstractNumId w:val="5"/>
  </w:num>
  <w:num w:numId="2" w16cid:durableId="811481201">
    <w:abstractNumId w:val="0"/>
  </w:num>
  <w:num w:numId="3" w16cid:durableId="1014913989">
    <w:abstractNumId w:val="2"/>
  </w:num>
  <w:num w:numId="4" w16cid:durableId="1110200664">
    <w:abstractNumId w:val="1"/>
  </w:num>
  <w:num w:numId="5" w16cid:durableId="1939677848">
    <w:abstractNumId w:val="3"/>
  </w:num>
  <w:num w:numId="6" w16cid:durableId="19031012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EF1"/>
    <w:rsid w:val="000058D2"/>
    <w:rsid w:val="00024DA5"/>
    <w:rsid w:val="0003021B"/>
    <w:rsid w:val="00030EE0"/>
    <w:rsid w:val="00031966"/>
    <w:rsid w:val="00080300"/>
    <w:rsid w:val="000C701A"/>
    <w:rsid w:val="001135E2"/>
    <w:rsid w:val="00161748"/>
    <w:rsid w:val="001A0C9F"/>
    <w:rsid w:val="001D114A"/>
    <w:rsid w:val="001E7849"/>
    <w:rsid w:val="00215A33"/>
    <w:rsid w:val="002421BF"/>
    <w:rsid w:val="00252C25"/>
    <w:rsid w:val="00257FE6"/>
    <w:rsid w:val="0026642F"/>
    <w:rsid w:val="002C46D5"/>
    <w:rsid w:val="00305EF6"/>
    <w:rsid w:val="00374C2B"/>
    <w:rsid w:val="003A3D3F"/>
    <w:rsid w:val="0041494D"/>
    <w:rsid w:val="00460C05"/>
    <w:rsid w:val="0046112E"/>
    <w:rsid w:val="004D75CA"/>
    <w:rsid w:val="00517EF1"/>
    <w:rsid w:val="00546742"/>
    <w:rsid w:val="005A65C4"/>
    <w:rsid w:val="00614195"/>
    <w:rsid w:val="006624E4"/>
    <w:rsid w:val="00676232"/>
    <w:rsid w:val="00680E88"/>
    <w:rsid w:val="007030E9"/>
    <w:rsid w:val="007902E4"/>
    <w:rsid w:val="00800E2C"/>
    <w:rsid w:val="00834573"/>
    <w:rsid w:val="0087170C"/>
    <w:rsid w:val="008741F0"/>
    <w:rsid w:val="008D02D7"/>
    <w:rsid w:val="008F39BF"/>
    <w:rsid w:val="00933BB2"/>
    <w:rsid w:val="00971828"/>
    <w:rsid w:val="00980CA4"/>
    <w:rsid w:val="009C0DF1"/>
    <w:rsid w:val="009F1F22"/>
    <w:rsid w:val="00A312E1"/>
    <w:rsid w:val="00A515E8"/>
    <w:rsid w:val="00AC0D8C"/>
    <w:rsid w:val="00AE7F1F"/>
    <w:rsid w:val="00B31217"/>
    <w:rsid w:val="00B701BE"/>
    <w:rsid w:val="00BA5B59"/>
    <w:rsid w:val="00C37EBC"/>
    <w:rsid w:val="00C5542F"/>
    <w:rsid w:val="00C76FBC"/>
    <w:rsid w:val="00CB3994"/>
    <w:rsid w:val="00CB7359"/>
    <w:rsid w:val="00CC3159"/>
    <w:rsid w:val="00CE357F"/>
    <w:rsid w:val="00D150DC"/>
    <w:rsid w:val="00D35D52"/>
    <w:rsid w:val="00D46CE8"/>
    <w:rsid w:val="00D73939"/>
    <w:rsid w:val="00DB267C"/>
    <w:rsid w:val="00DE34ED"/>
    <w:rsid w:val="00DF17CA"/>
    <w:rsid w:val="00DF29EC"/>
    <w:rsid w:val="00E214E7"/>
    <w:rsid w:val="00E322D7"/>
    <w:rsid w:val="00E33D28"/>
    <w:rsid w:val="00E44C4E"/>
    <w:rsid w:val="00EB4313"/>
    <w:rsid w:val="00F27027"/>
    <w:rsid w:val="00F6246C"/>
    <w:rsid w:val="00F916F2"/>
    <w:rsid w:val="00FF1B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E27A2"/>
  <w15:chartTrackingRefBased/>
  <w15:docId w15:val="{50DF3F78-9B0D-41A0-B71F-83F54519F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7EF1"/>
  </w:style>
  <w:style w:type="paragraph" w:styleId="Heading1">
    <w:name w:val="heading 1"/>
    <w:basedOn w:val="Normal"/>
    <w:next w:val="Normal"/>
    <w:link w:val="Heading1Char"/>
    <w:uiPriority w:val="9"/>
    <w:qFormat/>
    <w:rsid w:val="00517E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7E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7E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7E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7E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7E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7E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7E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7E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7E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7E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7E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7E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7E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7E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7E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7E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7EF1"/>
    <w:rPr>
      <w:rFonts w:eastAsiaTheme="majorEastAsia" w:cstheme="majorBidi"/>
      <w:color w:val="272727" w:themeColor="text1" w:themeTint="D8"/>
    </w:rPr>
  </w:style>
  <w:style w:type="paragraph" w:styleId="Title">
    <w:name w:val="Title"/>
    <w:basedOn w:val="Normal"/>
    <w:next w:val="Normal"/>
    <w:link w:val="TitleChar"/>
    <w:uiPriority w:val="10"/>
    <w:qFormat/>
    <w:rsid w:val="00517E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7E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7E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7E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7EF1"/>
    <w:pPr>
      <w:spacing w:before="160"/>
      <w:jc w:val="center"/>
    </w:pPr>
    <w:rPr>
      <w:i/>
      <w:iCs/>
      <w:color w:val="404040" w:themeColor="text1" w:themeTint="BF"/>
    </w:rPr>
  </w:style>
  <w:style w:type="character" w:customStyle="1" w:styleId="QuoteChar">
    <w:name w:val="Quote Char"/>
    <w:basedOn w:val="DefaultParagraphFont"/>
    <w:link w:val="Quote"/>
    <w:uiPriority w:val="29"/>
    <w:rsid w:val="00517EF1"/>
    <w:rPr>
      <w:i/>
      <w:iCs/>
      <w:color w:val="404040" w:themeColor="text1" w:themeTint="BF"/>
    </w:rPr>
  </w:style>
  <w:style w:type="paragraph" w:styleId="ListParagraph">
    <w:name w:val="List Paragraph"/>
    <w:basedOn w:val="Normal"/>
    <w:uiPriority w:val="34"/>
    <w:qFormat/>
    <w:rsid w:val="00517EF1"/>
    <w:pPr>
      <w:ind w:left="720"/>
      <w:contextualSpacing/>
    </w:pPr>
  </w:style>
  <w:style w:type="character" w:styleId="IntenseEmphasis">
    <w:name w:val="Intense Emphasis"/>
    <w:basedOn w:val="DefaultParagraphFont"/>
    <w:uiPriority w:val="21"/>
    <w:qFormat/>
    <w:rsid w:val="00517EF1"/>
    <w:rPr>
      <w:i/>
      <w:iCs/>
      <w:color w:val="0F4761" w:themeColor="accent1" w:themeShade="BF"/>
    </w:rPr>
  </w:style>
  <w:style w:type="paragraph" w:styleId="IntenseQuote">
    <w:name w:val="Intense Quote"/>
    <w:basedOn w:val="Normal"/>
    <w:next w:val="Normal"/>
    <w:link w:val="IntenseQuoteChar"/>
    <w:uiPriority w:val="30"/>
    <w:qFormat/>
    <w:rsid w:val="00517E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7EF1"/>
    <w:rPr>
      <w:i/>
      <w:iCs/>
      <w:color w:val="0F4761" w:themeColor="accent1" w:themeShade="BF"/>
    </w:rPr>
  </w:style>
  <w:style w:type="character" w:styleId="IntenseReference">
    <w:name w:val="Intense Reference"/>
    <w:basedOn w:val="DefaultParagraphFont"/>
    <w:uiPriority w:val="32"/>
    <w:qFormat/>
    <w:rsid w:val="00517EF1"/>
    <w:rPr>
      <w:b/>
      <w:bCs/>
      <w:smallCaps/>
      <w:color w:val="0F4761" w:themeColor="accent1" w:themeShade="BF"/>
      <w:spacing w:val="5"/>
    </w:rPr>
  </w:style>
  <w:style w:type="character" w:styleId="Hyperlink">
    <w:name w:val="Hyperlink"/>
    <w:basedOn w:val="DefaultParagraphFont"/>
    <w:uiPriority w:val="99"/>
    <w:unhideWhenUsed/>
    <w:rsid w:val="00AE7F1F"/>
    <w:rPr>
      <w:color w:val="467886" w:themeColor="hyperlink"/>
      <w:u w:val="single"/>
    </w:rPr>
  </w:style>
  <w:style w:type="character" w:styleId="UnresolvedMention">
    <w:name w:val="Unresolved Mention"/>
    <w:basedOn w:val="DefaultParagraphFont"/>
    <w:uiPriority w:val="99"/>
    <w:semiHidden/>
    <w:unhideWhenUsed/>
    <w:rsid w:val="00AE7F1F"/>
    <w:rPr>
      <w:color w:val="605E5C"/>
      <w:shd w:val="clear" w:color="auto" w:fill="E1DFDD"/>
    </w:rPr>
  </w:style>
  <w:style w:type="character" w:styleId="FollowedHyperlink">
    <w:name w:val="FollowedHyperlink"/>
    <w:basedOn w:val="DefaultParagraphFont"/>
    <w:uiPriority w:val="99"/>
    <w:semiHidden/>
    <w:unhideWhenUsed/>
    <w:rsid w:val="00215A3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07061">
      <w:bodyDiv w:val="1"/>
      <w:marLeft w:val="0"/>
      <w:marRight w:val="0"/>
      <w:marTop w:val="0"/>
      <w:marBottom w:val="0"/>
      <w:divBdr>
        <w:top w:val="none" w:sz="0" w:space="0" w:color="auto"/>
        <w:left w:val="none" w:sz="0" w:space="0" w:color="auto"/>
        <w:bottom w:val="none" w:sz="0" w:space="0" w:color="auto"/>
        <w:right w:val="none" w:sz="0" w:space="0" w:color="auto"/>
      </w:divBdr>
    </w:div>
    <w:div w:id="140318654">
      <w:bodyDiv w:val="1"/>
      <w:marLeft w:val="0"/>
      <w:marRight w:val="0"/>
      <w:marTop w:val="0"/>
      <w:marBottom w:val="0"/>
      <w:divBdr>
        <w:top w:val="none" w:sz="0" w:space="0" w:color="auto"/>
        <w:left w:val="none" w:sz="0" w:space="0" w:color="auto"/>
        <w:bottom w:val="none" w:sz="0" w:space="0" w:color="auto"/>
        <w:right w:val="none" w:sz="0" w:space="0" w:color="auto"/>
      </w:divBdr>
    </w:div>
    <w:div w:id="295181850">
      <w:bodyDiv w:val="1"/>
      <w:marLeft w:val="0"/>
      <w:marRight w:val="0"/>
      <w:marTop w:val="0"/>
      <w:marBottom w:val="0"/>
      <w:divBdr>
        <w:top w:val="none" w:sz="0" w:space="0" w:color="auto"/>
        <w:left w:val="none" w:sz="0" w:space="0" w:color="auto"/>
        <w:bottom w:val="none" w:sz="0" w:space="0" w:color="auto"/>
        <w:right w:val="none" w:sz="0" w:space="0" w:color="auto"/>
      </w:divBdr>
    </w:div>
    <w:div w:id="308751383">
      <w:bodyDiv w:val="1"/>
      <w:marLeft w:val="0"/>
      <w:marRight w:val="0"/>
      <w:marTop w:val="0"/>
      <w:marBottom w:val="0"/>
      <w:divBdr>
        <w:top w:val="none" w:sz="0" w:space="0" w:color="auto"/>
        <w:left w:val="none" w:sz="0" w:space="0" w:color="auto"/>
        <w:bottom w:val="none" w:sz="0" w:space="0" w:color="auto"/>
        <w:right w:val="none" w:sz="0" w:space="0" w:color="auto"/>
      </w:divBdr>
    </w:div>
    <w:div w:id="682903804">
      <w:bodyDiv w:val="1"/>
      <w:marLeft w:val="0"/>
      <w:marRight w:val="0"/>
      <w:marTop w:val="0"/>
      <w:marBottom w:val="0"/>
      <w:divBdr>
        <w:top w:val="none" w:sz="0" w:space="0" w:color="auto"/>
        <w:left w:val="none" w:sz="0" w:space="0" w:color="auto"/>
        <w:bottom w:val="none" w:sz="0" w:space="0" w:color="auto"/>
        <w:right w:val="none" w:sz="0" w:space="0" w:color="auto"/>
      </w:divBdr>
    </w:div>
    <w:div w:id="756290439">
      <w:bodyDiv w:val="1"/>
      <w:marLeft w:val="0"/>
      <w:marRight w:val="0"/>
      <w:marTop w:val="0"/>
      <w:marBottom w:val="0"/>
      <w:divBdr>
        <w:top w:val="none" w:sz="0" w:space="0" w:color="auto"/>
        <w:left w:val="none" w:sz="0" w:space="0" w:color="auto"/>
        <w:bottom w:val="none" w:sz="0" w:space="0" w:color="auto"/>
        <w:right w:val="none" w:sz="0" w:space="0" w:color="auto"/>
      </w:divBdr>
    </w:div>
    <w:div w:id="809632775">
      <w:bodyDiv w:val="1"/>
      <w:marLeft w:val="0"/>
      <w:marRight w:val="0"/>
      <w:marTop w:val="0"/>
      <w:marBottom w:val="0"/>
      <w:divBdr>
        <w:top w:val="none" w:sz="0" w:space="0" w:color="auto"/>
        <w:left w:val="none" w:sz="0" w:space="0" w:color="auto"/>
        <w:bottom w:val="none" w:sz="0" w:space="0" w:color="auto"/>
        <w:right w:val="none" w:sz="0" w:space="0" w:color="auto"/>
      </w:divBdr>
    </w:div>
    <w:div w:id="949624863">
      <w:bodyDiv w:val="1"/>
      <w:marLeft w:val="0"/>
      <w:marRight w:val="0"/>
      <w:marTop w:val="0"/>
      <w:marBottom w:val="0"/>
      <w:divBdr>
        <w:top w:val="none" w:sz="0" w:space="0" w:color="auto"/>
        <w:left w:val="none" w:sz="0" w:space="0" w:color="auto"/>
        <w:bottom w:val="none" w:sz="0" w:space="0" w:color="auto"/>
        <w:right w:val="none" w:sz="0" w:space="0" w:color="auto"/>
      </w:divBdr>
    </w:div>
    <w:div w:id="1385133456">
      <w:bodyDiv w:val="1"/>
      <w:marLeft w:val="0"/>
      <w:marRight w:val="0"/>
      <w:marTop w:val="0"/>
      <w:marBottom w:val="0"/>
      <w:divBdr>
        <w:top w:val="none" w:sz="0" w:space="0" w:color="auto"/>
        <w:left w:val="none" w:sz="0" w:space="0" w:color="auto"/>
        <w:bottom w:val="none" w:sz="0" w:space="0" w:color="auto"/>
        <w:right w:val="none" w:sz="0" w:space="0" w:color="auto"/>
      </w:divBdr>
    </w:div>
    <w:div w:id="1658918741">
      <w:bodyDiv w:val="1"/>
      <w:marLeft w:val="0"/>
      <w:marRight w:val="0"/>
      <w:marTop w:val="0"/>
      <w:marBottom w:val="0"/>
      <w:divBdr>
        <w:top w:val="none" w:sz="0" w:space="0" w:color="auto"/>
        <w:left w:val="none" w:sz="0" w:space="0" w:color="auto"/>
        <w:bottom w:val="none" w:sz="0" w:space="0" w:color="auto"/>
        <w:right w:val="none" w:sz="0" w:space="0" w:color="auto"/>
      </w:divBdr>
    </w:div>
    <w:div w:id="2063751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br01.safelinks.protection.outlook.com/?url=https%3A%2F%2Fwww.bbc.co.uk%2Fnews&amp;data=05%7C02%7Chuw.widlake2%40gwent.police.uk%7C58963d80ac4b4049277608ddb30d7e82%7Ce46c8472ef5d4b63bc744a60db42c371%7C0%7C1%7C638863592724396576%7CUnknown%7CTWFpbGZsb3d8eyJFbXB0eU1hcGkiOnRydWUsIlYiOiIwLjAuMDAwMCIsIlAiOiJXaW4zMiIsIkFOIjoiTWFpbCIsIldUIjoyfQ%3D%3D%7C60000%7C%7C%7C&amp;sdata=zZqnX2imNz1%2BItjupkgJM%2BaylnaK9kVU26FKHHMkDto%3D&amp;reserved=0" TargetMode="External"/><Relationship Id="rId13" Type="http://schemas.openxmlformats.org/officeDocument/2006/relationships/hyperlink" Target="https://gbr01.safelinks.protection.outlook.com/?url=https%3A%2F%2Fwww.ons.gov.uk%2F&amp;data=05%7C02%7Chuw.widlake2%40gwent.police.uk%7C58963d80ac4b4049277608ddb30d7e82%7Ce46c8472ef5d4b63bc744a60db42c371%7C0%7C1%7C638863592724485610%7CUnknown%7CTWFpbGZsb3d8eyJFbXB0eU1hcGkiOnRydWUsIlYiOiIwLjAuMDAwMCIsIlAiOiJXaW4zMiIsIkFOIjoiTWFpbCIsIldUIjoyfQ%3D%3D%7C60000%7C%7C%7C&amp;sdata=l2KyIkIVBUx9Ym%2Fw%2F0zPrZLOntK2mVo6F6Rl%2FKFgbH0%3D&amp;reserved=0" TargetMode="External"/><Relationship Id="rId3" Type="http://schemas.openxmlformats.org/officeDocument/2006/relationships/settings" Target="settings.xml"/><Relationship Id="rId7" Type="http://schemas.openxmlformats.org/officeDocument/2006/relationships/hyperlink" Target="https://gbr01.safelinks.protection.outlook.com/?url=https%3A%2F%2Fwww.college.police.uk%2Farticle%2Fnpws-evaluation&amp;data=05%7C02%7Chuw.widlake2%40gwent.police.uk%7C2745d8641656439af6b808ddb320b694%7Ce46c8472ef5d4b63bc744a60db42c371%7C0%7C1%7C638863675272345511%7CUnknown%7CTWFpbGZsb3d8eyJFbXB0eU1hcGkiOnRydWUsIlYiOiIwLjAuMDAwMCIsIlAiOiJXaW4zMiIsIkFOIjoiTWFpbCIsIldUIjoyfQ%3D%3D%7C60000%7C%7C%7C&amp;sdata=HhyRxuAUYt5Ij6CbYWDk7mY3o%2ByWtnSOjj6i%2Bunh7mg%3D&amp;reserved=0" TargetMode="External"/><Relationship Id="rId12" Type="http://schemas.openxmlformats.org/officeDocument/2006/relationships/hyperlink" Target="https://gbr01.safelinks.protection.outlook.com/?url=https%3A%2F%2Fwww.nationalcrimeagency.gov.uk%2F&amp;data=05%7C02%7Chuw.widlake2%40gwent.police.uk%7Ca7b810927155444ed8ad08ddb51d5203%7Ce46c8472ef5d4b63bc744a60db42c371%7C0%7C1%7C638865859735054877%7CUnknown%7CTWFpbGZsb3d8eyJFbXB0eU1hcGkiOnRydWUsIlYiOiIwLjAuMDAwMCIsIlAiOiJXaW4zMiIsIkFOIjoiTWFpbCIsIldUIjoyfQ%3D%3D%7C60000%7C%7C%7C&amp;sdata=%2F6iFM8mC7CNZBDQgimJgEE27zmX0QnR1OO3y4N9clB8%3D&amp;reserved=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br01.safelinks.protection.outlook.com/?url=https%3A%2F%2Fwww.college.police.uk%2Fresearch%2Fstress-resilience-policing&amp;data=05%7C02%7Chuw.widlake2%40gwent.police.uk%7C2745d8641656439af6b808ddb320b694%7Ce46c8472ef5d4b63bc744a60db42c371%7C0%7C1%7C638863675272295555%7CUnknown%7CTWFpbGZsb3d8eyJFbXB0eU1hcGkiOnRydWUsIlYiOiIwLjAuMDAwMCIsIlAiOiJXaW4zMiIsIkFOIjoiTWFpbCIsIldUIjoyfQ%3D%3D%7C60000%7C%7C%7C&amp;sdata=ddjUiNVrYNr628WLLofsn1tUO3S%2BO2MZESgvOpJ36p8%3D&amp;reserved=0" TargetMode="External"/><Relationship Id="rId11" Type="http://schemas.openxmlformats.org/officeDocument/2006/relationships/hyperlink" Target="https://gbr01.safelinks.protection.outlook.com/?url=https%3A%2F%2Fwww.mind.org.uk%2F&amp;data=05%7C02%7Chuw.widlake2%40gwent.police.uk%7C2745d8641656439af6b808ddb320b694%7Ce46c8472ef5d4b63bc744a60db42c371%7C0%7C1%7C638863675272387729%7CUnknown%7CTWFpbGZsb3d8eyJFbXB0eU1hcGkiOnRydWUsIlYiOiIwLjAuMDAwMCIsIlAiOiJXaW4zMiIsIkFOIjoiTWFpbCIsIldUIjoyfQ%3D%3D%7C60000%7C%7C%7C&amp;sdata=M7IODZ%2Fs0MNHoqWWKPN%2F5a%2BOXKpzyrsal7H2GcTecQY%3D&amp;reserved=0" TargetMode="External"/><Relationship Id="rId5" Type="http://schemas.openxmlformats.org/officeDocument/2006/relationships/hyperlink" Target="https://gbr01.safelinks.protection.outlook.com/?url=https%3A%2F%2Fwww.college.police.uk%2F&amp;data=05%7C02%7Chuw.widlake2%40gwent.police.uk%7C58963d80ac4b4049277608ddb30d7e82%7Ce46c8472ef5d4b63bc744a60db42c371%7C0%7C1%7C638863592724336170%7CUnknown%7CTWFpbGZsb3d8eyJFbXB0eU1hcGkiOnRydWUsIlYiOiIwLjAuMDAwMCIsIlAiOiJXaW4zMiIsIkFOIjoiTWFpbCIsIldUIjoyfQ%3D%3D%7C60000%7C%7C%7C&amp;sdata=sQqfy4DkXcT3QXuDYeNKIjLShsLrh9URgBaBxKyA%2BME%3D&amp;reserved=0" TargetMode="External"/><Relationship Id="rId15" Type="http://schemas.openxmlformats.org/officeDocument/2006/relationships/theme" Target="theme/theme1.xml"/><Relationship Id="rId10" Type="http://schemas.openxmlformats.org/officeDocument/2006/relationships/hyperlink" Target="https://www.london.gov.uk/sites/default/files/item_3_stride_2021-2025_and_governance_process.pdf" TargetMode="External"/><Relationship Id="rId4" Type="http://schemas.openxmlformats.org/officeDocument/2006/relationships/webSettings" Target="webSettings.xml"/><Relationship Id="rId9" Type="http://schemas.openxmlformats.org/officeDocument/2006/relationships/hyperlink" Target="https://www.justiceinspectorates.gov.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1575</TotalTime>
  <Pages>15</Pages>
  <Words>6594</Words>
  <Characters>37587</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44093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Widlake, Huw</dc:creator>
  <cp:keywords/>
  <dc:description/>
  <cp:lastModifiedBy>Widlake, Huw</cp:lastModifiedBy>
  <cp:revision>13</cp:revision>
  <dcterms:created xsi:type="dcterms:W3CDTF">2025-06-24T10:42:00Z</dcterms:created>
  <dcterms:modified xsi:type="dcterms:W3CDTF">2025-06-30T12:37:00Z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2025-06-24T15:40:16Z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872e4baf-804f-4458-b40d-5b9c39ded863</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