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93C78" w14:textId="77777777" w:rsidR="003F0DA5" w:rsidRPr="004F1400" w:rsidRDefault="003F0DA5" w:rsidP="003F0DA5">
      <w:pPr>
        <w:spacing w:line="360" w:lineRule="auto"/>
        <w:jc w:val="center"/>
        <w:rPr>
          <w:rFonts w:cs="Times New Roman"/>
          <w:sz w:val="36"/>
          <w:szCs w:val="36"/>
        </w:rPr>
      </w:pPr>
      <w:bookmarkStart w:id="0" w:name="_Toc150041142"/>
    </w:p>
    <w:p w14:paraId="497187BB" w14:textId="77777777" w:rsidR="00EC2B01" w:rsidRDefault="00884BDD" w:rsidP="003F0DA5">
      <w:pPr>
        <w:spacing w:line="360" w:lineRule="auto"/>
        <w:jc w:val="center"/>
        <w:rPr>
          <w:rFonts w:cs="Times New Roman"/>
          <w:sz w:val="36"/>
          <w:szCs w:val="36"/>
        </w:rPr>
      </w:pPr>
      <w:r w:rsidRPr="004F1400">
        <w:rPr>
          <w:rFonts w:cs="Times New Roman"/>
          <w:sz w:val="36"/>
          <w:szCs w:val="36"/>
        </w:rPr>
        <w:t>International Financial Management LCBB6002</w:t>
      </w:r>
    </w:p>
    <w:p w14:paraId="4F1BC532" w14:textId="77777777" w:rsidR="000A7A9B" w:rsidRDefault="000A7A9B" w:rsidP="003F0DA5">
      <w:pPr>
        <w:spacing w:line="360" w:lineRule="auto"/>
        <w:jc w:val="center"/>
        <w:rPr>
          <w:rFonts w:cs="Times New Roman"/>
          <w:sz w:val="36"/>
          <w:szCs w:val="36"/>
        </w:rPr>
      </w:pPr>
    </w:p>
    <w:p w14:paraId="0E18E48A" w14:textId="77777777" w:rsidR="000A7A9B" w:rsidRDefault="000A7A9B" w:rsidP="003F0DA5">
      <w:pPr>
        <w:spacing w:line="360" w:lineRule="auto"/>
        <w:jc w:val="center"/>
        <w:rPr>
          <w:rFonts w:cs="Times New Roman"/>
          <w:sz w:val="36"/>
          <w:szCs w:val="36"/>
        </w:rPr>
      </w:pPr>
    </w:p>
    <w:p w14:paraId="79CB64DB" w14:textId="77777777" w:rsidR="000A7A9B" w:rsidRDefault="000A7A9B" w:rsidP="003F0DA5">
      <w:pPr>
        <w:spacing w:line="360" w:lineRule="auto"/>
        <w:jc w:val="center"/>
        <w:rPr>
          <w:rFonts w:cs="Times New Roman"/>
          <w:sz w:val="36"/>
          <w:szCs w:val="36"/>
        </w:rPr>
      </w:pPr>
    </w:p>
    <w:p w14:paraId="2D1B3E6F" w14:textId="3D5F88CF" w:rsidR="000A7A9B" w:rsidRDefault="000A7A9B" w:rsidP="003F0DA5">
      <w:pPr>
        <w:spacing w:line="360" w:lineRule="auto"/>
        <w:jc w:val="center"/>
        <w:rPr>
          <w:rFonts w:cs="Times New Roman"/>
          <w:sz w:val="36"/>
          <w:szCs w:val="36"/>
        </w:rPr>
      </w:pPr>
      <w:r>
        <w:rPr>
          <w:rFonts w:cs="Times New Roman"/>
          <w:sz w:val="36"/>
          <w:szCs w:val="36"/>
        </w:rPr>
        <w:t>Student name</w:t>
      </w:r>
      <w:r w:rsidR="001044FB">
        <w:rPr>
          <w:rFonts w:cs="Times New Roman"/>
          <w:sz w:val="36"/>
          <w:szCs w:val="36"/>
        </w:rPr>
        <w:t xml:space="preserve">: </w:t>
      </w:r>
      <w:proofErr w:type="spellStart"/>
      <w:r w:rsidR="001044FB">
        <w:rPr>
          <w:rFonts w:cs="Times New Roman"/>
          <w:sz w:val="36"/>
          <w:szCs w:val="36"/>
        </w:rPr>
        <w:t>Greti</w:t>
      </w:r>
      <w:proofErr w:type="spellEnd"/>
      <w:r w:rsidR="001044FB">
        <w:rPr>
          <w:rFonts w:cs="Times New Roman"/>
          <w:sz w:val="36"/>
          <w:szCs w:val="36"/>
        </w:rPr>
        <w:t xml:space="preserve"> Anita </w:t>
      </w:r>
      <w:proofErr w:type="spellStart"/>
      <w:r w:rsidR="001044FB">
        <w:rPr>
          <w:rFonts w:cs="Times New Roman"/>
          <w:sz w:val="36"/>
          <w:szCs w:val="36"/>
        </w:rPr>
        <w:t>Popescu</w:t>
      </w:r>
      <w:proofErr w:type="spellEnd"/>
    </w:p>
    <w:p w14:paraId="2DA18F60" w14:textId="2907315D" w:rsidR="001044FB" w:rsidRPr="004F1400" w:rsidRDefault="001044FB" w:rsidP="003F0DA5">
      <w:pPr>
        <w:spacing w:line="360" w:lineRule="auto"/>
        <w:jc w:val="center"/>
        <w:rPr>
          <w:rFonts w:cs="Times New Roman"/>
          <w:sz w:val="36"/>
          <w:szCs w:val="36"/>
        </w:rPr>
      </w:pPr>
      <w:proofErr w:type="spellStart"/>
      <w:r>
        <w:rPr>
          <w:rFonts w:cs="Times New Roman"/>
          <w:sz w:val="36"/>
          <w:szCs w:val="36"/>
        </w:rPr>
        <w:t>Stdent</w:t>
      </w:r>
      <w:proofErr w:type="spellEnd"/>
      <w:r>
        <w:rPr>
          <w:rFonts w:cs="Times New Roman"/>
          <w:sz w:val="36"/>
          <w:szCs w:val="36"/>
        </w:rPr>
        <w:t xml:space="preserve"> Id: 2114613</w:t>
      </w:r>
    </w:p>
    <w:p w14:paraId="2370FD5B" w14:textId="77777777" w:rsidR="00884BDD" w:rsidRPr="004F1400" w:rsidRDefault="00884BDD" w:rsidP="003F0DA5">
      <w:pPr>
        <w:spacing w:line="360" w:lineRule="auto"/>
        <w:jc w:val="center"/>
        <w:rPr>
          <w:rFonts w:eastAsiaTheme="majorEastAsia" w:cs="Times New Roman"/>
          <w:b/>
          <w:sz w:val="36"/>
          <w:szCs w:val="36"/>
        </w:rPr>
      </w:pPr>
    </w:p>
    <w:p w14:paraId="40B45F87" w14:textId="77777777" w:rsidR="00E24227" w:rsidRPr="004F1400" w:rsidRDefault="00E24227" w:rsidP="000162CA">
      <w:pPr>
        <w:spacing w:line="360" w:lineRule="auto"/>
        <w:rPr>
          <w:rFonts w:eastAsiaTheme="majorEastAsia" w:cs="Times New Roman"/>
          <w:b/>
          <w:szCs w:val="24"/>
        </w:rPr>
      </w:pPr>
    </w:p>
    <w:p w14:paraId="62C1A538" w14:textId="77777777" w:rsidR="00E24227" w:rsidRPr="004F1400" w:rsidRDefault="00E24227" w:rsidP="000162CA">
      <w:pPr>
        <w:spacing w:line="360" w:lineRule="auto"/>
        <w:rPr>
          <w:rFonts w:eastAsiaTheme="majorEastAsia" w:cs="Times New Roman"/>
          <w:b/>
          <w:szCs w:val="24"/>
        </w:rPr>
      </w:pPr>
    </w:p>
    <w:p w14:paraId="39EC33C1" w14:textId="77777777" w:rsidR="00E24227" w:rsidRPr="004F1400" w:rsidRDefault="00E24227" w:rsidP="000162CA">
      <w:pPr>
        <w:spacing w:line="360" w:lineRule="auto"/>
        <w:rPr>
          <w:rFonts w:eastAsiaTheme="majorEastAsia" w:cs="Times New Roman"/>
          <w:b/>
          <w:szCs w:val="24"/>
        </w:rPr>
      </w:pPr>
    </w:p>
    <w:p w14:paraId="358A47DC" w14:textId="77777777" w:rsidR="00E24227" w:rsidRPr="004F1400" w:rsidRDefault="00E24227" w:rsidP="000162CA">
      <w:pPr>
        <w:spacing w:line="360" w:lineRule="auto"/>
        <w:rPr>
          <w:rFonts w:eastAsiaTheme="majorEastAsia" w:cs="Times New Roman"/>
          <w:b/>
          <w:szCs w:val="24"/>
        </w:rPr>
      </w:pPr>
    </w:p>
    <w:p w14:paraId="14F3871C" w14:textId="77777777" w:rsidR="00E24227" w:rsidRPr="004F1400" w:rsidRDefault="00E24227" w:rsidP="000162CA">
      <w:pPr>
        <w:spacing w:line="360" w:lineRule="auto"/>
        <w:rPr>
          <w:rFonts w:eastAsiaTheme="majorEastAsia" w:cs="Times New Roman"/>
          <w:b/>
          <w:szCs w:val="24"/>
        </w:rPr>
      </w:pPr>
    </w:p>
    <w:p w14:paraId="5D92FBE3" w14:textId="77777777" w:rsidR="00E24227" w:rsidRPr="004F1400" w:rsidRDefault="00E24227" w:rsidP="000162CA">
      <w:pPr>
        <w:spacing w:line="360" w:lineRule="auto"/>
        <w:rPr>
          <w:rFonts w:eastAsiaTheme="majorEastAsia" w:cs="Times New Roman"/>
          <w:b/>
          <w:szCs w:val="24"/>
        </w:rPr>
      </w:pPr>
    </w:p>
    <w:p w14:paraId="6AD60E93" w14:textId="77777777" w:rsidR="00E24227" w:rsidRPr="004F1400" w:rsidRDefault="00E24227" w:rsidP="000162CA">
      <w:pPr>
        <w:spacing w:line="360" w:lineRule="auto"/>
        <w:rPr>
          <w:rFonts w:eastAsiaTheme="majorEastAsia" w:cs="Times New Roman"/>
          <w:b/>
          <w:szCs w:val="24"/>
        </w:rPr>
      </w:pPr>
    </w:p>
    <w:p w14:paraId="30FA18CF" w14:textId="77777777" w:rsidR="00E24227" w:rsidRPr="004F1400" w:rsidRDefault="00E24227" w:rsidP="000162CA">
      <w:pPr>
        <w:spacing w:line="360" w:lineRule="auto"/>
        <w:rPr>
          <w:rFonts w:eastAsiaTheme="majorEastAsia" w:cs="Times New Roman"/>
          <w:b/>
          <w:szCs w:val="24"/>
        </w:rPr>
      </w:pPr>
    </w:p>
    <w:p w14:paraId="05969D56" w14:textId="77777777" w:rsidR="00E24227" w:rsidRPr="004F1400" w:rsidRDefault="00E24227" w:rsidP="000162CA">
      <w:pPr>
        <w:spacing w:line="360" w:lineRule="auto"/>
        <w:rPr>
          <w:rFonts w:eastAsiaTheme="majorEastAsia" w:cs="Times New Roman"/>
          <w:b/>
          <w:szCs w:val="24"/>
        </w:rPr>
      </w:pPr>
    </w:p>
    <w:p w14:paraId="7E1EA170" w14:textId="77777777" w:rsidR="00E24227" w:rsidRPr="004F1400" w:rsidRDefault="00E24227" w:rsidP="000162CA">
      <w:pPr>
        <w:spacing w:line="360" w:lineRule="auto"/>
        <w:rPr>
          <w:rFonts w:eastAsiaTheme="majorEastAsia" w:cs="Times New Roman"/>
          <w:b/>
          <w:szCs w:val="24"/>
        </w:rPr>
      </w:pPr>
    </w:p>
    <w:p w14:paraId="7824448A" w14:textId="77777777" w:rsidR="00E24227" w:rsidRPr="004F1400" w:rsidRDefault="00E24227" w:rsidP="000162CA">
      <w:pPr>
        <w:spacing w:line="360" w:lineRule="auto"/>
        <w:rPr>
          <w:rFonts w:eastAsiaTheme="majorEastAsia" w:cs="Times New Roman"/>
          <w:b/>
          <w:szCs w:val="24"/>
        </w:rPr>
      </w:pPr>
    </w:p>
    <w:p w14:paraId="11F88C58" w14:textId="77777777" w:rsidR="00E24227" w:rsidRPr="004F1400" w:rsidRDefault="00E24227" w:rsidP="000162CA">
      <w:pPr>
        <w:spacing w:line="360" w:lineRule="auto"/>
        <w:rPr>
          <w:rFonts w:eastAsiaTheme="majorEastAsia" w:cs="Times New Roman"/>
          <w:b/>
          <w:szCs w:val="24"/>
        </w:rPr>
      </w:pPr>
    </w:p>
    <w:p w14:paraId="072CCA03" w14:textId="77777777" w:rsidR="00E24227" w:rsidRPr="004F1400" w:rsidRDefault="00E24227" w:rsidP="000162CA">
      <w:pPr>
        <w:spacing w:line="360" w:lineRule="auto"/>
        <w:rPr>
          <w:rFonts w:eastAsiaTheme="majorEastAsia" w:cs="Times New Roman"/>
          <w:b/>
          <w:szCs w:val="24"/>
        </w:rPr>
      </w:pPr>
    </w:p>
    <w:p w14:paraId="5C4E97D9" w14:textId="77777777" w:rsidR="00E24227" w:rsidRPr="004F1400" w:rsidRDefault="00E24227" w:rsidP="000162CA">
      <w:pPr>
        <w:spacing w:line="360" w:lineRule="auto"/>
        <w:rPr>
          <w:rFonts w:eastAsiaTheme="majorEastAsia" w:cs="Times New Roman"/>
          <w:b/>
          <w:szCs w:val="24"/>
        </w:rPr>
      </w:pPr>
    </w:p>
    <w:p w14:paraId="4E2459F7" w14:textId="77777777" w:rsidR="00E24227" w:rsidRPr="004F1400" w:rsidRDefault="00E24227" w:rsidP="000162CA">
      <w:pPr>
        <w:spacing w:line="360" w:lineRule="auto"/>
        <w:rPr>
          <w:rFonts w:eastAsiaTheme="majorEastAsia" w:cs="Times New Roman"/>
          <w:b/>
          <w:szCs w:val="24"/>
        </w:rPr>
      </w:pPr>
    </w:p>
    <w:sdt>
      <w:sdtPr>
        <w:rPr>
          <w:rFonts w:ascii="Times New Roman" w:eastAsiaTheme="minorHAnsi" w:hAnsi="Times New Roman" w:cstheme="minorBidi"/>
          <w:color w:val="auto"/>
          <w:sz w:val="24"/>
          <w:szCs w:val="22"/>
        </w:rPr>
        <w:id w:val="2103991076"/>
        <w:docPartObj>
          <w:docPartGallery w:val="Table of Contents"/>
          <w:docPartUnique/>
        </w:docPartObj>
      </w:sdtPr>
      <w:sdtEndPr>
        <w:rPr>
          <w:b/>
          <w:bCs/>
          <w:noProof/>
        </w:rPr>
      </w:sdtEndPr>
      <w:sdtContent>
        <w:p w14:paraId="639C356A" w14:textId="77777777" w:rsidR="000E3BDA" w:rsidRPr="004F1400" w:rsidRDefault="000E3BDA">
          <w:pPr>
            <w:pStyle w:val="TOCHeading"/>
            <w:rPr>
              <w:color w:val="auto"/>
            </w:rPr>
          </w:pPr>
          <w:r w:rsidRPr="004F1400">
            <w:rPr>
              <w:color w:val="auto"/>
            </w:rPr>
            <w:t>Table of Contents</w:t>
          </w:r>
        </w:p>
        <w:p w14:paraId="7ABA17CB" w14:textId="77777777" w:rsidR="000E3BDA" w:rsidRPr="004F1400" w:rsidRDefault="000E3BDA">
          <w:pPr>
            <w:pStyle w:val="TOC1"/>
            <w:tabs>
              <w:tab w:val="right" w:leader="dot" w:pos="9350"/>
            </w:tabs>
            <w:rPr>
              <w:rFonts w:asciiTheme="minorHAnsi" w:eastAsiaTheme="minorEastAsia" w:hAnsiTheme="minorHAnsi"/>
              <w:noProof/>
              <w:sz w:val="22"/>
              <w:szCs w:val="28"/>
              <w:lang w:val="en-GB" w:eastAsia="en-GB" w:bidi="bn-BD"/>
            </w:rPr>
          </w:pPr>
          <w:r w:rsidRPr="004F1400">
            <w:fldChar w:fldCharType="begin"/>
          </w:r>
          <w:r w:rsidRPr="004F1400">
            <w:instrText xml:space="preserve"> TOC \o "1-3" \h \z \u </w:instrText>
          </w:r>
          <w:r w:rsidRPr="004F1400">
            <w:fldChar w:fldCharType="separate"/>
          </w:r>
          <w:hyperlink w:anchor="_Toc153300033" w:history="1">
            <w:r w:rsidRPr="004F1400">
              <w:rPr>
                <w:rStyle w:val="Hyperlink"/>
                <w:rFonts w:cs="Times New Roman"/>
                <w:noProof/>
                <w:color w:val="auto"/>
              </w:rPr>
              <w:t>Introduction</w:t>
            </w:r>
            <w:r w:rsidRPr="004F1400">
              <w:rPr>
                <w:noProof/>
                <w:webHidden/>
              </w:rPr>
              <w:tab/>
            </w:r>
            <w:r w:rsidRPr="004F1400">
              <w:rPr>
                <w:noProof/>
                <w:webHidden/>
              </w:rPr>
              <w:fldChar w:fldCharType="begin"/>
            </w:r>
            <w:r w:rsidRPr="004F1400">
              <w:rPr>
                <w:noProof/>
                <w:webHidden/>
              </w:rPr>
              <w:instrText xml:space="preserve"> PAGEREF _Toc153300033 \h </w:instrText>
            </w:r>
            <w:r w:rsidRPr="004F1400">
              <w:rPr>
                <w:noProof/>
                <w:webHidden/>
              </w:rPr>
            </w:r>
            <w:r w:rsidRPr="004F1400">
              <w:rPr>
                <w:noProof/>
                <w:webHidden/>
              </w:rPr>
              <w:fldChar w:fldCharType="separate"/>
            </w:r>
            <w:r w:rsidRPr="004F1400">
              <w:rPr>
                <w:noProof/>
                <w:webHidden/>
              </w:rPr>
              <w:t>3</w:t>
            </w:r>
            <w:r w:rsidRPr="004F1400">
              <w:rPr>
                <w:noProof/>
                <w:webHidden/>
              </w:rPr>
              <w:fldChar w:fldCharType="end"/>
            </w:r>
          </w:hyperlink>
        </w:p>
        <w:p w14:paraId="502FC35A" w14:textId="77777777" w:rsidR="000E3BDA" w:rsidRPr="004F1400" w:rsidRDefault="001162CA">
          <w:pPr>
            <w:pStyle w:val="TOC1"/>
            <w:tabs>
              <w:tab w:val="right" w:leader="dot" w:pos="9350"/>
            </w:tabs>
            <w:rPr>
              <w:rFonts w:asciiTheme="minorHAnsi" w:eastAsiaTheme="minorEastAsia" w:hAnsiTheme="minorHAnsi"/>
              <w:noProof/>
              <w:sz w:val="22"/>
              <w:szCs w:val="28"/>
              <w:lang w:val="en-GB" w:eastAsia="en-GB" w:bidi="bn-BD"/>
            </w:rPr>
          </w:pPr>
          <w:hyperlink w:anchor="_Toc153300034" w:history="1">
            <w:r w:rsidR="000E3BDA" w:rsidRPr="004F1400">
              <w:rPr>
                <w:rStyle w:val="Hyperlink"/>
                <w:rFonts w:cs="Times New Roman"/>
                <w:noProof/>
                <w:color w:val="auto"/>
              </w:rPr>
              <w:t>Foreign exchange risk</w:t>
            </w:r>
            <w:r w:rsidR="000E3BDA" w:rsidRPr="004F1400">
              <w:rPr>
                <w:noProof/>
                <w:webHidden/>
              </w:rPr>
              <w:tab/>
            </w:r>
            <w:r w:rsidR="000E3BDA" w:rsidRPr="004F1400">
              <w:rPr>
                <w:noProof/>
                <w:webHidden/>
              </w:rPr>
              <w:fldChar w:fldCharType="begin"/>
            </w:r>
            <w:r w:rsidR="000E3BDA" w:rsidRPr="004F1400">
              <w:rPr>
                <w:noProof/>
                <w:webHidden/>
              </w:rPr>
              <w:instrText xml:space="preserve"> PAGEREF _Toc153300034 \h </w:instrText>
            </w:r>
            <w:r w:rsidR="000E3BDA" w:rsidRPr="004F1400">
              <w:rPr>
                <w:noProof/>
                <w:webHidden/>
              </w:rPr>
            </w:r>
            <w:r w:rsidR="000E3BDA" w:rsidRPr="004F1400">
              <w:rPr>
                <w:noProof/>
                <w:webHidden/>
              </w:rPr>
              <w:fldChar w:fldCharType="separate"/>
            </w:r>
            <w:r w:rsidR="000E3BDA" w:rsidRPr="004F1400">
              <w:rPr>
                <w:noProof/>
                <w:webHidden/>
              </w:rPr>
              <w:t>4</w:t>
            </w:r>
            <w:r w:rsidR="000E3BDA" w:rsidRPr="004F1400">
              <w:rPr>
                <w:noProof/>
                <w:webHidden/>
              </w:rPr>
              <w:fldChar w:fldCharType="end"/>
            </w:r>
          </w:hyperlink>
        </w:p>
        <w:p w14:paraId="5366303B" w14:textId="77777777" w:rsidR="000E3BDA" w:rsidRPr="004F1400" w:rsidRDefault="001162CA">
          <w:pPr>
            <w:pStyle w:val="TOC1"/>
            <w:tabs>
              <w:tab w:val="right" w:leader="dot" w:pos="9350"/>
            </w:tabs>
            <w:rPr>
              <w:rFonts w:asciiTheme="minorHAnsi" w:eastAsiaTheme="minorEastAsia" w:hAnsiTheme="minorHAnsi"/>
              <w:noProof/>
              <w:sz w:val="22"/>
              <w:szCs w:val="28"/>
              <w:lang w:val="en-GB" w:eastAsia="en-GB" w:bidi="bn-BD"/>
            </w:rPr>
          </w:pPr>
          <w:hyperlink w:anchor="_Toc153300035" w:history="1">
            <w:r w:rsidR="000E3BDA" w:rsidRPr="004F1400">
              <w:rPr>
                <w:rStyle w:val="Hyperlink"/>
                <w:noProof/>
                <w:color w:val="auto"/>
              </w:rPr>
              <w:t>Multinational Corporations’ Strategies for Managing Foreign Exchange Risks</w:t>
            </w:r>
            <w:r w:rsidR="000E3BDA" w:rsidRPr="004F1400">
              <w:rPr>
                <w:noProof/>
                <w:webHidden/>
              </w:rPr>
              <w:tab/>
            </w:r>
            <w:r w:rsidR="000E3BDA" w:rsidRPr="004F1400">
              <w:rPr>
                <w:noProof/>
                <w:webHidden/>
              </w:rPr>
              <w:fldChar w:fldCharType="begin"/>
            </w:r>
            <w:r w:rsidR="000E3BDA" w:rsidRPr="004F1400">
              <w:rPr>
                <w:noProof/>
                <w:webHidden/>
              </w:rPr>
              <w:instrText xml:space="preserve"> PAGEREF _Toc153300035 \h </w:instrText>
            </w:r>
            <w:r w:rsidR="000E3BDA" w:rsidRPr="004F1400">
              <w:rPr>
                <w:noProof/>
                <w:webHidden/>
              </w:rPr>
            </w:r>
            <w:r w:rsidR="000E3BDA" w:rsidRPr="004F1400">
              <w:rPr>
                <w:noProof/>
                <w:webHidden/>
              </w:rPr>
              <w:fldChar w:fldCharType="separate"/>
            </w:r>
            <w:r w:rsidR="000E3BDA" w:rsidRPr="004F1400">
              <w:rPr>
                <w:noProof/>
                <w:webHidden/>
              </w:rPr>
              <w:t>6</w:t>
            </w:r>
            <w:r w:rsidR="000E3BDA" w:rsidRPr="004F1400">
              <w:rPr>
                <w:noProof/>
                <w:webHidden/>
              </w:rPr>
              <w:fldChar w:fldCharType="end"/>
            </w:r>
          </w:hyperlink>
        </w:p>
        <w:p w14:paraId="12552DCA" w14:textId="77777777" w:rsidR="000E3BDA" w:rsidRPr="004F1400" w:rsidRDefault="001162CA">
          <w:pPr>
            <w:pStyle w:val="TOC1"/>
            <w:tabs>
              <w:tab w:val="right" w:leader="dot" w:pos="9350"/>
            </w:tabs>
            <w:rPr>
              <w:rFonts w:asciiTheme="minorHAnsi" w:eastAsiaTheme="minorEastAsia" w:hAnsiTheme="minorHAnsi"/>
              <w:noProof/>
              <w:sz w:val="22"/>
              <w:szCs w:val="28"/>
              <w:lang w:val="en-GB" w:eastAsia="en-GB" w:bidi="bn-BD"/>
            </w:rPr>
          </w:pPr>
          <w:hyperlink w:anchor="_Toc153300036" w:history="1">
            <w:r w:rsidR="000E3BDA" w:rsidRPr="004F1400">
              <w:rPr>
                <w:rStyle w:val="Hyperlink"/>
                <w:rFonts w:cs="Times New Roman"/>
                <w:noProof/>
                <w:color w:val="auto"/>
              </w:rPr>
              <w:t>Empirical Evidence and Case Studies</w:t>
            </w:r>
            <w:r w:rsidR="000E3BDA" w:rsidRPr="004F1400">
              <w:rPr>
                <w:noProof/>
                <w:webHidden/>
              </w:rPr>
              <w:tab/>
            </w:r>
            <w:r w:rsidR="000E3BDA" w:rsidRPr="004F1400">
              <w:rPr>
                <w:noProof/>
                <w:webHidden/>
              </w:rPr>
              <w:fldChar w:fldCharType="begin"/>
            </w:r>
            <w:r w:rsidR="000E3BDA" w:rsidRPr="004F1400">
              <w:rPr>
                <w:noProof/>
                <w:webHidden/>
              </w:rPr>
              <w:instrText xml:space="preserve"> PAGEREF _Toc153300036 \h </w:instrText>
            </w:r>
            <w:r w:rsidR="000E3BDA" w:rsidRPr="004F1400">
              <w:rPr>
                <w:noProof/>
                <w:webHidden/>
              </w:rPr>
            </w:r>
            <w:r w:rsidR="000E3BDA" w:rsidRPr="004F1400">
              <w:rPr>
                <w:noProof/>
                <w:webHidden/>
              </w:rPr>
              <w:fldChar w:fldCharType="separate"/>
            </w:r>
            <w:r w:rsidR="000E3BDA" w:rsidRPr="004F1400">
              <w:rPr>
                <w:noProof/>
                <w:webHidden/>
              </w:rPr>
              <w:t>8</w:t>
            </w:r>
            <w:r w:rsidR="000E3BDA" w:rsidRPr="004F1400">
              <w:rPr>
                <w:noProof/>
                <w:webHidden/>
              </w:rPr>
              <w:fldChar w:fldCharType="end"/>
            </w:r>
          </w:hyperlink>
        </w:p>
        <w:p w14:paraId="68CA5680" w14:textId="77777777" w:rsidR="000E3BDA" w:rsidRPr="004F1400" w:rsidRDefault="001162CA">
          <w:pPr>
            <w:pStyle w:val="TOC1"/>
            <w:tabs>
              <w:tab w:val="right" w:leader="dot" w:pos="9350"/>
            </w:tabs>
            <w:rPr>
              <w:rFonts w:asciiTheme="minorHAnsi" w:eastAsiaTheme="minorEastAsia" w:hAnsiTheme="minorHAnsi"/>
              <w:noProof/>
              <w:sz w:val="22"/>
              <w:szCs w:val="28"/>
              <w:lang w:val="en-GB" w:eastAsia="en-GB" w:bidi="bn-BD"/>
            </w:rPr>
          </w:pPr>
          <w:hyperlink w:anchor="_Toc153300037" w:history="1">
            <w:r w:rsidR="000E3BDA" w:rsidRPr="004F1400">
              <w:rPr>
                <w:rStyle w:val="Hyperlink"/>
                <w:noProof/>
                <w:color w:val="auto"/>
                <w:lang w:val="en-GB"/>
              </w:rPr>
              <w:t>Conclusion</w:t>
            </w:r>
            <w:r w:rsidR="000E3BDA" w:rsidRPr="004F1400">
              <w:rPr>
                <w:noProof/>
                <w:webHidden/>
              </w:rPr>
              <w:tab/>
            </w:r>
            <w:r w:rsidR="000E3BDA" w:rsidRPr="004F1400">
              <w:rPr>
                <w:noProof/>
                <w:webHidden/>
              </w:rPr>
              <w:fldChar w:fldCharType="begin"/>
            </w:r>
            <w:r w:rsidR="000E3BDA" w:rsidRPr="004F1400">
              <w:rPr>
                <w:noProof/>
                <w:webHidden/>
              </w:rPr>
              <w:instrText xml:space="preserve"> PAGEREF _Toc153300037 \h </w:instrText>
            </w:r>
            <w:r w:rsidR="000E3BDA" w:rsidRPr="004F1400">
              <w:rPr>
                <w:noProof/>
                <w:webHidden/>
              </w:rPr>
            </w:r>
            <w:r w:rsidR="000E3BDA" w:rsidRPr="004F1400">
              <w:rPr>
                <w:noProof/>
                <w:webHidden/>
              </w:rPr>
              <w:fldChar w:fldCharType="separate"/>
            </w:r>
            <w:r w:rsidR="000E3BDA" w:rsidRPr="004F1400">
              <w:rPr>
                <w:noProof/>
                <w:webHidden/>
              </w:rPr>
              <w:t>9</w:t>
            </w:r>
            <w:r w:rsidR="000E3BDA" w:rsidRPr="004F1400">
              <w:rPr>
                <w:noProof/>
                <w:webHidden/>
              </w:rPr>
              <w:fldChar w:fldCharType="end"/>
            </w:r>
          </w:hyperlink>
        </w:p>
        <w:p w14:paraId="35656E94" w14:textId="77777777" w:rsidR="000E3BDA" w:rsidRPr="004F1400" w:rsidRDefault="001162CA">
          <w:pPr>
            <w:pStyle w:val="TOC1"/>
            <w:tabs>
              <w:tab w:val="right" w:leader="dot" w:pos="9350"/>
            </w:tabs>
            <w:rPr>
              <w:rFonts w:asciiTheme="minorHAnsi" w:eastAsiaTheme="minorEastAsia" w:hAnsiTheme="minorHAnsi"/>
              <w:noProof/>
              <w:sz w:val="22"/>
              <w:szCs w:val="28"/>
              <w:lang w:val="en-GB" w:eastAsia="en-GB" w:bidi="bn-BD"/>
            </w:rPr>
          </w:pPr>
          <w:hyperlink w:anchor="_Toc153300038" w:history="1">
            <w:r w:rsidR="000E3BDA" w:rsidRPr="004F1400">
              <w:rPr>
                <w:rStyle w:val="Hyperlink"/>
                <w:rFonts w:cs="Times New Roman"/>
                <w:noProof/>
                <w:color w:val="auto"/>
              </w:rPr>
              <w:t>References</w:t>
            </w:r>
            <w:r w:rsidR="000E3BDA" w:rsidRPr="004F1400">
              <w:rPr>
                <w:noProof/>
                <w:webHidden/>
              </w:rPr>
              <w:tab/>
            </w:r>
            <w:r w:rsidR="000E3BDA" w:rsidRPr="004F1400">
              <w:rPr>
                <w:noProof/>
                <w:webHidden/>
              </w:rPr>
              <w:fldChar w:fldCharType="begin"/>
            </w:r>
            <w:r w:rsidR="000E3BDA" w:rsidRPr="004F1400">
              <w:rPr>
                <w:noProof/>
                <w:webHidden/>
              </w:rPr>
              <w:instrText xml:space="preserve"> PAGEREF _Toc153300038 \h </w:instrText>
            </w:r>
            <w:r w:rsidR="000E3BDA" w:rsidRPr="004F1400">
              <w:rPr>
                <w:noProof/>
                <w:webHidden/>
              </w:rPr>
            </w:r>
            <w:r w:rsidR="000E3BDA" w:rsidRPr="004F1400">
              <w:rPr>
                <w:noProof/>
                <w:webHidden/>
              </w:rPr>
              <w:fldChar w:fldCharType="separate"/>
            </w:r>
            <w:r w:rsidR="000E3BDA" w:rsidRPr="004F1400">
              <w:rPr>
                <w:noProof/>
                <w:webHidden/>
              </w:rPr>
              <w:t>10</w:t>
            </w:r>
            <w:r w:rsidR="000E3BDA" w:rsidRPr="004F1400">
              <w:rPr>
                <w:noProof/>
                <w:webHidden/>
              </w:rPr>
              <w:fldChar w:fldCharType="end"/>
            </w:r>
          </w:hyperlink>
        </w:p>
        <w:p w14:paraId="0F4FE3D5" w14:textId="77777777" w:rsidR="000E3BDA" w:rsidRPr="004F1400" w:rsidRDefault="000E3BDA">
          <w:r w:rsidRPr="004F1400">
            <w:rPr>
              <w:b/>
              <w:bCs/>
              <w:noProof/>
            </w:rPr>
            <w:fldChar w:fldCharType="end"/>
          </w:r>
        </w:p>
      </w:sdtContent>
    </w:sdt>
    <w:p w14:paraId="06E42179" w14:textId="77777777" w:rsidR="00E24227" w:rsidRPr="004F1400" w:rsidRDefault="00E24227" w:rsidP="000162CA">
      <w:pPr>
        <w:spacing w:line="360" w:lineRule="auto"/>
        <w:rPr>
          <w:rFonts w:eastAsiaTheme="majorEastAsia" w:cs="Times New Roman"/>
          <w:b/>
          <w:szCs w:val="24"/>
        </w:rPr>
      </w:pPr>
    </w:p>
    <w:p w14:paraId="78E4D02F" w14:textId="77777777" w:rsidR="00E24227" w:rsidRPr="004F1400" w:rsidRDefault="00E24227" w:rsidP="000162CA">
      <w:pPr>
        <w:spacing w:line="360" w:lineRule="auto"/>
        <w:rPr>
          <w:rFonts w:eastAsiaTheme="majorEastAsia" w:cs="Times New Roman"/>
          <w:b/>
          <w:szCs w:val="24"/>
        </w:rPr>
      </w:pPr>
    </w:p>
    <w:p w14:paraId="7D1381DF" w14:textId="77777777" w:rsidR="00E24227" w:rsidRPr="004F1400" w:rsidRDefault="00E24227" w:rsidP="000162CA">
      <w:pPr>
        <w:spacing w:line="360" w:lineRule="auto"/>
        <w:rPr>
          <w:rFonts w:eastAsiaTheme="majorEastAsia" w:cs="Times New Roman"/>
          <w:b/>
          <w:szCs w:val="24"/>
        </w:rPr>
      </w:pPr>
    </w:p>
    <w:p w14:paraId="706A504E" w14:textId="77777777" w:rsidR="00E24227" w:rsidRPr="004F1400" w:rsidRDefault="00E24227" w:rsidP="000162CA">
      <w:pPr>
        <w:spacing w:line="360" w:lineRule="auto"/>
        <w:rPr>
          <w:rFonts w:eastAsiaTheme="majorEastAsia" w:cs="Times New Roman"/>
          <w:b/>
          <w:szCs w:val="24"/>
        </w:rPr>
      </w:pPr>
    </w:p>
    <w:p w14:paraId="3997A9C3" w14:textId="77777777" w:rsidR="00E24227" w:rsidRPr="004F1400" w:rsidRDefault="00E24227" w:rsidP="000162CA">
      <w:pPr>
        <w:spacing w:line="360" w:lineRule="auto"/>
        <w:rPr>
          <w:rFonts w:eastAsiaTheme="majorEastAsia" w:cs="Times New Roman"/>
          <w:b/>
          <w:szCs w:val="24"/>
        </w:rPr>
      </w:pPr>
    </w:p>
    <w:p w14:paraId="0A586733" w14:textId="77777777" w:rsidR="00E24227" w:rsidRPr="004F1400" w:rsidRDefault="00E24227" w:rsidP="000162CA">
      <w:pPr>
        <w:spacing w:line="360" w:lineRule="auto"/>
        <w:rPr>
          <w:rFonts w:eastAsiaTheme="majorEastAsia" w:cs="Times New Roman"/>
          <w:b/>
          <w:szCs w:val="24"/>
        </w:rPr>
      </w:pPr>
    </w:p>
    <w:p w14:paraId="7C7BBC55" w14:textId="77777777" w:rsidR="00E24227" w:rsidRPr="004F1400" w:rsidRDefault="00E24227" w:rsidP="000162CA">
      <w:pPr>
        <w:spacing w:line="360" w:lineRule="auto"/>
        <w:rPr>
          <w:rFonts w:eastAsiaTheme="majorEastAsia" w:cs="Times New Roman"/>
          <w:b/>
          <w:szCs w:val="24"/>
        </w:rPr>
      </w:pPr>
    </w:p>
    <w:p w14:paraId="31F4FA8C" w14:textId="77777777" w:rsidR="00E24227" w:rsidRPr="004F1400" w:rsidRDefault="00E24227" w:rsidP="000162CA">
      <w:pPr>
        <w:spacing w:line="360" w:lineRule="auto"/>
        <w:rPr>
          <w:rFonts w:eastAsiaTheme="majorEastAsia" w:cs="Times New Roman"/>
          <w:b/>
          <w:szCs w:val="24"/>
        </w:rPr>
      </w:pPr>
    </w:p>
    <w:p w14:paraId="1E3C9578" w14:textId="77777777" w:rsidR="00E24227" w:rsidRPr="004F1400" w:rsidRDefault="00E24227" w:rsidP="000162CA">
      <w:pPr>
        <w:spacing w:line="360" w:lineRule="auto"/>
        <w:rPr>
          <w:rFonts w:eastAsiaTheme="majorEastAsia" w:cs="Times New Roman"/>
          <w:b/>
          <w:szCs w:val="24"/>
        </w:rPr>
      </w:pPr>
    </w:p>
    <w:p w14:paraId="153ED072" w14:textId="77777777" w:rsidR="00E24227" w:rsidRPr="004F1400" w:rsidRDefault="00E24227" w:rsidP="000162CA">
      <w:pPr>
        <w:spacing w:line="360" w:lineRule="auto"/>
        <w:rPr>
          <w:rFonts w:eastAsiaTheme="majorEastAsia" w:cs="Times New Roman"/>
          <w:b/>
          <w:szCs w:val="24"/>
        </w:rPr>
      </w:pPr>
    </w:p>
    <w:p w14:paraId="25CF7391" w14:textId="77777777" w:rsidR="00E24227" w:rsidRPr="004F1400" w:rsidRDefault="00E24227" w:rsidP="000162CA">
      <w:pPr>
        <w:spacing w:line="360" w:lineRule="auto"/>
        <w:rPr>
          <w:rFonts w:eastAsiaTheme="majorEastAsia" w:cs="Times New Roman"/>
          <w:b/>
          <w:szCs w:val="24"/>
        </w:rPr>
      </w:pPr>
    </w:p>
    <w:p w14:paraId="22914676" w14:textId="77777777" w:rsidR="00E24227" w:rsidRPr="004F1400" w:rsidRDefault="00E24227" w:rsidP="000162CA">
      <w:pPr>
        <w:spacing w:line="360" w:lineRule="auto"/>
        <w:rPr>
          <w:rFonts w:eastAsiaTheme="majorEastAsia" w:cs="Times New Roman"/>
          <w:b/>
          <w:szCs w:val="24"/>
        </w:rPr>
      </w:pPr>
    </w:p>
    <w:p w14:paraId="3A48ECF7" w14:textId="77777777" w:rsidR="00E24227" w:rsidRPr="004F1400" w:rsidRDefault="00E24227" w:rsidP="000162CA">
      <w:pPr>
        <w:spacing w:line="360" w:lineRule="auto"/>
        <w:rPr>
          <w:rFonts w:eastAsiaTheme="majorEastAsia" w:cs="Times New Roman"/>
          <w:b/>
          <w:szCs w:val="24"/>
        </w:rPr>
      </w:pPr>
    </w:p>
    <w:p w14:paraId="1AB7A03E" w14:textId="77777777" w:rsidR="00E24227" w:rsidRPr="004F1400" w:rsidRDefault="00E24227" w:rsidP="000162CA">
      <w:pPr>
        <w:spacing w:line="360" w:lineRule="auto"/>
        <w:rPr>
          <w:rFonts w:eastAsiaTheme="majorEastAsia" w:cs="Times New Roman"/>
          <w:b/>
          <w:szCs w:val="24"/>
        </w:rPr>
      </w:pPr>
    </w:p>
    <w:p w14:paraId="118B1C34" w14:textId="77777777" w:rsidR="00E24227" w:rsidRPr="004F1400" w:rsidRDefault="00E24227" w:rsidP="000162CA">
      <w:pPr>
        <w:spacing w:line="360" w:lineRule="auto"/>
        <w:rPr>
          <w:rFonts w:eastAsiaTheme="majorEastAsia" w:cs="Times New Roman"/>
          <w:b/>
          <w:szCs w:val="24"/>
        </w:rPr>
      </w:pPr>
    </w:p>
    <w:p w14:paraId="20C5BAC7" w14:textId="77777777" w:rsidR="00E24227" w:rsidRPr="004F1400" w:rsidRDefault="00E24227" w:rsidP="000162CA">
      <w:pPr>
        <w:spacing w:line="360" w:lineRule="auto"/>
        <w:rPr>
          <w:rFonts w:eastAsiaTheme="majorEastAsia" w:cs="Times New Roman"/>
          <w:b/>
          <w:szCs w:val="24"/>
        </w:rPr>
      </w:pPr>
    </w:p>
    <w:p w14:paraId="5C9B2D7F" w14:textId="77777777" w:rsidR="00884BDD" w:rsidRPr="004F1400" w:rsidRDefault="00884BDD" w:rsidP="000162CA">
      <w:pPr>
        <w:spacing w:line="360" w:lineRule="auto"/>
        <w:rPr>
          <w:rFonts w:cs="Times New Roman"/>
          <w:szCs w:val="24"/>
        </w:rPr>
      </w:pPr>
    </w:p>
    <w:p w14:paraId="482D4CBC" w14:textId="77777777" w:rsidR="00A32AC2" w:rsidRPr="004F1400" w:rsidRDefault="00A32AC2" w:rsidP="000162CA">
      <w:pPr>
        <w:pStyle w:val="Heading1"/>
        <w:spacing w:line="360" w:lineRule="auto"/>
        <w:rPr>
          <w:rFonts w:cs="Times New Roman"/>
          <w:color w:val="auto"/>
          <w:sz w:val="24"/>
          <w:szCs w:val="24"/>
        </w:rPr>
      </w:pPr>
      <w:bookmarkStart w:id="1" w:name="_Toc153300033"/>
      <w:r w:rsidRPr="004F1400">
        <w:rPr>
          <w:rFonts w:cs="Times New Roman"/>
          <w:color w:val="auto"/>
          <w:sz w:val="24"/>
          <w:szCs w:val="24"/>
        </w:rPr>
        <w:t>Introduction</w:t>
      </w:r>
      <w:bookmarkEnd w:id="0"/>
      <w:bookmarkEnd w:id="1"/>
    </w:p>
    <w:p w14:paraId="0CE59BD8" w14:textId="244D3467" w:rsidR="00884BDD" w:rsidRPr="004F1400" w:rsidRDefault="00BD4596" w:rsidP="000162CA">
      <w:pPr>
        <w:spacing w:line="360" w:lineRule="auto"/>
        <w:rPr>
          <w:rFonts w:cs="Times New Roman"/>
          <w:szCs w:val="24"/>
        </w:rPr>
      </w:pPr>
      <w:r w:rsidRPr="00BD4596">
        <w:rPr>
          <w:rFonts w:cs="Times New Roman"/>
          <w:szCs w:val="24"/>
        </w:rPr>
        <w:t>This implies that in order to thrive in a globalized business environment characterized by multinationals, management of finance must be fully understood and implemented. As more and more businesses expand beyond national borders, they inevitably expose themselves to unforeseeable currency fluctuations. Some of these risks may appear unsurmountable because of the volatile nature of foreign currency that can have profound effects on cash flow, profitability and financial stability of the company. For multinational organizations, it is imperative to understand and successfully deal with foreign exchange risks for them to be viable. The primary objective of this paper is an exploration of the complexities in international financial management especially as it relates to the techniques multinational corporations MNC’s use to avoid foreign exchange risk.</w:t>
      </w:r>
      <w:r w:rsidR="00884BDD" w:rsidRPr="004F1400">
        <w:rPr>
          <w:rFonts w:cs="Times New Roman"/>
          <w:szCs w:val="24"/>
        </w:rPr>
        <w:br w:type="page"/>
      </w:r>
    </w:p>
    <w:p w14:paraId="5F987540" w14:textId="77777777" w:rsidR="00060BF6" w:rsidRPr="004F1400" w:rsidRDefault="00060BF6" w:rsidP="000162CA">
      <w:pPr>
        <w:spacing w:line="360" w:lineRule="auto"/>
        <w:rPr>
          <w:rFonts w:cs="Times New Roman"/>
          <w:szCs w:val="24"/>
        </w:rPr>
      </w:pPr>
    </w:p>
    <w:p w14:paraId="76D6F289" w14:textId="77777777" w:rsidR="00DD6209" w:rsidRPr="004F1400" w:rsidRDefault="001533B1" w:rsidP="000162CA">
      <w:pPr>
        <w:pStyle w:val="Heading1"/>
        <w:spacing w:line="360" w:lineRule="auto"/>
        <w:rPr>
          <w:rFonts w:cs="Times New Roman"/>
          <w:color w:val="auto"/>
          <w:sz w:val="24"/>
          <w:szCs w:val="24"/>
        </w:rPr>
      </w:pPr>
      <w:bookmarkStart w:id="2" w:name="_Toc153300034"/>
      <w:r w:rsidRPr="004F1400">
        <w:rPr>
          <w:rFonts w:cs="Times New Roman"/>
          <w:color w:val="auto"/>
          <w:sz w:val="24"/>
          <w:szCs w:val="24"/>
        </w:rPr>
        <w:t>Foreign exchange risk</w:t>
      </w:r>
      <w:bookmarkEnd w:id="2"/>
      <w:r w:rsidRPr="004F1400">
        <w:rPr>
          <w:rFonts w:cs="Times New Roman"/>
          <w:color w:val="auto"/>
          <w:sz w:val="24"/>
          <w:szCs w:val="24"/>
        </w:rPr>
        <w:t xml:space="preserve"> </w:t>
      </w:r>
    </w:p>
    <w:p w14:paraId="12664F2D" w14:textId="77777777" w:rsidR="007279F3" w:rsidRPr="007279F3" w:rsidRDefault="007279F3" w:rsidP="007279F3">
      <w:pPr>
        <w:spacing w:line="360" w:lineRule="auto"/>
        <w:rPr>
          <w:rFonts w:cs="Times New Roman"/>
          <w:szCs w:val="24"/>
        </w:rPr>
      </w:pPr>
      <w:r w:rsidRPr="007279F3">
        <w:rPr>
          <w:rFonts w:cs="Times New Roman"/>
          <w:szCs w:val="24"/>
        </w:rPr>
        <w:t>A worthy fear for multinational Corporations engaged in international trade or investment is currency risk. It is a risk from possible capital losses, which may occur due to changes in values between two currencies.</w:t>
      </w:r>
    </w:p>
    <w:p w14:paraId="7D231746" w14:textId="53D0C9BD" w:rsidR="003F0DA5" w:rsidRPr="004F1400" w:rsidRDefault="007279F3" w:rsidP="007279F3">
      <w:pPr>
        <w:spacing w:line="360" w:lineRule="auto"/>
        <w:rPr>
          <w:rFonts w:cs="Times New Roman"/>
          <w:szCs w:val="24"/>
        </w:rPr>
      </w:pPr>
      <w:r w:rsidRPr="007279F3">
        <w:rPr>
          <w:rFonts w:cs="Times New Roman"/>
          <w:szCs w:val="24"/>
        </w:rPr>
        <w:t xml:space="preserve">It is important to understand in detail these risks so as to develop appropriate risk management </w:t>
      </w:r>
      <w:proofErr w:type="spellStart"/>
      <w:r w:rsidRPr="007279F3">
        <w:rPr>
          <w:rFonts w:cs="Times New Roman"/>
          <w:szCs w:val="24"/>
        </w:rPr>
        <w:t>programmes</w:t>
      </w:r>
      <w:proofErr w:type="spellEnd"/>
      <w:r w:rsidRPr="007279F3">
        <w:rPr>
          <w:rFonts w:cs="Times New Roman"/>
          <w:szCs w:val="24"/>
        </w:rPr>
        <w:t>. There exist three major kinds of foreign exchange risks. The third type of economic risk is called transaction risk, which refers to the risks that are innate in international transactions</w:t>
      </w:r>
      <w:r>
        <w:rPr>
          <w:rFonts w:cs="Times New Roman"/>
          <w:szCs w:val="24"/>
        </w:rPr>
        <w:t xml:space="preserve">. </w:t>
      </w:r>
      <w:r w:rsidR="003F0DA5" w:rsidRPr="004F1400">
        <w:rPr>
          <w:rFonts w:cs="Times New Roman"/>
          <w:szCs w:val="24"/>
        </w:rPr>
        <w:t>The possibility that exchange rates will fluctuate prior to the settlement of a transaction provides certainty. The principal source of transaction risk is postponements in the settlement of a transaction</w:t>
      </w:r>
      <w:r w:rsidR="00556F20" w:rsidRPr="004F1400">
        <w:rPr>
          <w:rFonts w:cs="Times New Roman"/>
          <w:szCs w:val="24"/>
        </w:rPr>
        <w:t xml:space="preserve"> (</w:t>
      </w:r>
      <w:r w:rsidR="00556F20" w:rsidRPr="004F1400">
        <w:rPr>
          <w:rFonts w:cs="Times New Roman"/>
          <w:szCs w:val="24"/>
          <w:shd w:val="clear" w:color="auto" w:fill="FFFFFF"/>
        </w:rPr>
        <w:t>Saunders et al., 2021)</w:t>
      </w:r>
      <w:r w:rsidR="003F0DA5" w:rsidRPr="004F1400">
        <w:rPr>
          <w:rFonts w:cs="Times New Roman"/>
          <w:szCs w:val="24"/>
        </w:rPr>
        <w:t>. The impact of transactions can be mitigated through the utilization of options and forward contracts. For instance, he incurs transaction risk when he enters into a contract to purchase products from a European supplier from the United States and the exchange rate between the two currencies fluctuates between the time he signs the contract and the time he executes the payments. A strengthening of the US dollar relative to the euro would result in an increase in the cost of the items, while a strengthening of the dollar would lead to a decrease in price.</w:t>
      </w:r>
    </w:p>
    <w:p w14:paraId="4640CF44" w14:textId="1073A7D7" w:rsidR="00DD6209" w:rsidRPr="004F1400" w:rsidRDefault="004924FA" w:rsidP="000162CA">
      <w:pPr>
        <w:spacing w:line="360" w:lineRule="auto"/>
        <w:rPr>
          <w:rFonts w:cs="Times New Roman"/>
          <w:szCs w:val="24"/>
        </w:rPr>
      </w:pPr>
      <w:r w:rsidRPr="004F1400">
        <w:rPr>
          <w:rFonts w:cs="Times New Roman"/>
          <w:szCs w:val="24"/>
        </w:rPr>
        <w:t>The potential that an organization's market value can be impacted by its inevitable exposure to changes in exchange rates is known as economic risk, which is sometimes called forecast risk. This type of risk is usually caused by broader economic factors, such as political unrest and government regulations</w:t>
      </w:r>
      <w:r w:rsidR="00FD2289" w:rsidRPr="004F1400">
        <w:rPr>
          <w:rFonts w:cs="Times New Roman"/>
          <w:szCs w:val="24"/>
        </w:rPr>
        <w:t xml:space="preserve"> (</w:t>
      </w:r>
      <w:proofErr w:type="spellStart"/>
      <w:r w:rsidR="00FD2289" w:rsidRPr="004F1400">
        <w:rPr>
          <w:rFonts w:cs="Times New Roman"/>
          <w:szCs w:val="24"/>
          <w:shd w:val="clear" w:color="auto" w:fill="FFFFFF"/>
        </w:rPr>
        <w:t>Ayadi</w:t>
      </w:r>
      <w:proofErr w:type="spellEnd"/>
      <w:r w:rsidR="00FD2289" w:rsidRPr="004F1400">
        <w:rPr>
          <w:rFonts w:cs="Times New Roman"/>
          <w:szCs w:val="24"/>
          <w:shd w:val="clear" w:color="auto" w:fill="FFFFFF"/>
        </w:rPr>
        <w:t xml:space="preserve"> et al., 2022)</w:t>
      </w:r>
      <w:r w:rsidRPr="004F1400">
        <w:rPr>
          <w:rFonts w:cs="Times New Roman"/>
          <w:szCs w:val="24"/>
        </w:rPr>
        <w:t>. As an example, a British furniture company that operates domestically will be exposed to economic risk from furniture importers, especially in the event of an unexpected strengthening of the British pound.</w:t>
      </w:r>
    </w:p>
    <w:p w14:paraId="3F5C40D7" w14:textId="2E812ABD" w:rsidR="001533B1" w:rsidRPr="004F1400" w:rsidRDefault="008B2AB2" w:rsidP="000162CA">
      <w:pPr>
        <w:spacing w:line="360" w:lineRule="auto"/>
        <w:rPr>
          <w:rFonts w:cs="Times New Roman"/>
          <w:szCs w:val="24"/>
        </w:rPr>
      </w:pPr>
      <w:r w:rsidRPr="004F1400">
        <w:rPr>
          <w:rFonts w:cs="Times New Roman"/>
          <w:szCs w:val="24"/>
        </w:rPr>
        <w:t>This, also known as accounting exposure, affects multinational firms that have assets or operations in foreign states. The books are subject to translation risk since they are translated from a different currency into the native currency. Changes in the exchange rate among a company's reporting currency and the currency of its assets and liabilities can have a substantial effect on the balance sheet. Consider a situation where a parent company's financial position is affected by changes in the JPY/USD exchange rate. This could happen when a Japanese subsidiary of the parent firm possesses assets valued in JPY</w:t>
      </w:r>
      <w:r w:rsidR="00556F20" w:rsidRPr="004F1400">
        <w:rPr>
          <w:rFonts w:cs="Times New Roman"/>
          <w:szCs w:val="24"/>
        </w:rPr>
        <w:t xml:space="preserve"> (</w:t>
      </w:r>
      <w:proofErr w:type="spellStart"/>
      <w:r w:rsidR="00556F20" w:rsidRPr="004F1400">
        <w:rPr>
          <w:rFonts w:cs="Times New Roman"/>
          <w:szCs w:val="24"/>
          <w:shd w:val="clear" w:color="auto" w:fill="FFFFFF"/>
        </w:rPr>
        <w:t>Rampini</w:t>
      </w:r>
      <w:proofErr w:type="spellEnd"/>
      <w:r w:rsidR="00556F20" w:rsidRPr="004F1400">
        <w:rPr>
          <w:rFonts w:cs="Times New Roman"/>
          <w:szCs w:val="24"/>
          <w:shd w:val="clear" w:color="auto" w:fill="FFFFFF"/>
        </w:rPr>
        <w:t xml:space="preserve"> et al., 2020)</w:t>
      </w:r>
      <w:r w:rsidRPr="004F1400">
        <w:rPr>
          <w:rFonts w:cs="Times New Roman"/>
          <w:szCs w:val="24"/>
        </w:rPr>
        <w:t>.</w:t>
      </w:r>
    </w:p>
    <w:p w14:paraId="5130497A" w14:textId="77777777" w:rsidR="001533B1" w:rsidRPr="004F1400" w:rsidRDefault="001533B1">
      <w:pPr>
        <w:jc w:val="left"/>
        <w:rPr>
          <w:rFonts w:cs="Times New Roman"/>
          <w:szCs w:val="24"/>
        </w:rPr>
      </w:pPr>
      <w:r w:rsidRPr="004F1400">
        <w:rPr>
          <w:rFonts w:cs="Times New Roman"/>
          <w:szCs w:val="24"/>
        </w:rPr>
        <w:br w:type="page"/>
      </w:r>
    </w:p>
    <w:p w14:paraId="447FB133" w14:textId="77777777" w:rsidR="004924FA" w:rsidRPr="004F1400" w:rsidRDefault="004924FA" w:rsidP="000162CA">
      <w:pPr>
        <w:spacing w:line="360" w:lineRule="auto"/>
        <w:rPr>
          <w:rFonts w:cs="Times New Roman"/>
          <w:szCs w:val="24"/>
        </w:rPr>
      </w:pPr>
    </w:p>
    <w:p w14:paraId="71BDD03C" w14:textId="77777777" w:rsidR="001A4461" w:rsidRPr="004F1400" w:rsidRDefault="001A4461" w:rsidP="003F0DA5">
      <w:pPr>
        <w:pStyle w:val="Heading1"/>
        <w:rPr>
          <w:color w:val="auto"/>
        </w:rPr>
      </w:pPr>
      <w:bookmarkStart w:id="3" w:name="_Toc150041144"/>
      <w:bookmarkStart w:id="4" w:name="_Toc153300035"/>
      <w:r w:rsidRPr="004F1400">
        <w:rPr>
          <w:color w:val="auto"/>
        </w:rPr>
        <w:t>Multinational Corporations’ Strategies for Managing Foreign Exchange Risks</w:t>
      </w:r>
      <w:bookmarkEnd w:id="3"/>
      <w:bookmarkEnd w:id="4"/>
    </w:p>
    <w:p w14:paraId="19EA7E6B" w14:textId="77777777" w:rsidR="003F0DA5" w:rsidRPr="004F1400" w:rsidRDefault="003F0DA5" w:rsidP="000162CA">
      <w:pPr>
        <w:spacing w:line="360" w:lineRule="auto"/>
        <w:rPr>
          <w:rFonts w:cs="Times New Roman"/>
          <w:szCs w:val="24"/>
          <w:lang w:val="en-GB"/>
        </w:rPr>
      </w:pPr>
      <w:r w:rsidRPr="004F1400">
        <w:rPr>
          <w:rFonts w:cs="Times New Roman"/>
          <w:szCs w:val="24"/>
          <w:lang w:val="en-GB"/>
        </w:rPr>
        <w:t xml:space="preserve">Multinational corporations employ diverse strategies to mitigate the consequences of these risks and protect their financial interests. In essence, there are three fundamental methods for categorizing these strategies.  </w:t>
      </w:r>
    </w:p>
    <w:p w14:paraId="540082A5" w14:textId="77777777" w:rsidR="000162CA" w:rsidRPr="004F1400" w:rsidRDefault="000162CA" w:rsidP="000162CA">
      <w:pPr>
        <w:spacing w:line="360" w:lineRule="auto"/>
        <w:rPr>
          <w:rFonts w:cs="Times New Roman"/>
          <w:szCs w:val="24"/>
          <w:lang w:val="en-GB"/>
        </w:rPr>
      </w:pPr>
      <w:r w:rsidRPr="004F1400">
        <w:rPr>
          <w:rFonts w:cs="Times New Roman"/>
          <w:b/>
          <w:bCs/>
          <w:szCs w:val="24"/>
          <w:lang w:val="en-GB"/>
        </w:rPr>
        <w:t xml:space="preserve">Hedging strategies </w:t>
      </w:r>
      <w:r w:rsidRPr="004F1400">
        <w:rPr>
          <w:rFonts w:cs="Times New Roman"/>
          <w:szCs w:val="24"/>
          <w:lang w:val="en-GB"/>
        </w:rPr>
        <w:t> </w:t>
      </w:r>
    </w:p>
    <w:p w14:paraId="32A0E17D" w14:textId="6793C072" w:rsidR="000162CA" w:rsidRPr="004F1400" w:rsidRDefault="003F0DA5" w:rsidP="000162CA">
      <w:pPr>
        <w:spacing w:line="360" w:lineRule="auto"/>
        <w:rPr>
          <w:rFonts w:cs="Times New Roman"/>
          <w:szCs w:val="24"/>
          <w:lang w:val="en-GB"/>
        </w:rPr>
      </w:pPr>
      <w:r w:rsidRPr="004F1400">
        <w:rPr>
          <w:rFonts w:cs="Times New Roman"/>
          <w:szCs w:val="24"/>
          <w:lang w:val="en-GB"/>
        </w:rPr>
        <w:t>International corporations often utilize forward contracts as a precaution rather than as an actual course of action. An arrangement to exchange a specified quantity of one currency for another at a future date and an agreed-upon exchange rate is known as a forward contract. Exchange rates can be secured by businesses for future transactions. With this degree of absolute certainty. Options contracts provide corporations with the privilege, without imposing a duty, to transfer funds at a predetermined price on a designated date in the future</w:t>
      </w:r>
      <w:r w:rsidR="004D6E66" w:rsidRPr="004F1400">
        <w:rPr>
          <w:rFonts w:cs="Times New Roman"/>
          <w:szCs w:val="24"/>
          <w:lang w:val="en-GB"/>
        </w:rPr>
        <w:t xml:space="preserve"> (</w:t>
      </w:r>
      <w:r w:rsidR="004D6E66" w:rsidRPr="004F1400">
        <w:rPr>
          <w:rFonts w:cs="Times New Roman"/>
          <w:szCs w:val="24"/>
          <w:shd w:val="clear" w:color="auto" w:fill="FFFFFF"/>
        </w:rPr>
        <w:t>Saeed et al., 2020)</w:t>
      </w:r>
      <w:r w:rsidRPr="004F1400">
        <w:rPr>
          <w:rFonts w:cs="Times New Roman"/>
          <w:szCs w:val="24"/>
          <w:lang w:val="en-GB"/>
        </w:rPr>
        <w:t>. This capability enables organizations to capitalize on advantageous fluctuations in currency exchange rates while mitigating potential financial losses. A currency trade entails the reciprocal exchange of one currency for another, typically in the form of principal and interest. With their assistance, transaction and interest rate risk can be mitigated.</w:t>
      </w:r>
    </w:p>
    <w:p w14:paraId="60F74150" w14:textId="77777777" w:rsidR="000162CA" w:rsidRPr="004F1400" w:rsidRDefault="000162CA" w:rsidP="000162CA">
      <w:pPr>
        <w:spacing w:line="360" w:lineRule="auto"/>
        <w:rPr>
          <w:rFonts w:cs="Times New Roman"/>
          <w:szCs w:val="24"/>
          <w:lang w:val="en-GB"/>
        </w:rPr>
      </w:pPr>
      <w:r w:rsidRPr="004F1400">
        <w:rPr>
          <w:rFonts w:cs="Times New Roman"/>
          <w:b/>
          <w:bCs/>
          <w:szCs w:val="24"/>
          <w:lang w:val="en-GB"/>
        </w:rPr>
        <w:t>Operational strategies.</w:t>
      </w:r>
      <w:r w:rsidRPr="004F1400">
        <w:rPr>
          <w:rFonts w:cs="Times New Roman"/>
          <w:szCs w:val="24"/>
          <w:lang w:val="en-GB"/>
        </w:rPr>
        <w:t> </w:t>
      </w:r>
    </w:p>
    <w:p w14:paraId="08919027" w14:textId="04667E3E" w:rsidR="003F0DA5" w:rsidRPr="004F1400" w:rsidRDefault="003F0DA5" w:rsidP="000162CA">
      <w:pPr>
        <w:spacing w:line="360" w:lineRule="auto"/>
        <w:rPr>
          <w:rFonts w:cs="Times New Roman"/>
          <w:szCs w:val="24"/>
          <w:lang w:val="en-GB"/>
        </w:rPr>
      </w:pPr>
      <w:r w:rsidRPr="004F1400">
        <w:rPr>
          <w:rFonts w:cs="Times New Roman"/>
          <w:szCs w:val="24"/>
          <w:lang w:val="en-GB"/>
        </w:rPr>
        <w:t>The strategic placement of a company's operations in various jurisdictions and currencies can inherently serve as a hedging mechanism</w:t>
      </w:r>
      <w:r w:rsidR="004D6E66" w:rsidRPr="004F1400">
        <w:rPr>
          <w:rFonts w:cs="Times New Roman"/>
          <w:szCs w:val="24"/>
          <w:lang w:val="en-GB"/>
        </w:rPr>
        <w:t xml:space="preserve"> (</w:t>
      </w:r>
      <w:r w:rsidR="004D6E66" w:rsidRPr="004F1400">
        <w:rPr>
          <w:rFonts w:cs="Times New Roman"/>
          <w:szCs w:val="24"/>
          <w:shd w:val="clear" w:color="auto" w:fill="FFFFFF"/>
        </w:rPr>
        <w:t>Brown et al., 2018)</w:t>
      </w:r>
      <w:r w:rsidRPr="004F1400">
        <w:rPr>
          <w:rFonts w:cs="Times New Roman"/>
          <w:szCs w:val="24"/>
          <w:lang w:val="en-GB"/>
        </w:rPr>
        <w:t>. Expenses that are shared among numerous currencies are dispersed. The cumulative impact of fluctuations and exchange rates might be relatively minimal. The bars consumed virtually everything that deviated from the exit strategy, including foreign currency. By making leading payments in advance of the due date or by delaying payments until the end of the period, one can capitalize on advantageous fluctuations in exchange rates.</w:t>
      </w:r>
    </w:p>
    <w:p w14:paraId="5353E5D5" w14:textId="77777777" w:rsidR="000162CA" w:rsidRPr="004F1400" w:rsidRDefault="000162CA" w:rsidP="000162CA">
      <w:pPr>
        <w:spacing w:line="360" w:lineRule="auto"/>
        <w:rPr>
          <w:rFonts w:cs="Times New Roman"/>
          <w:szCs w:val="24"/>
          <w:lang w:val="en-GB"/>
        </w:rPr>
      </w:pPr>
      <w:r w:rsidRPr="004F1400">
        <w:rPr>
          <w:rFonts w:cs="Times New Roman"/>
          <w:b/>
          <w:bCs/>
          <w:szCs w:val="24"/>
          <w:lang w:val="en-GB"/>
        </w:rPr>
        <w:t xml:space="preserve">Economic strategies </w:t>
      </w:r>
      <w:r w:rsidRPr="004F1400">
        <w:rPr>
          <w:rFonts w:cs="Times New Roman"/>
          <w:szCs w:val="24"/>
          <w:lang w:val="en-GB"/>
        </w:rPr>
        <w:t> </w:t>
      </w:r>
    </w:p>
    <w:p w14:paraId="54A50906" w14:textId="746F4A1C" w:rsidR="000162CA" w:rsidRPr="004F1400" w:rsidRDefault="003F0DA5" w:rsidP="000162CA">
      <w:pPr>
        <w:spacing w:line="360" w:lineRule="auto"/>
        <w:rPr>
          <w:rFonts w:cs="Times New Roman"/>
          <w:szCs w:val="24"/>
          <w:lang w:val="en-GB"/>
        </w:rPr>
      </w:pPr>
      <w:r w:rsidRPr="004F1400">
        <w:rPr>
          <w:rFonts w:cs="Times New Roman"/>
          <w:szCs w:val="24"/>
          <w:lang w:val="en-GB"/>
        </w:rPr>
        <w:t>Through the strategic allocation of their revenues and expenses across various currencies, organizations can establish an intrinsic hedge</w:t>
      </w:r>
      <w:r w:rsidR="00556F20" w:rsidRPr="004F1400">
        <w:rPr>
          <w:rFonts w:cs="Times New Roman"/>
          <w:szCs w:val="24"/>
          <w:lang w:val="en-GB"/>
        </w:rPr>
        <w:t xml:space="preserve"> (</w:t>
      </w:r>
      <w:proofErr w:type="spellStart"/>
      <w:r w:rsidR="00556F20" w:rsidRPr="004F1400">
        <w:rPr>
          <w:rFonts w:cs="Times New Roman"/>
          <w:szCs w:val="24"/>
          <w:shd w:val="clear" w:color="auto" w:fill="FFFFFF"/>
        </w:rPr>
        <w:t>Teece</w:t>
      </w:r>
      <w:proofErr w:type="spellEnd"/>
      <w:r w:rsidR="00556F20" w:rsidRPr="004F1400">
        <w:rPr>
          <w:rFonts w:cs="Times New Roman"/>
          <w:szCs w:val="24"/>
          <w:shd w:val="clear" w:color="auto" w:fill="FFFFFF"/>
        </w:rPr>
        <w:t>, 2019)</w:t>
      </w:r>
      <w:r w:rsidRPr="004F1400">
        <w:rPr>
          <w:rFonts w:cs="Times New Roman"/>
          <w:szCs w:val="24"/>
          <w:lang w:val="en-GB"/>
        </w:rPr>
        <w:t>. For example, in the case where a business operates in a currency identical to that of its revenues and expenses, then variations in the exchange rate may not have an impact on its profitability</w:t>
      </w:r>
      <w:r w:rsidR="004D6E66" w:rsidRPr="004F1400">
        <w:rPr>
          <w:rFonts w:cs="Times New Roman"/>
          <w:szCs w:val="24"/>
          <w:lang w:val="en-GB"/>
        </w:rPr>
        <w:t xml:space="preserve"> (</w:t>
      </w:r>
      <w:proofErr w:type="spellStart"/>
      <w:r w:rsidR="004D6E66" w:rsidRPr="004F1400">
        <w:rPr>
          <w:rFonts w:cs="Times New Roman"/>
          <w:szCs w:val="24"/>
          <w:shd w:val="clear" w:color="auto" w:fill="FFFFFF"/>
        </w:rPr>
        <w:t>Tiwary</w:t>
      </w:r>
      <w:proofErr w:type="spellEnd"/>
      <w:r w:rsidR="004D6E66" w:rsidRPr="004F1400">
        <w:rPr>
          <w:rFonts w:cs="Times New Roman"/>
          <w:szCs w:val="24"/>
          <w:shd w:val="clear" w:color="auto" w:fill="FFFFFF"/>
        </w:rPr>
        <w:t>, 2019)</w:t>
      </w:r>
      <w:r w:rsidRPr="004F1400">
        <w:rPr>
          <w:rFonts w:cs="Times New Roman"/>
          <w:szCs w:val="24"/>
          <w:lang w:val="en-GB"/>
        </w:rPr>
        <w:t>. Contract or price adjustments in response to inflationary pressures are a prudent method of mitigating economic risk. Predicting inflation rates when pricing contracts represents one approach to mitigating the risk of real return depletion. These are flawless strategies. Foreign exchange risk exposure can be costly, and not all protection options are available. The effectiveness of these strategies is determined by the market economy and business operations. In order to develop and implement these methods, therefore, a substantial amount of research and continuous evaluation are necessary.</w:t>
      </w:r>
    </w:p>
    <w:p w14:paraId="5A58138E" w14:textId="77777777" w:rsidR="000162CA" w:rsidRPr="004F1400" w:rsidRDefault="000162CA" w:rsidP="000162CA">
      <w:pPr>
        <w:spacing w:line="360" w:lineRule="auto"/>
        <w:rPr>
          <w:rFonts w:cs="Times New Roman"/>
          <w:szCs w:val="24"/>
          <w:lang w:val="en-GB"/>
        </w:rPr>
      </w:pPr>
      <w:r w:rsidRPr="004F1400">
        <w:rPr>
          <w:rFonts w:cs="Times New Roman"/>
          <w:b/>
          <w:bCs/>
          <w:szCs w:val="24"/>
          <w:lang w:val="en-GB"/>
        </w:rPr>
        <w:t>Critical analysis of the strategies</w:t>
      </w:r>
      <w:r w:rsidRPr="004F1400">
        <w:rPr>
          <w:rFonts w:cs="Times New Roman"/>
          <w:szCs w:val="24"/>
          <w:lang w:val="en-GB"/>
        </w:rPr>
        <w:t> </w:t>
      </w:r>
    </w:p>
    <w:p w14:paraId="7FF30965" w14:textId="091C3322" w:rsidR="003F0DA5" w:rsidRPr="004F1400" w:rsidRDefault="003F0DA5" w:rsidP="001533B1">
      <w:pPr>
        <w:spacing w:line="360" w:lineRule="auto"/>
        <w:rPr>
          <w:rFonts w:cs="Times New Roman"/>
          <w:szCs w:val="24"/>
          <w:lang w:val="en-GB"/>
        </w:rPr>
      </w:pPr>
      <w:r w:rsidRPr="004F1400">
        <w:rPr>
          <w:rFonts w:cs="Times New Roman"/>
          <w:szCs w:val="24"/>
          <w:lang w:val="en-GB"/>
        </w:rPr>
        <w:t>To manage their foreign exchange risk exposure, multinational corporations should evaluate the advantages, disadvantages, and intricacy of each strategy they select. Organizations can evaluate these approaches across diverse contexts and market environments through the application of critical analysis</w:t>
      </w:r>
      <w:r w:rsidR="004D6E66" w:rsidRPr="004F1400">
        <w:rPr>
          <w:rFonts w:cs="Times New Roman"/>
          <w:szCs w:val="24"/>
          <w:lang w:val="en-GB"/>
        </w:rPr>
        <w:t xml:space="preserve"> (</w:t>
      </w:r>
      <w:proofErr w:type="spellStart"/>
      <w:r w:rsidR="004D6E66" w:rsidRPr="004F1400">
        <w:rPr>
          <w:rFonts w:cs="Times New Roman"/>
          <w:szCs w:val="24"/>
          <w:shd w:val="clear" w:color="auto" w:fill="FFFFFF"/>
        </w:rPr>
        <w:t>Belwal</w:t>
      </w:r>
      <w:proofErr w:type="spellEnd"/>
      <w:r w:rsidR="004D6E66" w:rsidRPr="004F1400">
        <w:rPr>
          <w:rFonts w:cs="Times New Roman"/>
          <w:szCs w:val="24"/>
          <w:shd w:val="clear" w:color="auto" w:fill="FFFFFF"/>
        </w:rPr>
        <w:t xml:space="preserve"> et al., 2018)</w:t>
      </w:r>
      <w:r w:rsidRPr="004F1400">
        <w:rPr>
          <w:rFonts w:cs="Times New Roman"/>
          <w:szCs w:val="24"/>
          <w:lang w:val="en-GB"/>
        </w:rPr>
        <w:t xml:space="preserve">. Hedging strategies are implemented in order to mitigate the impact of volatility on the foreign exchange market. Stability and mitigation of transaction risk are accomplished by implementing forward contracts and options. Through the implementation of exchange rate regulation, these instruments maintained their profit margins. Although these systems offer security, they do so at a financial </w:t>
      </w:r>
      <w:r w:rsidR="00742231" w:rsidRPr="004F1400">
        <w:rPr>
          <w:rFonts w:cs="Times New Roman"/>
          <w:szCs w:val="24"/>
          <w:lang w:val="en-GB"/>
        </w:rPr>
        <w:t>cost.</w:t>
      </w:r>
      <w:r w:rsidR="003B7EA5" w:rsidRPr="004F1400">
        <w:rPr>
          <w:rFonts w:cs="Times New Roman"/>
          <w:szCs w:val="24"/>
          <w:lang w:val="en-GB"/>
        </w:rPr>
        <w:t xml:space="preserve"> </w:t>
      </w:r>
      <w:r w:rsidR="00742231" w:rsidRPr="004F1400">
        <w:rPr>
          <w:rFonts w:cs="Times New Roman"/>
          <w:szCs w:val="24"/>
          <w:lang w:val="en-GB"/>
        </w:rPr>
        <w:t>Small business especially can quickly accumulate expenses related to derivative contracts. When companies use strategies to protect against currency rate changes, it can limit their ability to take advantage of favourable currency movements. Balancing the goal of maximising returns while minimising risks is crucial. Many organisations prefer operational strategies to manage foreign exchange risk because they are cost effective. Diversification</w:t>
      </w:r>
      <w:r w:rsidR="00556F20" w:rsidRPr="004F1400">
        <w:rPr>
          <w:rFonts w:cs="Times New Roman"/>
          <w:szCs w:val="24"/>
          <w:lang w:val="en-GB"/>
        </w:rPr>
        <w:t xml:space="preserve"> (</w:t>
      </w:r>
      <w:proofErr w:type="spellStart"/>
      <w:r w:rsidR="00556F20" w:rsidRPr="004F1400">
        <w:rPr>
          <w:rFonts w:cs="Times New Roman"/>
          <w:szCs w:val="24"/>
          <w:shd w:val="clear" w:color="auto" w:fill="FFFFFF"/>
        </w:rPr>
        <w:t>Kosgey</w:t>
      </w:r>
      <w:proofErr w:type="spellEnd"/>
      <w:r w:rsidR="00556F20" w:rsidRPr="004F1400">
        <w:rPr>
          <w:rFonts w:cs="Times New Roman"/>
          <w:szCs w:val="24"/>
          <w:shd w:val="clear" w:color="auto" w:fill="FFFFFF"/>
        </w:rPr>
        <w:t xml:space="preserve"> et al., 2020)</w:t>
      </w:r>
      <w:r w:rsidR="00742231" w:rsidRPr="004F1400">
        <w:rPr>
          <w:rFonts w:cs="Times New Roman"/>
          <w:szCs w:val="24"/>
          <w:lang w:val="en-GB"/>
        </w:rPr>
        <w:t xml:space="preserve">. Spreading revenues and expenses across multiple currencies helps reduce transaction risk. On the other hand, strategically timing transactions to optimise cash flows through leading and extending payments may be challenging for larger multinational corporations. Operations in many countries.  </w:t>
      </w:r>
    </w:p>
    <w:p w14:paraId="29BC6D97" w14:textId="712ED246" w:rsidR="00BF1721" w:rsidRPr="004F1400" w:rsidRDefault="00414CB0" w:rsidP="000162CA">
      <w:pPr>
        <w:spacing w:line="360" w:lineRule="auto"/>
        <w:rPr>
          <w:rFonts w:cs="Times New Roman"/>
          <w:szCs w:val="24"/>
        </w:rPr>
      </w:pPr>
      <w:r w:rsidRPr="004F1400">
        <w:rPr>
          <w:rFonts w:cs="Times New Roman"/>
          <w:szCs w:val="24"/>
        </w:rPr>
        <w:t xml:space="preserve">Natural hedging and inflation indexing are two examples of economic strategies that can help with the long-term and </w:t>
      </w:r>
      <w:proofErr w:type="spellStart"/>
      <w:r w:rsidRPr="004F1400">
        <w:rPr>
          <w:rFonts w:cs="Times New Roman"/>
          <w:szCs w:val="24"/>
        </w:rPr>
        <w:t>individualised</w:t>
      </w:r>
      <w:proofErr w:type="spellEnd"/>
      <w:r w:rsidRPr="004F1400">
        <w:rPr>
          <w:rFonts w:cs="Times New Roman"/>
          <w:szCs w:val="24"/>
        </w:rPr>
        <w:t xml:space="preserve"> management of foreign exchange risk</w:t>
      </w:r>
      <w:r w:rsidR="003B7EA5" w:rsidRPr="004F1400">
        <w:rPr>
          <w:rFonts w:cs="Times New Roman"/>
          <w:szCs w:val="24"/>
        </w:rPr>
        <w:t xml:space="preserve"> (</w:t>
      </w:r>
      <w:proofErr w:type="spellStart"/>
      <w:r w:rsidR="003B7EA5" w:rsidRPr="004F1400">
        <w:rPr>
          <w:rFonts w:cs="Times New Roman"/>
          <w:szCs w:val="24"/>
          <w:shd w:val="clear" w:color="auto" w:fill="FFFFFF"/>
        </w:rPr>
        <w:t>Nasiri</w:t>
      </w:r>
      <w:proofErr w:type="spellEnd"/>
      <w:r w:rsidR="003B7EA5" w:rsidRPr="004F1400">
        <w:rPr>
          <w:rFonts w:cs="Times New Roman"/>
          <w:szCs w:val="24"/>
          <w:shd w:val="clear" w:color="auto" w:fill="FFFFFF"/>
        </w:rPr>
        <w:t xml:space="preserve"> et al., 2021)</w:t>
      </w:r>
      <w:r w:rsidRPr="004F1400">
        <w:rPr>
          <w:rFonts w:cs="Times New Roman"/>
          <w:szCs w:val="24"/>
        </w:rPr>
        <w:t>. Because of their adaptability, they provide exceptional flexibility and adaptation to meet the specific requirements of every given business. But economic safeguards won't prevent temporary fluctuations in currency rates. The short-term financial performance of a corporation might be impacted by transaction risk. Market variables, such as inflation differentials, can impact the efficacy of economic strategies, making it difficult for companies to sustain consistent economic hedging. Economic methods are useful, but they should only be used as part of a comprehensive risk management plan that takes both the immediate and long term into account.</w:t>
      </w:r>
    </w:p>
    <w:p w14:paraId="3CC5041C" w14:textId="77777777" w:rsidR="00567D99" w:rsidRPr="004F1400" w:rsidRDefault="00567D99" w:rsidP="000162CA">
      <w:pPr>
        <w:pStyle w:val="Heading1"/>
        <w:spacing w:line="360" w:lineRule="auto"/>
        <w:rPr>
          <w:rFonts w:cs="Times New Roman"/>
          <w:color w:val="auto"/>
          <w:sz w:val="24"/>
          <w:szCs w:val="24"/>
        </w:rPr>
      </w:pPr>
      <w:bookmarkStart w:id="5" w:name="_Toc150041146"/>
      <w:bookmarkStart w:id="6" w:name="_Toc153300036"/>
      <w:r w:rsidRPr="004F1400">
        <w:rPr>
          <w:rFonts w:cs="Times New Roman"/>
          <w:color w:val="auto"/>
          <w:sz w:val="24"/>
          <w:szCs w:val="24"/>
        </w:rPr>
        <w:t>Empirical Evidence and Case Studies</w:t>
      </w:r>
      <w:bookmarkEnd w:id="5"/>
      <w:bookmarkEnd w:id="6"/>
    </w:p>
    <w:p w14:paraId="6D3B803C" w14:textId="3AC4ACD3" w:rsidR="00414CB0" w:rsidRPr="004F1400" w:rsidRDefault="00567D99" w:rsidP="000162CA">
      <w:pPr>
        <w:spacing w:line="360" w:lineRule="auto"/>
        <w:rPr>
          <w:rFonts w:cs="Times New Roman"/>
          <w:szCs w:val="24"/>
        </w:rPr>
      </w:pPr>
      <w:r w:rsidRPr="004F1400">
        <w:rPr>
          <w:rFonts w:cs="Times New Roman"/>
          <w:szCs w:val="24"/>
        </w:rPr>
        <w:t>A better grasp of the scenario can be achieved by presenting some prominent empirical facts and real-world case studies that illustrate how multinational firms employ tactics to manage foreign exchange risks</w:t>
      </w:r>
      <w:r w:rsidR="003B7EA5" w:rsidRPr="004F1400">
        <w:rPr>
          <w:rFonts w:cs="Times New Roman"/>
          <w:szCs w:val="24"/>
        </w:rPr>
        <w:t xml:space="preserve"> (</w:t>
      </w:r>
      <w:r w:rsidR="003B7EA5" w:rsidRPr="004F1400">
        <w:rPr>
          <w:rFonts w:cs="Times New Roman"/>
          <w:szCs w:val="24"/>
          <w:shd w:val="clear" w:color="auto" w:fill="FFFFFF"/>
        </w:rPr>
        <w:t xml:space="preserve">Del </w:t>
      </w:r>
      <w:proofErr w:type="spellStart"/>
      <w:r w:rsidR="003B7EA5" w:rsidRPr="004F1400">
        <w:rPr>
          <w:rFonts w:cs="Times New Roman"/>
          <w:szCs w:val="24"/>
          <w:shd w:val="clear" w:color="auto" w:fill="FFFFFF"/>
        </w:rPr>
        <w:t>Vecchio</w:t>
      </w:r>
      <w:proofErr w:type="spellEnd"/>
      <w:r w:rsidR="003B7EA5" w:rsidRPr="004F1400">
        <w:rPr>
          <w:rFonts w:cs="Times New Roman"/>
          <w:szCs w:val="24"/>
          <w:shd w:val="clear" w:color="auto" w:fill="FFFFFF"/>
        </w:rPr>
        <w:t xml:space="preserve"> et al., 2018)</w:t>
      </w:r>
      <w:r w:rsidRPr="004F1400">
        <w:rPr>
          <w:rFonts w:cs="Times New Roman"/>
          <w:szCs w:val="24"/>
        </w:rPr>
        <w:t>. The advantages and disadvantages of various approaches are illustrated by these real-world examples.</w:t>
      </w:r>
    </w:p>
    <w:p w14:paraId="1EB36460" w14:textId="77777777" w:rsidR="00567D99" w:rsidRPr="004F1400" w:rsidRDefault="009C57CA" w:rsidP="000162CA">
      <w:pPr>
        <w:spacing w:line="360" w:lineRule="auto"/>
        <w:rPr>
          <w:rFonts w:cs="Times New Roman"/>
          <w:szCs w:val="24"/>
        </w:rPr>
      </w:pPr>
      <w:r w:rsidRPr="004F1400">
        <w:rPr>
          <w:rFonts w:cs="Times New Roman"/>
          <w:szCs w:val="24"/>
        </w:rPr>
        <w:t xml:space="preserve">The world-famous athletic brand Nike is well-known for its strategic handling of currency risk. To lower transaction risk, it employs a variety of hedging strategies. When it came to the Japanese yen, Nike used to use future contracts as a hedge. </w:t>
      </w:r>
    </w:p>
    <w:p w14:paraId="631E83F9" w14:textId="63E2ABF9" w:rsidR="00A50BD7" w:rsidRPr="004F1400" w:rsidRDefault="00A50BD7" w:rsidP="00A50BD7">
      <w:pPr>
        <w:spacing w:line="360" w:lineRule="auto"/>
        <w:rPr>
          <w:rFonts w:cs="Times New Roman"/>
          <w:szCs w:val="24"/>
          <w:lang w:val="en-GB"/>
        </w:rPr>
      </w:pPr>
      <w:r w:rsidRPr="004F1400">
        <w:rPr>
          <w:rFonts w:cs="Times New Roman"/>
          <w:szCs w:val="24"/>
          <w:lang w:val="en-GB"/>
        </w:rPr>
        <w:t>German carmaker Volkswagen uses smart strategies to deal with translation risk</w:t>
      </w:r>
      <w:r w:rsidR="003B7EA5" w:rsidRPr="004F1400">
        <w:rPr>
          <w:rFonts w:cs="Times New Roman"/>
          <w:szCs w:val="24"/>
          <w:lang w:val="en-GB"/>
        </w:rPr>
        <w:t xml:space="preserve"> (</w:t>
      </w:r>
      <w:proofErr w:type="spellStart"/>
      <w:r w:rsidR="003B7EA5" w:rsidRPr="004F1400">
        <w:rPr>
          <w:rFonts w:cs="Times New Roman"/>
          <w:szCs w:val="24"/>
          <w:shd w:val="clear" w:color="auto" w:fill="FFFFFF"/>
        </w:rPr>
        <w:t>Karampela</w:t>
      </w:r>
      <w:proofErr w:type="spellEnd"/>
      <w:r w:rsidR="003B7EA5" w:rsidRPr="004F1400">
        <w:rPr>
          <w:rFonts w:cs="Times New Roman"/>
          <w:szCs w:val="24"/>
          <w:shd w:val="clear" w:color="auto" w:fill="FFFFFF"/>
        </w:rPr>
        <w:t xml:space="preserve"> et al., 2019)</w:t>
      </w:r>
      <w:r w:rsidRPr="004F1400">
        <w:rPr>
          <w:rFonts w:cs="Times New Roman"/>
          <w:szCs w:val="24"/>
          <w:lang w:val="en-GB"/>
        </w:rPr>
        <w:t>. They use financial tools to lessen the impact of changing exchange rates on their overall financial reports. This way, investors and stakeholders get clear and consistent financial statements. Another successful German company, Porsche Chassis, has found success by having a mix of different business activities. They have a diverse network for making and selling their products globally, which helps them lessen the impact of currency changes. Diversification helps them avoid the negative effects of currency changes on their financial performance and keeps things stable. </w:t>
      </w:r>
    </w:p>
    <w:p w14:paraId="24B9E424" w14:textId="77777777" w:rsidR="000162CA" w:rsidRPr="004F1400" w:rsidRDefault="00A50BD7" w:rsidP="000162CA">
      <w:pPr>
        <w:spacing w:line="360" w:lineRule="auto"/>
        <w:rPr>
          <w:rFonts w:cs="Times New Roman"/>
          <w:szCs w:val="24"/>
          <w:lang w:val="en-GB"/>
        </w:rPr>
      </w:pPr>
      <w:r w:rsidRPr="004F1400">
        <w:rPr>
          <w:rFonts w:cs="Times New Roman"/>
          <w:szCs w:val="24"/>
          <w:lang w:val="en-GB"/>
        </w:rPr>
        <w:t> </w:t>
      </w:r>
    </w:p>
    <w:p w14:paraId="0A71F626" w14:textId="77777777" w:rsidR="000162CA" w:rsidRPr="004F1400" w:rsidRDefault="000162CA" w:rsidP="000162CA">
      <w:pPr>
        <w:spacing w:line="360" w:lineRule="auto"/>
        <w:rPr>
          <w:rFonts w:cs="Times New Roman"/>
          <w:szCs w:val="24"/>
          <w:lang w:val="en-GB"/>
        </w:rPr>
      </w:pPr>
    </w:p>
    <w:p w14:paraId="50FCC4B4" w14:textId="77777777" w:rsidR="000162CA" w:rsidRPr="004F1400" w:rsidRDefault="000162CA" w:rsidP="000162CA">
      <w:pPr>
        <w:spacing w:line="360" w:lineRule="auto"/>
        <w:rPr>
          <w:rFonts w:cs="Times New Roman"/>
          <w:szCs w:val="24"/>
          <w:lang w:val="en-GB"/>
        </w:rPr>
      </w:pPr>
    </w:p>
    <w:p w14:paraId="0C131060" w14:textId="77777777" w:rsidR="001533B1" w:rsidRPr="004F1400" w:rsidRDefault="001533B1" w:rsidP="000162CA">
      <w:pPr>
        <w:spacing w:line="360" w:lineRule="auto"/>
        <w:rPr>
          <w:rFonts w:cs="Times New Roman"/>
          <w:szCs w:val="24"/>
          <w:lang w:val="en-GB"/>
        </w:rPr>
      </w:pPr>
    </w:p>
    <w:p w14:paraId="5267E454" w14:textId="77777777" w:rsidR="001533B1" w:rsidRPr="004F1400" w:rsidRDefault="001533B1" w:rsidP="000162CA">
      <w:pPr>
        <w:spacing w:line="360" w:lineRule="auto"/>
        <w:rPr>
          <w:rFonts w:cs="Times New Roman"/>
          <w:szCs w:val="24"/>
          <w:lang w:val="en-GB"/>
        </w:rPr>
      </w:pPr>
    </w:p>
    <w:p w14:paraId="76AF3FDB" w14:textId="77777777" w:rsidR="000162CA" w:rsidRPr="004F1400" w:rsidRDefault="000162CA" w:rsidP="000162CA">
      <w:pPr>
        <w:spacing w:line="360" w:lineRule="auto"/>
        <w:rPr>
          <w:rFonts w:cs="Times New Roman"/>
          <w:szCs w:val="24"/>
          <w:lang w:val="en-GB"/>
        </w:rPr>
      </w:pPr>
    </w:p>
    <w:p w14:paraId="3C31B07E" w14:textId="77777777" w:rsidR="00A50BD7" w:rsidRPr="004F1400" w:rsidRDefault="00A50BD7" w:rsidP="000162CA">
      <w:pPr>
        <w:spacing w:line="360" w:lineRule="auto"/>
        <w:rPr>
          <w:rFonts w:cs="Times New Roman"/>
          <w:szCs w:val="24"/>
          <w:lang w:val="en-GB"/>
        </w:rPr>
      </w:pPr>
    </w:p>
    <w:p w14:paraId="594C9608" w14:textId="77777777" w:rsidR="00A50BD7" w:rsidRPr="004F1400" w:rsidRDefault="00A50BD7" w:rsidP="000162CA">
      <w:pPr>
        <w:spacing w:line="360" w:lineRule="auto"/>
        <w:rPr>
          <w:rFonts w:cs="Times New Roman"/>
          <w:szCs w:val="24"/>
          <w:lang w:val="en-GB"/>
        </w:rPr>
      </w:pPr>
    </w:p>
    <w:p w14:paraId="6A249CF3" w14:textId="77777777" w:rsidR="000162CA" w:rsidRPr="004F1400" w:rsidRDefault="000162CA" w:rsidP="000E3BDA">
      <w:pPr>
        <w:pStyle w:val="Heading1"/>
        <w:rPr>
          <w:color w:val="auto"/>
          <w:lang w:val="en-GB"/>
        </w:rPr>
      </w:pPr>
      <w:bookmarkStart w:id="7" w:name="_Toc153300037"/>
      <w:r w:rsidRPr="004F1400">
        <w:rPr>
          <w:color w:val="auto"/>
          <w:lang w:val="en-GB"/>
        </w:rPr>
        <w:t>Conclusion</w:t>
      </w:r>
      <w:bookmarkEnd w:id="7"/>
    </w:p>
    <w:p w14:paraId="19A613A3" w14:textId="77777777" w:rsidR="000162CA" w:rsidRPr="004F1400" w:rsidRDefault="00A50BD7" w:rsidP="000162CA">
      <w:pPr>
        <w:spacing w:line="360" w:lineRule="auto"/>
        <w:rPr>
          <w:rFonts w:cs="Times New Roman"/>
          <w:szCs w:val="24"/>
        </w:rPr>
      </w:pPr>
      <w:r w:rsidRPr="004F1400">
        <w:rPr>
          <w:rFonts w:cs="Times New Roman"/>
          <w:szCs w:val="24"/>
        </w:rPr>
        <w:t>In conclusion the research thoroughly looked at how big companies worldwide handle the risks of money exchange in their global financial management. By studying different methods like economic plans, day-to-day operations and hedging strategies, we saw that each approach has its pros and cons. Because the world markets keep changing, it's crucial to have a strategy that can adapt to both short term and long term goals. Dealing with foreign exchange risks means using a mix of these strategies tailored to fit the needs of each company. With a solid risk management plan, big companies can be more competitive, safeguard their financial stability and succeed in the ever changing global market. This helps them make smart decisions in the complex world of global financial management. This article is a valuable guide for anyone interested in this topic.  </w:t>
      </w:r>
    </w:p>
    <w:p w14:paraId="134C0346" w14:textId="77777777" w:rsidR="000162CA" w:rsidRPr="004F1400" w:rsidRDefault="000162CA" w:rsidP="000162CA">
      <w:pPr>
        <w:spacing w:line="360" w:lineRule="auto"/>
        <w:rPr>
          <w:rFonts w:cs="Times New Roman"/>
          <w:szCs w:val="24"/>
        </w:rPr>
      </w:pPr>
    </w:p>
    <w:p w14:paraId="66264A9A" w14:textId="77777777" w:rsidR="000162CA" w:rsidRPr="004F1400" w:rsidRDefault="000162CA" w:rsidP="000162CA">
      <w:pPr>
        <w:spacing w:line="360" w:lineRule="auto"/>
        <w:rPr>
          <w:rFonts w:cs="Times New Roman"/>
          <w:szCs w:val="24"/>
        </w:rPr>
      </w:pPr>
    </w:p>
    <w:p w14:paraId="6608DC4C" w14:textId="77777777" w:rsidR="000162CA" w:rsidRPr="004F1400" w:rsidRDefault="000162CA" w:rsidP="000162CA">
      <w:pPr>
        <w:spacing w:line="360" w:lineRule="auto"/>
        <w:rPr>
          <w:rFonts w:cs="Times New Roman"/>
          <w:szCs w:val="24"/>
        </w:rPr>
      </w:pPr>
    </w:p>
    <w:p w14:paraId="7CF82E17" w14:textId="77777777" w:rsidR="000162CA" w:rsidRPr="004F1400" w:rsidRDefault="000162CA" w:rsidP="000162CA">
      <w:pPr>
        <w:spacing w:line="360" w:lineRule="auto"/>
        <w:rPr>
          <w:rFonts w:cs="Times New Roman"/>
          <w:szCs w:val="24"/>
        </w:rPr>
      </w:pPr>
    </w:p>
    <w:p w14:paraId="580D2A6E" w14:textId="77777777" w:rsidR="000162CA" w:rsidRPr="004F1400" w:rsidRDefault="000162CA" w:rsidP="000162CA">
      <w:pPr>
        <w:spacing w:line="360" w:lineRule="auto"/>
        <w:rPr>
          <w:rFonts w:cs="Times New Roman"/>
          <w:szCs w:val="24"/>
        </w:rPr>
      </w:pPr>
    </w:p>
    <w:p w14:paraId="0C21A464" w14:textId="77777777" w:rsidR="000162CA" w:rsidRPr="004F1400" w:rsidRDefault="000162CA" w:rsidP="000162CA">
      <w:pPr>
        <w:spacing w:line="360" w:lineRule="auto"/>
        <w:rPr>
          <w:rFonts w:cs="Times New Roman"/>
          <w:szCs w:val="24"/>
        </w:rPr>
      </w:pPr>
    </w:p>
    <w:p w14:paraId="01AC4F6C" w14:textId="77777777" w:rsidR="003F0DA5" w:rsidRPr="004F1400" w:rsidRDefault="003F0DA5" w:rsidP="000162CA">
      <w:pPr>
        <w:spacing w:line="360" w:lineRule="auto"/>
        <w:rPr>
          <w:rFonts w:cs="Times New Roman"/>
          <w:szCs w:val="24"/>
        </w:rPr>
      </w:pPr>
    </w:p>
    <w:p w14:paraId="4A6F9376" w14:textId="77777777" w:rsidR="001533B1" w:rsidRPr="004F1400" w:rsidRDefault="001533B1" w:rsidP="000162CA">
      <w:pPr>
        <w:spacing w:line="360" w:lineRule="auto"/>
        <w:rPr>
          <w:rFonts w:cs="Times New Roman"/>
          <w:szCs w:val="24"/>
        </w:rPr>
      </w:pPr>
    </w:p>
    <w:p w14:paraId="3578FCAC" w14:textId="77777777" w:rsidR="001533B1" w:rsidRPr="004F1400" w:rsidRDefault="001533B1" w:rsidP="000162CA">
      <w:pPr>
        <w:spacing w:line="360" w:lineRule="auto"/>
        <w:rPr>
          <w:rFonts w:cs="Times New Roman"/>
          <w:szCs w:val="24"/>
        </w:rPr>
      </w:pPr>
    </w:p>
    <w:p w14:paraId="7D82250D" w14:textId="77777777" w:rsidR="001533B1" w:rsidRPr="004F1400" w:rsidRDefault="001533B1" w:rsidP="000162CA">
      <w:pPr>
        <w:spacing w:line="360" w:lineRule="auto"/>
        <w:rPr>
          <w:rFonts w:cs="Times New Roman"/>
          <w:szCs w:val="24"/>
        </w:rPr>
      </w:pPr>
    </w:p>
    <w:p w14:paraId="04D46A5F" w14:textId="77777777" w:rsidR="001533B1" w:rsidRPr="004F1400" w:rsidRDefault="001533B1" w:rsidP="000162CA">
      <w:pPr>
        <w:spacing w:line="360" w:lineRule="auto"/>
        <w:rPr>
          <w:rFonts w:cs="Times New Roman"/>
          <w:szCs w:val="24"/>
        </w:rPr>
      </w:pPr>
    </w:p>
    <w:p w14:paraId="640181B8" w14:textId="77777777" w:rsidR="001533B1" w:rsidRPr="004F1400" w:rsidRDefault="001533B1" w:rsidP="000162CA">
      <w:pPr>
        <w:spacing w:line="360" w:lineRule="auto"/>
        <w:rPr>
          <w:rFonts w:cs="Times New Roman"/>
          <w:szCs w:val="24"/>
        </w:rPr>
      </w:pPr>
    </w:p>
    <w:p w14:paraId="0F8AAAA4" w14:textId="35301206" w:rsidR="00CC7222" w:rsidRPr="004F1400" w:rsidRDefault="000162CA" w:rsidP="00AF3DF7">
      <w:pPr>
        <w:pStyle w:val="Heading1"/>
        <w:spacing w:line="360" w:lineRule="auto"/>
        <w:rPr>
          <w:rFonts w:cs="Times New Roman"/>
          <w:color w:val="auto"/>
        </w:rPr>
      </w:pPr>
      <w:bookmarkStart w:id="8" w:name="_Toc153300038"/>
      <w:r w:rsidRPr="004F1400">
        <w:rPr>
          <w:rFonts w:cs="Times New Roman"/>
          <w:color w:val="auto"/>
        </w:rPr>
        <w:t>References</w:t>
      </w:r>
      <w:bookmarkEnd w:id="8"/>
      <w:r w:rsidRPr="004F1400">
        <w:rPr>
          <w:rFonts w:cs="Times New Roman"/>
          <w:color w:val="auto"/>
        </w:rPr>
        <w:t xml:space="preserve"> </w:t>
      </w:r>
    </w:p>
    <w:p w14:paraId="1440C85A"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Ayadi</w:t>
      </w:r>
      <w:proofErr w:type="spellEnd"/>
      <w:r w:rsidRPr="004F1400">
        <w:rPr>
          <w:rFonts w:cs="Times New Roman"/>
          <w:szCs w:val="24"/>
          <w:shd w:val="clear" w:color="auto" w:fill="FFFFFF"/>
        </w:rPr>
        <w:t xml:space="preserve">, M.A., </w:t>
      </w:r>
      <w:proofErr w:type="spellStart"/>
      <w:r w:rsidRPr="004F1400">
        <w:rPr>
          <w:rFonts w:cs="Times New Roman"/>
          <w:szCs w:val="24"/>
          <w:shd w:val="clear" w:color="auto" w:fill="FFFFFF"/>
        </w:rPr>
        <w:t>Omrane</w:t>
      </w:r>
      <w:proofErr w:type="spellEnd"/>
      <w:r w:rsidRPr="004F1400">
        <w:rPr>
          <w:rFonts w:cs="Times New Roman"/>
          <w:szCs w:val="24"/>
          <w:shd w:val="clear" w:color="auto" w:fill="FFFFFF"/>
        </w:rPr>
        <w:t>, W.B., Wang, J. and Welch, R., 2022. Senior official speech attributes and foreign exchange risk around business cycles. </w:t>
      </w:r>
      <w:r w:rsidRPr="004F1400">
        <w:rPr>
          <w:rFonts w:cs="Times New Roman"/>
          <w:i/>
          <w:iCs/>
          <w:szCs w:val="24"/>
          <w:shd w:val="clear" w:color="auto" w:fill="FFFFFF"/>
        </w:rPr>
        <w:t>International Review of Financial Analysis</w:t>
      </w:r>
      <w:r w:rsidRPr="004F1400">
        <w:rPr>
          <w:rFonts w:cs="Times New Roman"/>
          <w:szCs w:val="24"/>
          <w:shd w:val="clear" w:color="auto" w:fill="FFFFFF"/>
        </w:rPr>
        <w:t>, </w:t>
      </w:r>
      <w:r w:rsidRPr="004F1400">
        <w:rPr>
          <w:rFonts w:cs="Times New Roman"/>
          <w:i/>
          <w:iCs/>
          <w:szCs w:val="24"/>
          <w:shd w:val="clear" w:color="auto" w:fill="FFFFFF"/>
        </w:rPr>
        <w:t>80</w:t>
      </w:r>
      <w:r w:rsidRPr="004F1400">
        <w:rPr>
          <w:rFonts w:cs="Times New Roman"/>
          <w:szCs w:val="24"/>
          <w:shd w:val="clear" w:color="auto" w:fill="FFFFFF"/>
        </w:rPr>
        <w:t>, p.102011.</w:t>
      </w:r>
    </w:p>
    <w:p w14:paraId="1452CE35"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Belwal</w:t>
      </w:r>
      <w:proofErr w:type="spellEnd"/>
      <w:r w:rsidRPr="004F1400">
        <w:rPr>
          <w:rFonts w:cs="Times New Roman"/>
          <w:szCs w:val="24"/>
          <w:shd w:val="clear" w:color="auto" w:fill="FFFFFF"/>
        </w:rPr>
        <w:t xml:space="preserve">, T., </w:t>
      </w:r>
      <w:proofErr w:type="spellStart"/>
      <w:r w:rsidRPr="004F1400">
        <w:rPr>
          <w:rFonts w:cs="Times New Roman"/>
          <w:szCs w:val="24"/>
          <w:shd w:val="clear" w:color="auto" w:fill="FFFFFF"/>
        </w:rPr>
        <w:t>Ezzat</w:t>
      </w:r>
      <w:proofErr w:type="spellEnd"/>
      <w:r w:rsidRPr="004F1400">
        <w:rPr>
          <w:rFonts w:cs="Times New Roman"/>
          <w:szCs w:val="24"/>
          <w:shd w:val="clear" w:color="auto" w:fill="FFFFFF"/>
        </w:rPr>
        <w:t xml:space="preserve">, S.M., </w:t>
      </w:r>
      <w:proofErr w:type="spellStart"/>
      <w:r w:rsidRPr="004F1400">
        <w:rPr>
          <w:rFonts w:cs="Times New Roman"/>
          <w:szCs w:val="24"/>
          <w:shd w:val="clear" w:color="auto" w:fill="FFFFFF"/>
        </w:rPr>
        <w:t>Rastrelli</w:t>
      </w:r>
      <w:proofErr w:type="spellEnd"/>
      <w:r w:rsidRPr="004F1400">
        <w:rPr>
          <w:rFonts w:cs="Times New Roman"/>
          <w:szCs w:val="24"/>
          <w:shd w:val="clear" w:color="auto" w:fill="FFFFFF"/>
        </w:rPr>
        <w:t xml:space="preserve">, L., Bhatt, I.D., </w:t>
      </w:r>
      <w:proofErr w:type="spellStart"/>
      <w:r w:rsidRPr="004F1400">
        <w:rPr>
          <w:rFonts w:cs="Times New Roman"/>
          <w:szCs w:val="24"/>
          <w:shd w:val="clear" w:color="auto" w:fill="FFFFFF"/>
        </w:rPr>
        <w:t>Daglia</w:t>
      </w:r>
      <w:proofErr w:type="spellEnd"/>
      <w:r w:rsidRPr="004F1400">
        <w:rPr>
          <w:rFonts w:cs="Times New Roman"/>
          <w:szCs w:val="24"/>
          <w:shd w:val="clear" w:color="auto" w:fill="FFFFFF"/>
        </w:rPr>
        <w:t xml:space="preserve">, M., </w:t>
      </w:r>
      <w:proofErr w:type="spellStart"/>
      <w:r w:rsidRPr="004F1400">
        <w:rPr>
          <w:rFonts w:cs="Times New Roman"/>
          <w:szCs w:val="24"/>
          <w:shd w:val="clear" w:color="auto" w:fill="FFFFFF"/>
        </w:rPr>
        <w:t>Baldi</w:t>
      </w:r>
      <w:proofErr w:type="spellEnd"/>
      <w:r w:rsidRPr="004F1400">
        <w:rPr>
          <w:rFonts w:cs="Times New Roman"/>
          <w:szCs w:val="24"/>
          <w:shd w:val="clear" w:color="auto" w:fill="FFFFFF"/>
        </w:rPr>
        <w:t xml:space="preserve">, A., </w:t>
      </w:r>
      <w:proofErr w:type="spellStart"/>
      <w:r w:rsidRPr="004F1400">
        <w:rPr>
          <w:rFonts w:cs="Times New Roman"/>
          <w:szCs w:val="24"/>
          <w:shd w:val="clear" w:color="auto" w:fill="FFFFFF"/>
        </w:rPr>
        <w:t>Devkota</w:t>
      </w:r>
      <w:proofErr w:type="spellEnd"/>
      <w:r w:rsidRPr="004F1400">
        <w:rPr>
          <w:rFonts w:cs="Times New Roman"/>
          <w:szCs w:val="24"/>
          <w:shd w:val="clear" w:color="auto" w:fill="FFFFFF"/>
        </w:rPr>
        <w:t xml:space="preserve">, H.P., </w:t>
      </w:r>
      <w:proofErr w:type="spellStart"/>
      <w:r w:rsidRPr="004F1400">
        <w:rPr>
          <w:rFonts w:cs="Times New Roman"/>
          <w:szCs w:val="24"/>
          <w:shd w:val="clear" w:color="auto" w:fill="FFFFFF"/>
        </w:rPr>
        <w:t>Orhan</w:t>
      </w:r>
      <w:proofErr w:type="spellEnd"/>
      <w:r w:rsidRPr="004F1400">
        <w:rPr>
          <w:rFonts w:cs="Times New Roman"/>
          <w:szCs w:val="24"/>
          <w:shd w:val="clear" w:color="auto" w:fill="FFFFFF"/>
        </w:rPr>
        <w:t xml:space="preserve">, I.E., </w:t>
      </w:r>
      <w:proofErr w:type="spellStart"/>
      <w:r w:rsidRPr="004F1400">
        <w:rPr>
          <w:rFonts w:cs="Times New Roman"/>
          <w:szCs w:val="24"/>
          <w:shd w:val="clear" w:color="auto" w:fill="FFFFFF"/>
        </w:rPr>
        <w:t>Patra</w:t>
      </w:r>
      <w:proofErr w:type="spellEnd"/>
      <w:r w:rsidRPr="004F1400">
        <w:rPr>
          <w:rFonts w:cs="Times New Roman"/>
          <w:szCs w:val="24"/>
          <w:shd w:val="clear" w:color="auto" w:fill="FFFFFF"/>
        </w:rPr>
        <w:t xml:space="preserve">, J.K., Das, G. and </w:t>
      </w:r>
      <w:proofErr w:type="spellStart"/>
      <w:r w:rsidRPr="004F1400">
        <w:rPr>
          <w:rFonts w:cs="Times New Roman"/>
          <w:szCs w:val="24"/>
          <w:shd w:val="clear" w:color="auto" w:fill="FFFFFF"/>
        </w:rPr>
        <w:t>Anandharamakrishnan</w:t>
      </w:r>
      <w:proofErr w:type="spellEnd"/>
      <w:r w:rsidRPr="004F1400">
        <w:rPr>
          <w:rFonts w:cs="Times New Roman"/>
          <w:szCs w:val="24"/>
          <w:shd w:val="clear" w:color="auto" w:fill="FFFFFF"/>
        </w:rPr>
        <w:t>, C., 2018. A critical analysis of extraction techniques used for botanicals: Trends, priorities, industrial uses and optimization strategies. </w:t>
      </w:r>
      <w:proofErr w:type="spellStart"/>
      <w:r w:rsidRPr="004F1400">
        <w:rPr>
          <w:rFonts w:cs="Times New Roman"/>
          <w:i/>
          <w:iCs/>
          <w:szCs w:val="24"/>
          <w:shd w:val="clear" w:color="auto" w:fill="FFFFFF"/>
        </w:rPr>
        <w:t>TrAC</w:t>
      </w:r>
      <w:proofErr w:type="spellEnd"/>
      <w:r w:rsidRPr="004F1400">
        <w:rPr>
          <w:rFonts w:cs="Times New Roman"/>
          <w:i/>
          <w:iCs/>
          <w:szCs w:val="24"/>
          <w:shd w:val="clear" w:color="auto" w:fill="FFFFFF"/>
        </w:rPr>
        <w:t xml:space="preserve"> Trends in Analytical Chemistry</w:t>
      </w:r>
      <w:r w:rsidRPr="004F1400">
        <w:rPr>
          <w:rFonts w:cs="Times New Roman"/>
          <w:szCs w:val="24"/>
          <w:shd w:val="clear" w:color="auto" w:fill="FFFFFF"/>
        </w:rPr>
        <w:t>, </w:t>
      </w:r>
      <w:r w:rsidRPr="004F1400">
        <w:rPr>
          <w:rFonts w:cs="Times New Roman"/>
          <w:i/>
          <w:iCs/>
          <w:szCs w:val="24"/>
          <w:shd w:val="clear" w:color="auto" w:fill="FFFFFF"/>
        </w:rPr>
        <w:t>100</w:t>
      </w:r>
      <w:r w:rsidRPr="004F1400">
        <w:rPr>
          <w:rFonts w:cs="Times New Roman"/>
          <w:szCs w:val="24"/>
          <w:shd w:val="clear" w:color="auto" w:fill="FFFFFF"/>
        </w:rPr>
        <w:t>, pp.82-102.</w:t>
      </w:r>
    </w:p>
    <w:p w14:paraId="47BD92DB" w14:textId="77777777" w:rsidR="00BC7469" w:rsidRPr="004F1400" w:rsidRDefault="00BC7469" w:rsidP="00BC7469">
      <w:pPr>
        <w:spacing w:line="360" w:lineRule="auto"/>
        <w:rPr>
          <w:rFonts w:cs="Times New Roman"/>
          <w:szCs w:val="24"/>
          <w:shd w:val="clear" w:color="auto" w:fill="FFFFFF"/>
        </w:rPr>
      </w:pPr>
      <w:r w:rsidRPr="004F1400">
        <w:rPr>
          <w:rFonts w:cs="Times New Roman"/>
          <w:szCs w:val="24"/>
          <w:shd w:val="clear" w:color="auto" w:fill="FFFFFF"/>
        </w:rPr>
        <w:t xml:space="preserve">Brown, S., Bessant, J. and </w:t>
      </w:r>
      <w:proofErr w:type="spellStart"/>
      <w:r w:rsidRPr="004F1400">
        <w:rPr>
          <w:rFonts w:cs="Times New Roman"/>
          <w:szCs w:val="24"/>
          <w:shd w:val="clear" w:color="auto" w:fill="FFFFFF"/>
        </w:rPr>
        <w:t>Jia</w:t>
      </w:r>
      <w:proofErr w:type="spellEnd"/>
      <w:r w:rsidRPr="004F1400">
        <w:rPr>
          <w:rFonts w:cs="Times New Roman"/>
          <w:szCs w:val="24"/>
          <w:shd w:val="clear" w:color="auto" w:fill="FFFFFF"/>
        </w:rPr>
        <w:t>, F., 2018. </w:t>
      </w:r>
      <w:r w:rsidRPr="004F1400">
        <w:rPr>
          <w:rFonts w:cs="Times New Roman"/>
          <w:i/>
          <w:iCs/>
          <w:szCs w:val="24"/>
          <w:shd w:val="clear" w:color="auto" w:fill="FFFFFF"/>
        </w:rPr>
        <w:t>Strategic operations management</w:t>
      </w:r>
      <w:r w:rsidRPr="004F1400">
        <w:rPr>
          <w:rFonts w:cs="Times New Roman"/>
          <w:szCs w:val="24"/>
          <w:shd w:val="clear" w:color="auto" w:fill="FFFFFF"/>
        </w:rPr>
        <w:t>. Routledge.</w:t>
      </w:r>
    </w:p>
    <w:p w14:paraId="4EB7BFF6" w14:textId="77777777" w:rsidR="00BC7469" w:rsidRPr="004F1400" w:rsidRDefault="00BC7469" w:rsidP="00BC7469">
      <w:pPr>
        <w:spacing w:line="360" w:lineRule="auto"/>
        <w:rPr>
          <w:rFonts w:cs="Times New Roman"/>
          <w:szCs w:val="24"/>
          <w:shd w:val="clear" w:color="auto" w:fill="FFFFFF"/>
        </w:rPr>
      </w:pPr>
      <w:r w:rsidRPr="004F1400">
        <w:rPr>
          <w:rFonts w:cs="Times New Roman"/>
          <w:szCs w:val="24"/>
          <w:shd w:val="clear" w:color="auto" w:fill="FFFFFF"/>
        </w:rPr>
        <w:t xml:space="preserve">Del </w:t>
      </w:r>
      <w:proofErr w:type="spellStart"/>
      <w:r w:rsidRPr="004F1400">
        <w:rPr>
          <w:rFonts w:cs="Times New Roman"/>
          <w:szCs w:val="24"/>
          <w:shd w:val="clear" w:color="auto" w:fill="FFFFFF"/>
        </w:rPr>
        <w:t>Vecchio</w:t>
      </w:r>
      <w:proofErr w:type="spellEnd"/>
      <w:r w:rsidRPr="004F1400">
        <w:rPr>
          <w:rFonts w:cs="Times New Roman"/>
          <w:szCs w:val="24"/>
          <w:shd w:val="clear" w:color="auto" w:fill="FFFFFF"/>
        </w:rPr>
        <w:t xml:space="preserve">, P., </w:t>
      </w:r>
      <w:proofErr w:type="spellStart"/>
      <w:r w:rsidRPr="004F1400">
        <w:rPr>
          <w:rFonts w:cs="Times New Roman"/>
          <w:szCs w:val="24"/>
          <w:shd w:val="clear" w:color="auto" w:fill="FFFFFF"/>
        </w:rPr>
        <w:t>Secundo</w:t>
      </w:r>
      <w:proofErr w:type="spellEnd"/>
      <w:r w:rsidRPr="004F1400">
        <w:rPr>
          <w:rFonts w:cs="Times New Roman"/>
          <w:szCs w:val="24"/>
          <w:shd w:val="clear" w:color="auto" w:fill="FFFFFF"/>
        </w:rPr>
        <w:t xml:space="preserve">, G. and </w:t>
      </w:r>
      <w:proofErr w:type="spellStart"/>
      <w:r w:rsidRPr="004F1400">
        <w:rPr>
          <w:rFonts w:cs="Times New Roman"/>
          <w:szCs w:val="24"/>
          <w:shd w:val="clear" w:color="auto" w:fill="FFFFFF"/>
        </w:rPr>
        <w:t>Passiante</w:t>
      </w:r>
      <w:proofErr w:type="spellEnd"/>
      <w:r w:rsidRPr="004F1400">
        <w:rPr>
          <w:rFonts w:cs="Times New Roman"/>
          <w:szCs w:val="24"/>
          <w:shd w:val="clear" w:color="auto" w:fill="FFFFFF"/>
        </w:rPr>
        <w:t>, G., 2018. Modularity approach to improve the competitiveness of tourism businesses: Empirical evidence from case studies. </w:t>
      </w:r>
      <w:proofErr w:type="spellStart"/>
      <w:r w:rsidRPr="004F1400">
        <w:rPr>
          <w:rFonts w:cs="Times New Roman"/>
          <w:i/>
          <w:iCs/>
          <w:szCs w:val="24"/>
          <w:shd w:val="clear" w:color="auto" w:fill="FFFFFF"/>
        </w:rPr>
        <w:t>EuroMed</w:t>
      </w:r>
      <w:proofErr w:type="spellEnd"/>
      <w:r w:rsidRPr="004F1400">
        <w:rPr>
          <w:rFonts w:cs="Times New Roman"/>
          <w:i/>
          <w:iCs/>
          <w:szCs w:val="24"/>
          <w:shd w:val="clear" w:color="auto" w:fill="FFFFFF"/>
        </w:rPr>
        <w:t xml:space="preserve"> Journal of Business</w:t>
      </w:r>
      <w:r w:rsidRPr="004F1400">
        <w:rPr>
          <w:rFonts w:cs="Times New Roman"/>
          <w:szCs w:val="24"/>
          <w:shd w:val="clear" w:color="auto" w:fill="FFFFFF"/>
        </w:rPr>
        <w:t>, </w:t>
      </w:r>
      <w:r w:rsidRPr="004F1400">
        <w:rPr>
          <w:rFonts w:cs="Times New Roman"/>
          <w:i/>
          <w:iCs/>
          <w:szCs w:val="24"/>
          <w:shd w:val="clear" w:color="auto" w:fill="FFFFFF"/>
        </w:rPr>
        <w:t>13</w:t>
      </w:r>
      <w:r w:rsidRPr="004F1400">
        <w:rPr>
          <w:rFonts w:cs="Times New Roman"/>
          <w:szCs w:val="24"/>
          <w:shd w:val="clear" w:color="auto" w:fill="FFFFFF"/>
        </w:rPr>
        <w:t>(1), pp.44-59.</w:t>
      </w:r>
    </w:p>
    <w:p w14:paraId="7A4C297D"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Karampela</w:t>
      </w:r>
      <w:proofErr w:type="spellEnd"/>
      <w:r w:rsidRPr="004F1400">
        <w:rPr>
          <w:rFonts w:cs="Times New Roman"/>
          <w:szCs w:val="24"/>
          <w:shd w:val="clear" w:color="auto" w:fill="FFFFFF"/>
        </w:rPr>
        <w:t xml:space="preserve">, S., </w:t>
      </w:r>
      <w:proofErr w:type="spellStart"/>
      <w:r w:rsidRPr="004F1400">
        <w:rPr>
          <w:rFonts w:cs="Times New Roman"/>
          <w:szCs w:val="24"/>
          <w:shd w:val="clear" w:color="auto" w:fill="FFFFFF"/>
        </w:rPr>
        <w:t>Kavroudakis</w:t>
      </w:r>
      <w:proofErr w:type="spellEnd"/>
      <w:r w:rsidRPr="004F1400">
        <w:rPr>
          <w:rFonts w:cs="Times New Roman"/>
          <w:szCs w:val="24"/>
          <w:shd w:val="clear" w:color="auto" w:fill="FFFFFF"/>
        </w:rPr>
        <w:t xml:space="preserve">, D. and </w:t>
      </w:r>
      <w:proofErr w:type="spellStart"/>
      <w:r w:rsidRPr="004F1400">
        <w:rPr>
          <w:rFonts w:cs="Times New Roman"/>
          <w:szCs w:val="24"/>
          <w:shd w:val="clear" w:color="auto" w:fill="FFFFFF"/>
        </w:rPr>
        <w:t>Kizos</w:t>
      </w:r>
      <w:proofErr w:type="spellEnd"/>
      <w:r w:rsidRPr="004F1400">
        <w:rPr>
          <w:rFonts w:cs="Times New Roman"/>
          <w:szCs w:val="24"/>
          <w:shd w:val="clear" w:color="auto" w:fill="FFFFFF"/>
        </w:rPr>
        <w:t xml:space="preserve">, T., 2019. </w:t>
      </w:r>
      <w:proofErr w:type="spellStart"/>
      <w:r w:rsidRPr="004F1400">
        <w:rPr>
          <w:rFonts w:cs="Times New Roman"/>
          <w:szCs w:val="24"/>
          <w:shd w:val="clear" w:color="auto" w:fill="FFFFFF"/>
        </w:rPr>
        <w:t>Agritourism</w:t>
      </w:r>
      <w:proofErr w:type="spellEnd"/>
      <w:r w:rsidRPr="004F1400">
        <w:rPr>
          <w:rFonts w:cs="Times New Roman"/>
          <w:szCs w:val="24"/>
          <w:shd w:val="clear" w:color="auto" w:fill="FFFFFF"/>
        </w:rPr>
        <w:t xml:space="preserve"> networks: empirical evidence from two case studies in Greece. </w:t>
      </w:r>
      <w:r w:rsidRPr="004F1400">
        <w:rPr>
          <w:rFonts w:cs="Times New Roman"/>
          <w:i/>
          <w:iCs/>
          <w:szCs w:val="24"/>
          <w:shd w:val="clear" w:color="auto" w:fill="FFFFFF"/>
        </w:rPr>
        <w:t>Current Issues in Tourism</w:t>
      </w:r>
      <w:r w:rsidRPr="004F1400">
        <w:rPr>
          <w:rFonts w:cs="Times New Roman"/>
          <w:szCs w:val="24"/>
          <w:shd w:val="clear" w:color="auto" w:fill="FFFFFF"/>
        </w:rPr>
        <w:t>, </w:t>
      </w:r>
      <w:r w:rsidRPr="004F1400">
        <w:rPr>
          <w:rFonts w:cs="Times New Roman"/>
          <w:i/>
          <w:iCs/>
          <w:szCs w:val="24"/>
          <w:shd w:val="clear" w:color="auto" w:fill="FFFFFF"/>
        </w:rPr>
        <w:t>22</w:t>
      </w:r>
      <w:r w:rsidRPr="004F1400">
        <w:rPr>
          <w:rFonts w:cs="Times New Roman"/>
          <w:szCs w:val="24"/>
          <w:shd w:val="clear" w:color="auto" w:fill="FFFFFF"/>
        </w:rPr>
        <w:t>(12), pp.1460-1479.</w:t>
      </w:r>
    </w:p>
    <w:p w14:paraId="56E09A8B"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Kosgey</w:t>
      </w:r>
      <w:proofErr w:type="spellEnd"/>
      <w:r w:rsidRPr="004F1400">
        <w:rPr>
          <w:rFonts w:cs="Times New Roman"/>
          <w:szCs w:val="24"/>
          <w:shd w:val="clear" w:color="auto" w:fill="FFFFFF"/>
        </w:rPr>
        <w:t xml:space="preserve">, K., </w:t>
      </w:r>
      <w:proofErr w:type="spellStart"/>
      <w:r w:rsidRPr="004F1400">
        <w:rPr>
          <w:rFonts w:cs="Times New Roman"/>
          <w:szCs w:val="24"/>
          <w:shd w:val="clear" w:color="auto" w:fill="FFFFFF"/>
        </w:rPr>
        <w:t>Chandran</w:t>
      </w:r>
      <w:proofErr w:type="spellEnd"/>
      <w:r w:rsidRPr="004F1400">
        <w:rPr>
          <w:rFonts w:cs="Times New Roman"/>
          <w:szCs w:val="24"/>
          <w:shd w:val="clear" w:color="auto" w:fill="FFFFFF"/>
        </w:rPr>
        <w:t xml:space="preserve">, K., </w:t>
      </w:r>
      <w:proofErr w:type="spellStart"/>
      <w:r w:rsidRPr="004F1400">
        <w:rPr>
          <w:rFonts w:cs="Times New Roman"/>
          <w:szCs w:val="24"/>
          <w:shd w:val="clear" w:color="auto" w:fill="FFFFFF"/>
        </w:rPr>
        <w:t>Gokal</w:t>
      </w:r>
      <w:proofErr w:type="spellEnd"/>
      <w:r w:rsidRPr="004F1400">
        <w:rPr>
          <w:rFonts w:cs="Times New Roman"/>
          <w:szCs w:val="24"/>
          <w:shd w:val="clear" w:color="auto" w:fill="FFFFFF"/>
        </w:rPr>
        <w:t xml:space="preserve">, J., </w:t>
      </w:r>
      <w:proofErr w:type="spellStart"/>
      <w:r w:rsidRPr="004F1400">
        <w:rPr>
          <w:rFonts w:cs="Times New Roman"/>
          <w:szCs w:val="24"/>
          <w:shd w:val="clear" w:color="auto" w:fill="FFFFFF"/>
        </w:rPr>
        <w:t>Kiambi</w:t>
      </w:r>
      <w:proofErr w:type="spellEnd"/>
      <w:r w:rsidRPr="004F1400">
        <w:rPr>
          <w:rFonts w:cs="Times New Roman"/>
          <w:szCs w:val="24"/>
          <w:shd w:val="clear" w:color="auto" w:fill="FFFFFF"/>
        </w:rPr>
        <w:t xml:space="preserve">, S.L., </w:t>
      </w:r>
      <w:proofErr w:type="spellStart"/>
      <w:r w:rsidRPr="004F1400">
        <w:rPr>
          <w:rFonts w:cs="Times New Roman"/>
          <w:szCs w:val="24"/>
          <w:shd w:val="clear" w:color="auto" w:fill="FFFFFF"/>
        </w:rPr>
        <w:t>Bux</w:t>
      </w:r>
      <w:proofErr w:type="spellEnd"/>
      <w:r w:rsidRPr="004F1400">
        <w:rPr>
          <w:rFonts w:cs="Times New Roman"/>
          <w:szCs w:val="24"/>
          <w:shd w:val="clear" w:color="auto" w:fill="FFFFFF"/>
        </w:rPr>
        <w:t xml:space="preserve">, F. and </w:t>
      </w:r>
      <w:proofErr w:type="spellStart"/>
      <w:r w:rsidRPr="004F1400">
        <w:rPr>
          <w:rFonts w:cs="Times New Roman"/>
          <w:szCs w:val="24"/>
          <w:shd w:val="clear" w:color="auto" w:fill="FFFFFF"/>
        </w:rPr>
        <w:t>Kumari</w:t>
      </w:r>
      <w:proofErr w:type="spellEnd"/>
      <w:r w:rsidRPr="004F1400">
        <w:rPr>
          <w:rFonts w:cs="Times New Roman"/>
          <w:szCs w:val="24"/>
          <w:shd w:val="clear" w:color="auto" w:fill="FFFFFF"/>
        </w:rPr>
        <w:t xml:space="preserve">, S., 2020. Critical analysis of biomass retention strategies in mainstream and </w:t>
      </w:r>
      <w:proofErr w:type="spellStart"/>
      <w:r w:rsidRPr="004F1400">
        <w:rPr>
          <w:rFonts w:cs="Times New Roman"/>
          <w:szCs w:val="24"/>
          <w:shd w:val="clear" w:color="auto" w:fill="FFFFFF"/>
        </w:rPr>
        <w:t>sidestream</w:t>
      </w:r>
      <w:proofErr w:type="spellEnd"/>
      <w:r w:rsidRPr="004F1400">
        <w:rPr>
          <w:rFonts w:cs="Times New Roman"/>
          <w:szCs w:val="24"/>
          <w:shd w:val="clear" w:color="auto" w:fill="FFFFFF"/>
        </w:rPr>
        <w:t xml:space="preserve"> ANAMMOX-mediated nitrogen removal systems. </w:t>
      </w:r>
      <w:r w:rsidRPr="004F1400">
        <w:rPr>
          <w:rFonts w:cs="Times New Roman"/>
          <w:i/>
          <w:iCs/>
          <w:szCs w:val="24"/>
          <w:shd w:val="clear" w:color="auto" w:fill="FFFFFF"/>
        </w:rPr>
        <w:t>Environmental Science &amp; Technology</w:t>
      </w:r>
      <w:r w:rsidRPr="004F1400">
        <w:rPr>
          <w:rFonts w:cs="Times New Roman"/>
          <w:szCs w:val="24"/>
          <w:shd w:val="clear" w:color="auto" w:fill="FFFFFF"/>
        </w:rPr>
        <w:t>, </w:t>
      </w:r>
      <w:r w:rsidRPr="004F1400">
        <w:rPr>
          <w:rFonts w:cs="Times New Roman"/>
          <w:i/>
          <w:iCs/>
          <w:szCs w:val="24"/>
          <w:shd w:val="clear" w:color="auto" w:fill="FFFFFF"/>
        </w:rPr>
        <w:t>55</w:t>
      </w:r>
      <w:r w:rsidRPr="004F1400">
        <w:rPr>
          <w:rFonts w:cs="Times New Roman"/>
          <w:szCs w:val="24"/>
          <w:shd w:val="clear" w:color="auto" w:fill="FFFFFF"/>
        </w:rPr>
        <w:t>(1), pp.9-24.</w:t>
      </w:r>
    </w:p>
    <w:p w14:paraId="0195A356"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Nasiri</w:t>
      </w:r>
      <w:proofErr w:type="spellEnd"/>
      <w:r w:rsidRPr="004F1400">
        <w:rPr>
          <w:rFonts w:cs="Times New Roman"/>
          <w:szCs w:val="24"/>
          <w:shd w:val="clear" w:color="auto" w:fill="FFFFFF"/>
        </w:rPr>
        <w:t xml:space="preserve">, A., </w:t>
      </w:r>
      <w:proofErr w:type="spellStart"/>
      <w:r w:rsidRPr="004F1400">
        <w:rPr>
          <w:rFonts w:cs="Times New Roman"/>
          <w:szCs w:val="24"/>
          <w:shd w:val="clear" w:color="auto" w:fill="FFFFFF"/>
        </w:rPr>
        <w:t>Jahani</w:t>
      </w:r>
      <w:proofErr w:type="spellEnd"/>
      <w:r w:rsidRPr="004F1400">
        <w:rPr>
          <w:rFonts w:cs="Times New Roman"/>
          <w:szCs w:val="24"/>
          <w:shd w:val="clear" w:color="auto" w:fill="FFFFFF"/>
        </w:rPr>
        <w:t xml:space="preserve">, R., </w:t>
      </w:r>
      <w:proofErr w:type="spellStart"/>
      <w:r w:rsidRPr="004F1400">
        <w:rPr>
          <w:rFonts w:cs="Times New Roman"/>
          <w:szCs w:val="24"/>
          <w:shd w:val="clear" w:color="auto" w:fill="FFFFFF"/>
        </w:rPr>
        <w:t>Mokhtari</w:t>
      </w:r>
      <w:proofErr w:type="spellEnd"/>
      <w:r w:rsidRPr="004F1400">
        <w:rPr>
          <w:rFonts w:cs="Times New Roman"/>
          <w:szCs w:val="24"/>
          <w:shd w:val="clear" w:color="auto" w:fill="FFFFFF"/>
        </w:rPr>
        <w:t xml:space="preserve">, S., </w:t>
      </w:r>
      <w:proofErr w:type="spellStart"/>
      <w:r w:rsidRPr="004F1400">
        <w:rPr>
          <w:rFonts w:cs="Times New Roman"/>
          <w:szCs w:val="24"/>
          <w:shd w:val="clear" w:color="auto" w:fill="FFFFFF"/>
        </w:rPr>
        <w:t>Yazdanpanah</w:t>
      </w:r>
      <w:proofErr w:type="spellEnd"/>
      <w:r w:rsidRPr="004F1400">
        <w:rPr>
          <w:rFonts w:cs="Times New Roman"/>
          <w:szCs w:val="24"/>
          <w:shd w:val="clear" w:color="auto" w:fill="FFFFFF"/>
        </w:rPr>
        <w:t xml:space="preserve">, H., </w:t>
      </w:r>
      <w:proofErr w:type="spellStart"/>
      <w:r w:rsidRPr="004F1400">
        <w:rPr>
          <w:rFonts w:cs="Times New Roman"/>
          <w:szCs w:val="24"/>
          <w:shd w:val="clear" w:color="auto" w:fill="FFFFFF"/>
        </w:rPr>
        <w:t>Daraei</w:t>
      </w:r>
      <w:proofErr w:type="spellEnd"/>
      <w:r w:rsidRPr="004F1400">
        <w:rPr>
          <w:rFonts w:cs="Times New Roman"/>
          <w:szCs w:val="24"/>
          <w:shd w:val="clear" w:color="auto" w:fill="FFFFFF"/>
        </w:rPr>
        <w:t xml:space="preserve">, B., </w:t>
      </w:r>
      <w:proofErr w:type="spellStart"/>
      <w:r w:rsidRPr="004F1400">
        <w:rPr>
          <w:rFonts w:cs="Times New Roman"/>
          <w:szCs w:val="24"/>
          <w:shd w:val="clear" w:color="auto" w:fill="FFFFFF"/>
        </w:rPr>
        <w:t>Faizi</w:t>
      </w:r>
      <w:proofErr w:type="spellEnd"/>
      <w:r w:rsidRPr="004F1400">
        <w:rPr>
          <w:rFonts w:cs="Times New Roman"/>
          <w:szCs w:val="24"/>
          <w:shd w:val="clear" w:color="auto" w:fill="FFFFFF"/>
        </w:rPr>
        <w:t xml:space="preserve">, M. and </w:t>
      </w:r>
      <w:proofErr w:type="spellStart"/>
      <w:r w:rsidRPr="004F1400">
        <w:rPr>
          <w:rFonts w:cs="Times New Roman"/>
          <w:szCs w:val="24"/>
          <w:shd w:val="clear" w:color="auto" w:fill="FFFFFF"/>
        </w:rPr>
        <w:t>Kobarfard</w:t>
      </w:r>
      <w:proofErr w:type="spellEnd"/>
      <w:r w:rsidRPr="004F1400">
        <w:rPr>
          <w:rFonts w:cs="Times New Roman"/>
          <w:szCs w:val="24"/>
          <w:shd w:val="clear" w:color="auto" w:fill="FFFFFF"/>
        </w:rPr>
        <w:t>, F., 2021. Overview, consequences, and strategies for overcoming matrix effects in LC-MS analysis: a critical review. </w:t>
      </w:r>
      <w:r w:rsidRPr="004F1400">
        <w:rPr>
          <w:rFonts w:cs="Times New Roman"/>
          <w:i/>
          <w:iCs/>
          <w:szCs w:val="24"/>
          <w:shd w:val="clear" w:color="auto" w:fill="FFFFFF"/>
        </w:rPr>
        <w:t>Analyst</w:t>
      </w:r>
      <w:r w:rsidRPr="004F1400">
        <w:rPr>
          <w:rFonts w:cs="Times New Roman"/>
          <w:szCs w:val="24"/>
          <w:shd w:val="clear" w:color="auto" w:fill="FFFFFF"/>
        </w:rPr>
        <w:t>, </w:t>
      </w:r>
      <w:r w:rsidRPr="004F1400">
        <w:rPr>
          <w:rFonts w:cs="Times New Roman"/>
          <w:i/>
          <w:iCs/>
          <w:szCs w:val="24"/>
          <w:shd w:val="clear" w:color="auto" w:fill="FFFFFF"/>
        </w:rPr>
        <w:t>146</w:t>
      </w:r>
      <w:r w:rsidRPr="004F1400">
        <w:rPr>
          <w:rFonts w:cs="Times New Roman"/>
          <w:szCs w:val="24"/>
          <w:shd w:val="clear" w:color="auto" w:fill="FFFFFF"/>
        </w:rPr>
        <w:t>(20), pp.6049-6063.</w:t>
      </w:r>
    </w:p>
    <w:p w14:paraId="64A7CFBD"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Oxelheim</w:t>
      </w:r>
      <w:proofErr w:type="spellEnd"/>
      <w:r w:rsidRPr="004F1400">
        <w:rPr>
          <w:rFonts w:cs="Times New Roman"/>
          <w:szCs w:val="24"/>
          <w:shd w:val="clear" w:color="auto" w:fill="FFFFFF"/>
        </w:rPr>
        <w:t xml:space="preserve">, L., </w:t>
      </w:r>
      <w:proofErr w:type="spellStart"/>
      <w:r w:rsidRPr="004F1400">
        <w:rPr>
          <w:rFonts w:cs="Times New Roman"/>
          <w:szCs w:val="24"/>
          <w:shd w:val="clear" w:color="auto" w:fill="FFFFFF"/>
        </w:rPr>
        <w:t>Alviniussen</w:t>
      </w:r>
      <w:proofErr w:type="spellEnd"/>
      <w:r w:rsidRPr="004F1400">
        <w:rPr>
          <w:rFonts w:cs="Times New Roman"/>
          <w:szCs w:val="24"/>
          <w:shd w:val="clear" w:color="auto" w:fill="FFFFFF"/>
        </w:rPr>
        <w:t xml:space="preserve">, A. and </w:t>
      </w:r>
      <w:proofErr w:type="spellStart"/>
      <w:r w:rsidRPr="004F1400">
        <w:rPr>
          <w:rFonts w:cs="Times New Roman"/>
          <w:szCs w:val="24"/>
          <w:shd w:val="clear" w:color="auto" w:fill="FFFFFF"/>
        </w:rPr>
        <w:t>Jankensgard</w:t>
      </w:r>
      <w:proofErr w:type="spellEnd"/>
      <w:r w:rsidRPr="004F1400">
        <w:rPr>
          <w:rFonts w:cs="Times New Roman"/>
          <w:szCs w:val="24"/>
          <w:shd w:val="clear" w:color="auto" w:fill="FFFFFF"/>
        </w:rPr>
        <w:t>, H., 2020. </w:t>
      </w:r>
      <w:r w:rsidRPr="004F1400">
        <w:rPr>
          <w:rFonts w:cs="Times New Roman"/>
          <w:i/>
          <w:iCs/>
          <w:szCs w:val="24"/>
          <w:shd w:val="clear" w:color="auto" w:fill="FFFFFF"/>
        </w:rPr>
        <w:t>Corporate foreign exchange risk management</w:t>
      </w:r>
      <w:r w:rsidRPr="004F1400">
        <w:rPr>
          <w:rFonts w:cs="Times New Roman"/>
          <w:szCs w:val="24"/>
          <w:shd w:val="clear" w:color="auto" w:fill="FFFFFF"/>
        </w:rPr>
        <w:t>. John Wiley &amp; Sons.</w:t>
      </w:r>
    </w:p>
    <w:p w14:paraId="14D97A07"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Rampini</w:t>
      </w:r>
      <w:proofErr w:type="spellEnd"/>
      <w:r w:rsidRPr="004F1400">
        <w:rPr>
          <w:rFonts w:cs="Times New Roman"/>
          <w:szCs w:val="24"/>
          <w:shd w:val="clear" w:color="auto" w:fill="FFFFFF"/>
        </w:rPr>
        <w:t xml:space="preserve">, A.A., </w:t>
      </w:r>
      <w:proofErr w:type="spellStart"/>
      <w:r w:rsidRPr="004F1400">
        <w:rPr>
          <w:rFonts w:cs="Times New Roman"/>
          <w:szCs w:val="24"/>
          <w:shd w:val="clear" w:color="auto" w:fill="FFFFFF"/>
        </w:rPr>
        <w:t>Viswanathan</w:t>
      </w:r>
      <w:proofErr w:type="spellEnd"/>
      <w:r w:rsidRPr="004F1400">
        <w:rPr>
          <w:rFonts w:cs="Times New Roman"/>
          <w:szCs w:val="24"/>
          <w:shd w:val="clear" w:color="auto" w:fill="FFFFFF"/>
        </w:rPr>
        <w:t xml:space="preserve">, S. and </w:t>
      </w:r>
      <w:proofErr w:type="spellStart"/>
      <w:r w:rsidRPr="004F1400">
        <w:rPr>
          <w:rFonts w:cs="Times New Roman"/>
          <w:szCs w:val="24"/>
          <w:shd w:val="clear" w:color="auto" w:fill="FFFFFF"/>
        </w:rPr>
        <w:t>Vuillemey</w:t>
      </w:r>
      <w:proofErr w:type="spellEnd"/>
      <w:r w:rsidRPr="004F1400">
        <w:rPr>
          <w:rFonts w:cs="Times New Roman"/>
          <w:szCs w:val="24"/>
          <w:shd w:val="clear" w:color="auto" w:fill="FFFFFF"/>
        </w:rPr>
        <w:t>, G., 2020. Retracted: Risk management in financial institutions.</w:t>
      </w:r>
    </w:p>
    <w:p w14:paraId="762B20DA" w14:textId="77777777" w:rsidR="00BC7469" w:rsidRPr="004F1400" w:rsidRDefault="00BC7469" w:rsidP="00BC7469">
      <w:pPr>
        <w:spacing w:line="360" w:lineRule="auto"/>
        <w:rPr>
          <w:rFonts w:cs="Times New Roman"/>
          <w:szCs w:val="24"/>
          <w:shd w:val="clear" w:color="auto" w:fill="FFFFFF"/>
        </w:rPr>
      </w:pPr>
      <w:r w:rsidRPr="004F1400">
        <w:rPr>
          <w:rFonts w:cs="Times New Roman"/>
          <w:szCs w:val="24"/>
          <w:shd w:val="clear" w:color="auto" w:fill="FFFFFF"/>
        </w:rPr>
        <w:t xml:space="preserve">Saeed, T., </w:t>
      </w:r>
      <w:proofErr w:type="spellStart"/>
      <w:r w:rsidRPr="004F1400">
        <w:rPr>
          <w:rFonts w:cs="Times New Roman"/>
          <w:szCs w:val="24"/>
          <w:shd w:val="clear" w:color="auto" w:fill="FFFFFF"/>
        </w:rPr>
        <w:t>Bouri</w:t>
      </w:r>
      <w:proofErr w:type="spellEnd"/>
      <w:r w:rsidRPr="004F1400">
        <w:rPr>
          <w:rFonts w:cs="Times New Roman"/>
          <w:szCs w:val="24"/>
          <w:shd w:val="clear" w:color="auto" w:fill="FFFFFF"/>
        </w:rPr>
        <w:t>, E. and Tran, D.K., 2020. Hedging strategies of green assets against dirty energy assets. </w:t>
      </w:r>
      <w:r w:rsidRPr="004F1400">
        <w:rPr>
          <w:rFonts w:cs="Times New Roman"/>
          <w:i/>
          <w:iCs/>
          <w:szCs w:val="24"/>
          <w:shd w:val="clear" w:color="auto" w:fill="FFFFFF"/>
        </w:rPr>
        <w:t>Energies</w:t>
      </w:r>
      <w:r w:rsidRPr="004F1400">
        <w:rPr>
          <w:rFonts w:cs="Times New Roman"/>
          <w:szCs w:val="24"/>
          <w:shd w:val="clear" w:color="auto" w:fill="FFFFFF"/>
        </w:rPr>
        <w:t>, </w:t>
      </w:r>
      <w:r w:rsidRPr="004F1400">
        <w:rPr>
          <w:rFonts w:cs="Times New Roman"/>
          <w:i/>
          <w:iCs/>
          <w:szCs w:val="24"/>
          <w:shd w:val="clear" w:color="auto" w:fill="FFFFFF"/>
        </w:rPr>
        <w:t>13</w:t>
      </w:r>
      <w:r w:rsidRPr="004F1400">
        <w:rPr>
          <w:rFonts w:cs="Times New Roman"/>
          <w:szCs w:val="24"/>
          <w:shd w:val="clear" w:color="auto" w:fill="FFFFFF"/>
        </w:rPr>
        <w:t>(12), p.3141.</w:t>
      </w:r>
    </w:p>
    <w:p w14:paraId="6F9841E1" w14:textId="77777777" w:rsidR="00BC7469" w:rsidRPr="004F1400" w:rsidRDefault="00BC7469" w:rsidP="00BC7469">
      <w:pPr>
        <w:spacing w:line="360" w:lineRule="auto"/>
        <w:rPr>
          <w:rFonts w:cs="Times New Roman"/>
          <w:szCs w:val="24"/>
          <w:shd w:val="clear" w:color="auto" w:fill="FFFFFF"/>
        </w:rPr>
      </w:pPr>
      <w:r w:rsidRPr="004F1400">
        <w:rPr>
          <w:rFonts w:cs="Times New Roman"/>
          <w:szCs w:val="24"/>
          <w:shd w:val="clear" w:color="auto" w:fill="FFFFFF"/>
        </w:rPr>
        <w:t xml:space="preserve">Saunders, A., Cornett, M.M. and </w:t>
      </w:r>
      <w:proofErr w:type="spellStart"/>
      <w:r w:rsidRPr="004F1400">
        <w:rPr>
          <w:rFonts w:cs="Times New Roman"/>
          <w:szCs w:val="24"/>
          <w:shd w:val="clear" w:color="auto" w:fill="FFFFFF"/>
        </w:rPr>
        <w:t>Erhemjamts</w:t>
      </w:r>
      <w:proofErr w:type="spellEnd"/>
      <w:r w:rsidRPr="004F1400">
        <w:rPr>
          <w:rFonts w:cs="Times New Roman"/>
          <w:szCs w:val="24"/>
          <w:shd w:val="clear" w:color="auto" w:fill="FFFFFF"/>
        </w:rPr>
        <w:t>, O., 2021. </w:t>
      </w:r>
      <w:r w:rsidRPr="004F1400">
        <w:rPr>
          <w:rFonts w:cs="Times New Roman"/>
          <w:i/>
          <w:iCs/>
          <w:szCs w:val="24"/>
          <w:shd w:val="clear" w:color="auto" w:fill="FFFFFF"/>
        </w:rPr>
        <w:t>Financial institutions management: A risk management approach</w:t>
      </w:r>
      <w:r w:rsidRPr="004F1400">
        <w:rPr>
          <w:rFonts w:cs="Times New Roman"/>
          <w:szCs w:val="24"/>
          <w:shd w:val="clear" w:color="auto" w:fill="FFFFFF"/>
        </w:rPr>
        <w:t>. McGraw-Hill.</w:t>
      </w:r>
    </w:p>
    <w:p w14:paraId="3F244A27"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Teece</w:t>
      </w:r>
      <w:proofErr w:type="spellEnd"/>
      <w:r w:rsidRPr="004F1400">
        <w:rPr>
          <w:rFonts w:cs="Times New Roman"/>
          <w:szCs w:val="24"/>
          <w:shd w:val="clear" w:color="auto" w:fill="FFFFFF"/>
        </w:rPr>
        <w:t>, D.J., 2019. A capability theory of the firm: an economics and (strategic) management perspective. </w:t>
      </w:r>
      <w:r w:rsidRPr="004F1400">
        <w:rPr>
          <w:rFonts w:cs="Times New Roman"/>
          <w:i/>
          <w:iCs/>
          <w:szCs w:val="24"/>
          <w:shd w:val="clear" w:color="auto" w:fill="FFFFFF"/>
        </w:rPr>
        <w:t>New Zealand Economic Papers</w:t>
      </w:r>
      <w:r w:rsidRPr="004F1400">
        <w:rPr>
          <w:rFonts w:cs="Times New Roman"/>
          <w:szCs w:val="24"/>
          <w:shd w:val="clear" w:color="auto" w:fill="FFFFFF"/>
        </w:rPr>
        <w:t>, </w:t>
      </w:r>
      <w:r w:rsidRPr="004F1400">
        <w:rPr>
          <w:rFonts w:cs="Times New Roman"/>
          <w:i/>
          <w:iCs/>
          <w:szCs w:val="24"/>
          <w:shd w:val="clear" w:color="auto" w:fill="FFFFFF"/>
        </w:rPr>
        <w:t>53</w:t>
      </w:r>
      <w:r w:rsidRPr="004F1400">
        <w:rPr>
          <w:rFonts w:cs="Times New Roman"/>
          <w:szCs w:val="24"/>
          <w:shd w:val="clear" w:color="auto" w:fill="FFFFFF"/>
        </w:rPr>
        <w:t>(1), pp.1-43.</w:t>
      </w:r>
    </w:p>
    <w:p w14:paraId="6E3D85EB" w14:textId="77777777" w:rsidR="00BC7469" w:rsidRPr="004F1400" w:rsidRDefault="00BC7469" w:rsidP="00BC7469">
      <w:pPr>
        <w:spacing w:line="360" w:lineRule="auto"/>
        <w:rPr>
          <w:rFonts w:cs="Times New Roman"/>
          <w:szCs w:val="24"/>
          <w:shd w:val="clear" w:color="auto" w:fill="FFFFFF"/>
        </w:rPr>
      </w:pPr>
      <w:proofErr w:type="spellStart"/>
      <w:r w:rsidRPr="004F1400">
        <w:rPr>
          <w:rFonts w:cs="Times New Roman"/>
          <w:szCs w:val="24"/>
          <w:shd w:val="clear" w:color="auto" w:fill="FFFFFF"/>
        </w:rPr>
        <w:t>Tiwary</w:t>
      </w:r>
      <w:proofErr w:type="spellEnd"/>
      <w:r w:rsidRPr="004F1400">
        <w:rPr>
          <w:rFonts w:cs="Times New Roman"/>
          <w:szCs w:val="24"/>
          <w:shd w:val="clear" w:color="auto" w:fill="FFFFFF"/>
        </w:rPr>
        <w:t>, A.R., 2019. Study of currency risk and the hedging strategies. </w:t>
      </w:r>
      <w:r w:rsidRPr="004F1400">
        <w:rPr>
          <w:rFonts w:cs="Times New Roman"/>
          <w:i/>
          <w:iCs/>
          <w:szCs w:val="24"/>
          <w:shd w:val="clear" w:color="auto" w:fill="FFFFFF"/>
        </w:rPr>
        <w:t>Journal of Advanced Studies In Finance (JASF)</w:t>
      </w:r>
      <w:r w:rsidRPr="004F1400">
        <w:rPr>
          <w:rFonts w:cs="Times New Roman"/>
          <w:szCs w:val="24"/>
          <w:shd w:val="clear" w:color="auto" w:fill="FFFFFF"/>
        </w:rPr>
        <w:t>, </w:t>
      </w:r>
      <w:r w:rsidRPr="004F1400">
        <w:rPr>
          <w:rFonts w:cs="Times New Roman"/>
          <w:i/>
          <w:iCs/>
          <w:szCs w:val="24"/>
          <w:shd w:val="clear" w:color="auto" w:fill="FFFFFF"/>
        </w:rPr>
        <w:t>10</w:t>
      </w:r>
      <w:r w:rsidRPr="004F1400">
        <w:rPr>
          <w:rFonts w:cs="Times New Roman"/>
          <w:szCs w:val="24"/>
          <w:shd w:val="clear" w:color="auto" w:fill="FFFFFF"/>
        </w:rPr>
        <w:t>(19), pp.45-55.</w:t>
      </w:r>
    </w:p>
    <w:sectPr w:rsidR="00BC7469" w:rsidRPr="004F14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DEFD2" w14:textId="77777777" w:rsidR="00467881" w:rsidRDefault="00467881" w:rsidP="000162CA">
      <w:pPr>
        <w:spacing w:after="0" w:line="240" w:lineRule="auto"/>
      </w:pPr>
      <w:r>
        <w:separator/>
      </w:r>
    </w:p>
  </w:endnote>
  <w:endnote w:type="continuationSeparator" w:id="0">
    <w:p w14:paraId="7599306C" w14:textId="77777777" w:rsidR="00467881" w:rsidRDefault="00467881" w:rsidP="00016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F983" w14:textId="77777777" w:rsidR="00BC7469" w:rsidRDefault="00BC74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36718"/>
      <w:docPartObj>
        <w:docPartGallery w:val="Page Numbers (Bottom of Page)"/>
        <w:docPartUnique/>
      </w:docPartObj>
    </w:sdtPr>
    <w:sdtEndPr>
      <w:rPr>
        <w:noProof/>
      </w:rPr>
    </w:sdtEndPr>
    <w:sdtContent>
      <w:p w14:paraId="5298B3BA" w14:textId="285DA2D3" w:rsidR="00AF3DF7" w:rsidRDefault="00AF3DF7">
        <w:pPr>
          <w:pStyle w:val="Footer"/>
          <w:jc w:val="right"/>
        </w:pPr>
        <w:r>
          <w:fldChar w:fldCharType="begin"/>
        </w:r>
        <w:r>
          <w:instrText xml:space="preserve"> PAGE   \* MERGEFORMAT </w:instrText>
        </w:r>
        <w:r>
          <w:fldChar w:fldCharType="separate"/>
        </w:r>
        <w:r w:rsidR="00BC7469">
          <w:rPr>
            <w:noProof/>
          </w:rPr>
          <w:t>11</w:t>
        </w:r>
        <w:r>
          <w:rPr>
            <w:noProof/>
          </w:rPr>
          <w:fldChar w:fldCharType="end"/>
        </w:r>
      </w:p>
    </w:sdtContent>
  </w:sdt>
  <w:p w14:paraId="1C75640F" w14:textId="77777777" w:rsidR="00AF3DF7" w:rsidRDefault="00AF3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26AB0" w14:textId="77777777" w:rsidR="00BC7469" w:rsidRDefault="00BC7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6479B" w14:textId="77777777" w:rsidR="00467881" w:rsidRDefault="00467881" w:rsidP="000162CA">
      <w:pPr>
        <w:spacing w:after="0" w:line="240" w:lineRule="auto"/>
      </w:pPr>
      <w:r>
        <w:separator/>
      </w:r>
    </w:p>
  </w:footnote>
  <w:footnote w:type="continuationSeparator" w:id="0">
    <w:p w14:paraId="0F71157B" w14:textId="77777777" w:rsidR="00467881" w:rsidRDefault="00467881" w:rsidP="00016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9F3F4" w14:textId="77777777" w:rsidR="00BC7469" w:rsidRDefault="00BC74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5237" w14:textId="77777777" w:rsidR="00BC7469" w:rsidRDefault="00BC74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49CA" w14:textId="77777777" w:rsidR="00BC7469" w:rsidRDefault="00BC74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Mws7QwMjM3MDC2MDRX0lEKTi0uzszPAykwrAUAfYgp5SwAAAA="/>
  </w:docVars>
  <w:rsids>
    <w:rsidRoot w:val="004F4E05"/>
    <w:rsid w:val="000162CA"/>
    <w:rsid w:val="00060BF6"/>
    <w:rsid w:val="000A08FF"/>
    <w:rsid w:val="000A7A9B"/>
    <w:rsid w:val="000E3BDA"/>
    <w:rsid w:val="001044FB"/>
    <w:rsid w:val="00142977"/>
    <w:rsid w:val="001533B1"/>
    <w:rsid w:val="00196905"/>
    <w:rsid w:val="001A4461"/>
    <w:rsid w:val="002E18B8"/>
    <w:rsid w:val="003A6FDC"/>
    <w:rsid w:val="003B7EA5"/>
    <w:rsid w:val="003F0DA5"/>
    <w:rsid w:val="00414CB0"/>
    <w:rsid w:val="00467881"/>
    <w:rsid w:val="004924FA"/>
    <w:rsid w:val="00496378"/>
    <w:rsid w:val="004D6E66"/>
    <w:rsid w:val="004F1400"/>
    <w:rsid w:val="004F4E05"/>
    <w:rsid w:val="00506923"/>
    <w:rsid w:val="00556F20"/>
    <w:rsid w:val="00567D99"/>
    <w:rsid w:val="00582AA8"/>
    <w:rsid w:val="005A478E"/>
    <w:rsid w:val="005D5D94"/>
    <w:rsid w:val="006C0EF7"/>
    <w:rsid w:val="00711BFC"/>
    <w:rsid w:val="007279F3"/>
    <w:rsid w:val="00742231"/>
    <w:rsid w:val="0077526A"/>
    <w:rsid w:val="00791C2B"/>
    <w:rsid w:val="007C5106"/>
    <w:rsid w:val="00860614"/>
    <w:rsid w:val="00862AEF"/>
    <w:rsid w:val="00884BDD"/>
    <w:rsid w:val="008B2AB2"/>
    <w:rsid w:val="008D4986"/>
    <w:rsid w:val="009C57CA"/>
    <w:rsid w:val="00A32A7A"/>
    <w:rsid w:val="00A32AC2"/>
    <w:rsid w:val="00A50BD7"/>
    <w:rsid w:val="00AF3DF7"/>
    <w:rsid w:val="00B90FA4"/>
    <w:rsid w:val="00BC7469"/>
    <w:rsid w:val="00BD4596"/>
    <w:rsid w:val="00BF1721"/>
    <w:rsid w:val="00CB0119"/>
    <w:rsid w:val="00CC7222"/>
    <w:rsid w:val="00D451F2"/>
    <w:rsid w:val="00D874EE"/>
    <w:rsid w:val="00DD6209"/>
    <w:rsid w:val="00DF3909"/>
    <w:rsid w:val="00E24227"/>
    <w:rsid w:val="00E34CFD"/>
    <w:rsid w:val="00EA1F26"/>
    <w:rsid w:val="00EC2B01"/>
    <w:rsid w:val="00FD228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F60F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E05"/>
    <w:pPr>
      <w:jc w:val="both"/>
    </w:pPr>
    <w:rPr>
      <w:rFonts w:ascii="Times New Roman" w:hAnsi="Times New Roman"/>
      <w:sz w:val="24"/>
    </w:rPr>
  </w:style>
  <w:style w:type="paragraph" w:styleId="Heading1">
    <w:name w:val="heading 1"/>
    <w:basedOn w:val="Normal"/>
    <w:next w:val="Normal"/>
    <w:link w:val="Heading1Char"/>
    <w:uiPriority w:val="9"/>
    <w:qFormat/>
    <w:rsid w:val="004F4E05"/>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4F4E05"/>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E05"/>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4F4E05"/>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iPriority w:val="99"/>
    <w:unhideWhenUsed/>
    <w:rsid w:val="00016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2CA"/>
    <w:rPr>
      <w:rFonts w:ascii="Times New Roman" w:hAnsi="Times New Roman"/>
      <w:sz w:val="24"/>
    </w:rPr>
  </w:style>
  <w:style w:type="paragraph" w:styleId="Footer">
    <w:name w:val="footer"/>
    <w:basedOn w:val="Normal"/>
    <w:link w:val="FooterChar"/>
    <w:uiPriority w:val="99"/>
    <w:unhideWhenUsed/>
    <w:rsid w:val="00016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2CA"/>
    <w:rPr>
      <w:rFonts w:ascii="Times New Roman" w:hAnsi="Times New Roman"/>
      <w:sz w:val="24"/>
    </w:rPr>
  </w:style>
  <w:style w:type="paragraph" w:styleId="TOCHeading">
    <w:name w:val="TOC Heading"/>
    <w:basedOn w:val="Heading1"/>
    <w:next w:val="Normal"/>
    <w:uiPriority w:val="39"/>
    <w:unhideWhenUsed/>
    <w:qFormat/>
    <w:rsid w:val="000E3BDA"/>
    <w:pPr>
      <w:jc w:val="left"/>
      <w:outlineLvl w:val="9"/>
    </w:pPr>
    <w:rPr>
      <w:rFonts w:asciiTheme="majorHAnsi" w:hAnsiTheme="majorHAnsi"/>
      <w:b w:val="0"/>
    </w:rPr>
  </w:style>
  <w:style w:type="paragraph" w:styleId="TOC1">
    <w:name w:val="toc 1"/>
    <w:basedOn w:val="Normal"/>
    <w:next w:val="Normal"/>
    <w:autoRedefine/>
    <w:uiPriority w:val="39"/>
    <w:unhideWhenUsed/>
    <w:rsid w:val="000E3BDA"/>
    <w:pPr>
      <w:spacing w:after="100"/>
    </w:pPr>
  </w:style>
  <w:style w:type="character" w:styleId="Hyperlink">
    <w:name w:val="Hyperlink"/>
    <w:basedOn w:val="DefaultParagraphFont"/>
    <w:uiPriority w:val="99"/>
    <w:unhideWhenUsed/>
    <w:rsid w:val="000E3B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575316">
      <w:bodyDiv w:val="1"/>
      <w:marLeft w:val="0"/>
      <w:marRight w:val="0"/>
      <w:marTop w:val="0"/>
      <w:marBottom w:val="0"/>
      <w:divBdr>
        <w:top w:val="none" w:sz="0" w:space="0" w:color="auto"/>
        <w:left w:val="none" w:sz="0" w:space="0" w:color="auto"/>
        <w:bottom w:val="none" w:sz="0" w:space="0" w:color="auto"/>
        <w:right w:val="none" w:sz="0" w:space="0" w:color="auto"/>
      </w:divBdr>
      <w:divsChild>
        <w:div w:id="241722814">
          <w:marLeft w:val="0"/>
          <w:marRight w:val="0"/>
          <w:marTop w:val="0"/>
          <w:marBottom w:val="0"/>
          <w:divBdr>
            <w:top w:val="none" w:sz="0" w:space="0" w:color="auto"/>
            <w:left w:val="none" w:sz="0" w:space="0" w:color="auto"/>
            <w:bottom w:val="none" w:sz="0" w:space="0" w:color="auto"/>
            <w:right w:val="none" w:sz="0" w:space="0" w:color="auto"/>
          </w:divBdr>
        </w:div>
        <w:div w:id="1230965828">
          <w:marLeft w:val="0"/>
          <w:marRight w:val="0"/>
          <w:marTop w:val="0"/>
          <w:marBottom w:val="0"/>
          <w:divBdr>
            <w:top w:val="none" w:sz="0" w:space="0" w:color="auto"/>
            <w:left w:val="none" w:sz="0" w:space="0" w:color="auto"/>
            <w:bottom w:val="none" w:sz="0" w:space="0" w:color="auto"/>
            <w:right w:val="none" w:sz="0" w:space="0" w:color="auto"/>
          </w:divBdr>
        </w:div>
      </w:divsChild>
    </w:div>
    <w:div w:id="1033269447">
      <w:bodyDiv w:val="1"/>
      <w:marLeft w:val="0"/>
      <w:marRight w:val="0"/>
      <w:marTop w:val="0"/>
      <w:marBottom w:val="0"/>
      <w:divBdr>
        <w:top w:val="none" w:sz="0" w:space="0" w:color="auto"/>
        <w:left w:val="none" w:sz="0" w:space="0" w:color="auto"/>
        <w:bottom w:val="none" w:sz="0" w:space="0" w:color="auto"/>
        <w:right w:val="none" w:sz="0" w:space="0" w:color="auto"/>
      </w:divBdr>
      <w:divsChild>
        <w:div w:id="2062056318">
          <w:marLeft w:val="0"/>
          <w:marRight w:val="0"/>
          <w:marTop w:val="0"/>
          <w:marBottom w:val="0"/>
          <w:divBdr>
            <w:top w:val="none" w:sz="0" w:space="0" w:color="auto"/>
            <w:left w:val="none" w:sz="0" w:space="0" w:color="auto"/>
            <w:bottom w:val="none" w:sz="0" w:space="0" w:color="auto"/>
            <w:right w:val="none" w:sz="0" w:space="0" w:color="auto"/>
          </w:divBdr>
        </w:div>
        <w:div w:id="1352563809">
          <w:marLeft w:val="0"/>
          <w:marRight w:val="0"/>
          <w:marTop w:val="0"/>
          <w:marBottom w:val="0"/>
          <w:divBdr>
            <w:top w:val="none" w:sz="0" w:space="0" w:color="auto"/>
            <w:left w:val="none" w:sz="0" w:space="0" w:color="auto"/>
            <w:bottom w:val="none" w:sz="0" w:space="0" w:color="auto"/>
            <w:right w:val="none" w:sz="0" w:space="0" w:color="auto"/>
          </w:divBdr>
        </w:div>
      </w:divsChild>
    </w:div>
    <w:div w:id="2039352392">
      <w:bodyDiv w:val="1"/>
      <w:marLeft w:val="0"/>
      <w:marRight w:val="0"/>
      <w:marTop w:val="0"/>
      <w:marBottom w:val="0"/>
      <w:divBdr>
        <w:top w:val="none" w:sz="0" w:space="0" w:color="auto"/>
        <w:left w:val="none" w:sz="0" w:space="0" w:color="auto"/>
        <w:bottom w:val="none" w:sz="0" w:space="0" w:color="auto"/>
        <w:right w:val="none" w:sz="0" w:space="0" w:color="auto"/>
      </w:divBdr>
      <w:divsChild>
        <w:div w:id="1360661447">
          <w:marLeft w:val="0"/>
          <w:marRight w:val="0"/>
          <w:marTop w:val="0"/>
          <w:marBottom w:val="0"/>
          <w:divBdr>
            <w:top w:val="none" w:sz="0" w:space="0" w:color="auto"/>
            <w:left w:val="none" w:sz="0" w:space="0" w:color="auto"/>
            <w:bottom w:val="none" w:sz="0" w:space="0" w:color="auto"/>
            <w:right w:val="none" w:sz="0" w:space="0" w:color="auto"/>
          </w:divBdr>
        </w:div>
        <w:div w:id="1265650461">
          <w:marLeft w:val="0"/>
          <w:marRight w:val="0"/>
          <w:marTop w:val="0"/>
          <w:marBottom w:val="0"/>
          <w:divBdr>
            <w:top w:val="none" w:sz="0" w:space="0" w:color="auto"/>
            <w:left w:val="none" w:sz="0" w:space="0" w:color="auto"/>
            <w:bottom w:val="none" w:sz="0" w:space="0" w:color="auto"/>
            <w:right w:val="none" w:sz="0" w:space="0" w:color="auto"/>
          </w:divBdr>
        </w:div>
        <w:div w:id="1222448395">
          <w:marLeft w:val="0"/>
          <w:marRight w:val="0"/>
          <w:marTop w:val="0"/>
          <w:marBottom w:val="0"/>
          <w:divBdr>
            <w:top w:val="none" w:sz="0" w:space="0" w:color="auto"/>
            <w:left w:val="none" w:sz="0" w:space="0" w:color="auto"/>
            <w:bottom w:val="none" w:sz="0" w:space="0" w:color="auto"/>
            <w:right w:val="none" w:sz="0" w:space="0" w:color="auto"/>
          </w:divBdr>
        </w:div>
        <w:div w:id="1442341089">
          <w:marLeft w:val="0"/>
          <w:marRight w:val="0"/>
          <w:marTop w:val="0"/>
          <w:marBottom w:val="0"/>
          <w:divBdr>
            <w:top w:val="none" w:sz="0" w:space="0" w:color="auto"/>
            <w:left w:val="none" w:sz="0" w:space="0" w:color="auto"/>
            <w:bottom w:val="none" w:sz="0" w:space="0" w:color="auto"/>
            <w:right w:val="none" w:sz="0" w:space="0" w:color="auto"/>
          </w:divBdr>
        </w:div>
        <w:div w:id="1011569674">
          <w:marLeft w:val="0"/>
          <w:marRight w:val="0"/>
          <w:marTop w:val="0"/>
          <w:marBottom w:val="0"/>
          <w:divBdr>
            <w:top w:val="none" w:sz="0" w:space="0" w:color="auto"/>
            <w:left w:val="none" w:sz="0" w:space="0" w:color="auto"/>
            <w:bottom w:val="none" w:sz="0" w:space="0" w:color="auto"/>
            <w:right w:val="none" w:sz="0" w:space="0" w:color="auto"/>
          </w:divBdr>
        </w:div>
        <w:div w:id="751777931">
          <w:marLeft w:val="0"/>
          <w:marRight w:val="0"/>
          <w:marTop w:val="0"/>
          <w:marBottom w:val="0"/>
          <w:divBdr>
            <w:top w:val="none" w:sz="0" w:space="0" w:color="auto"/>
            <w:left w:val="none" w:sz="0" w:space="0" w:color="auto"/>
            <w:bottom w:val="none" w:sz="0" w:space="0" w:color="auto"/>
            <w:right w:val="none" w:sz="0" w:space="0" w:color="auto"/>
          </w:divBdr>
        </w:div>
        <w:div w:id="1291008193">
          <w:marLeft w:val="0"/>
          <w:marRight w:val="0"/>
          <w:marTop w:val="0"/>
          <w:marBottom w:val="0"/>
          <w:divBdr>
            <w:top w:val="none" w:sz="0" w:space="0" w:color="auto"/>
            <w:left w:val="none" w:sz="0" w:space="0" w:color="auto"/>
            <w:bottom w:val="none" w:sz="0" w:space="0" w:color="auto"/>
            <w:right w:val="none" w:sz="0" w:space="0" w:color="auto"/>
          </w:divBdr>
        </w:div>
        <w:div w:id="1762145813">
          <w:marLeft w:val="0"/>
          <w:marRight w:val="0"/>
          <w:marTop w:val="0"/>
          <w:marBottom w:val="0"/>
          <w:divBdr>
            <w:top w:val="none" w:sz="0" w:space="0" w:color="auto"/>
            <w:left w:val="none" w:sz="0" w:space="0" w:color="auto"/>
            <w:bottom w:val="none" w:sz="0" w:space="0" w:color="auto"/>
            <w:right w:val="none" w:sz="0" w:space="0" w:color="auto"/>
          </w:divBdr>
        </w:div>
        <w:div w:id="1735614986">
          <w:marLeft w:val="0"/>
          <w:marRight w:val="0"/>
          <w:marTop w:val="0"/>
          <w:marBottom w:val="0"/>
          <w:divBdr>
            <w:top w:val="none" w:sz="0" w:space="0" w:color="auto"/>
            <w:left w:val="none" w:sz="0" w:space="0" w:color="auto"/>
            <w:bottom w:val="none" w:sz="0" w:space="0" w:color="auto"/>
            <w:right w:val="none" w:sz="0" w:space="0" w:color="auto"/>
          </w:divBdr>
        </w:div>
        <w:div w:id="1240480924">
          <w:marLeft w:val="0"/>
          <w:marRight w:val="0"/>
          <w:marTop w:val="0"/>
          <w:marBottom w:val="0"/>
          <w:divBdr>
            <w:top w:val="none" w:sz="0" w:space="0" w:color="auto"/>
            <w:left w:val="none" w:sz="0" w:space="0" w:color="auto"/>
            <w:bottom w:val="none" w:sz="0" w:space="0" w:color="auto"/>
            <w:right w:val="none" w:sz="0" w:space="0" w:color="auto"/>
          </w:divBdr>
        </w:div>
        <w:div w:id="1068768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A28A2-6247-4F76-9EC4-D45BEFBC6F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1943</Words>
  <Characters>11879</Characters>
  <Application>Microsoft Office Word</Application>
  <DocSecurity>0</DocSecurity>
  <Lines>98</Lines>
  <Paragraphs>27</Paragraphs>
  <ScaleCrop>false</ScaleCrop>
  <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2023-12-20T12:07:00Z</dcterms:created>
  <dcterms:modified xsi:type="dcterms:W3CDTF">2023-12-20T12:07:00Z</dcterms:modified>
</cp:coreProperties>
</file>