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848201" w14:textId="77777777" w:rsidR="00402576" w:rsidRDefault="00402576">
      <w:pPr>
        <w:spacing w:before="1200"/>
      </w:pPr>
    </w:p>
    <w:p w14:paraId="547C68CF" w14:textId="77777777" w:rsidR="00402576" w:rsidRDefault="00000000">
      <w:pPr>
        <w:spacing w:after="120"/>
        <w:jc w:val="center"/>
      </w:pPr>
      <w:r>
        <w:rPr>
          <w:color w:val="555555"/>
        </w:rPr>
        <w:t>BA (Hons) Leadership and Management Skills for the Workplace</w:t>
      </w:r>
    </w:p>
    <w:p w14:paraId="43CD9E32" w14:textId="77777777" w:rsidR="00402576" w:rsidRDefault="00000000">
      <w:pPr>
        <w:spacing w:after="120"/>
        <w:jc w:val="center"/>
      </w:pPr>
      <w:r>
        <w:rPr>
          <w:color w:val="555555"/>
        </w:rPr>
        <w:t>Module: Developing and Managing Individuals and Teams (LCLM5002)</w:t>
      </w:r>
    </w:p>
    <w:p w14:paraId="423ACB91" w14:textId="77777777" w:rsidR="00402576" w:rsidRDefault="00000000">
      <w:pPr>
        <w:spacing w:before="480" w:after="200"/>
        <w:jc w:val="center"/>
      </w:pPr>
      <w:r>
        <w:rPr>
          <w:b/>
          <w:bCs/>
          <w:color w:val="1F3864"/>
          <w:sz w:val="40"/>
          <w:szCs w:val="40"/>
        </w:rPr>
        <w:t>Contemporary HR Challenges and Practices at Tesco PLC</w:t>
      </w:r>
    </w:p>
    <w:p w14:paraId="64A046A0" w14:textId="77777777" w:rsidR="00402576" w:rsidRDefault="00000000">
      <w:pPr>
        <w:spacing w:after="80"/>
        <w:jc w:val="center"/>
      </w:pPr>
      <w:r>
        <w:rPr>
          <w:i/>
          <w:iCs/>
          <w:color w:val="444444"/>
          <w:sz w:val="26"/>
          <w:szCs w:val="26"/>
        </w:rPr>
        <w:t>Component 2 – Individual Report</w:t>
      </w:r>
    </w:p>
    <w:p w14:paraId="73C256DE" w14:textId="77777777" w:rsidR="00402576" w:rsidRDefault="00402576">
      <w:pPr>
        <w:spacing w:before="600"/>
      </w:pPr>
    </w:p>
    <w:p w14:paraId="018B6E53" w14:textId="77777777" w:rsidR="00402576" w:rsidRDefault="00000000">
      <w:pPr>
        <w:spacing w:after="60"/>
        <w:jc w:val="center"/>
      </w:pPr>
      <w:r>
        <w:rPr>
          <w:b/>
          <w:bCs/>
        </w:rPr>
        <w:t xml:space="preserve">Name: </w:t>
      </w:r>
      <w:r>
        <w:t>Tiberiu Anghel</w:t>
      </w:r>
    </w:p>
    <w:p w14:paraId="5D141A60" w14:textId="77777777" w:rsidR="00402576" w:rsidRDefault="00000000">
      <w:pPr>
        <w:spacing w:after="60"/>
        <w:jc w:val="center"/>
      </w:pPr>
      <w:r>
        <w:rPr>
          <w:b/>
          <w:bCs/>
        </w:rPr>
        <w:t xml:space="preserve">Student Number: </w:t>
      </w:r>
      <w:r>
        <w:t>2422970</w:t>
      </w:r>
    </w:p>
    <w:p w14:paraId="6744C5DE" w14:textId="77777777" w:rsidR="00402576" w:rsidRDefault="00000000">
      <w:pPr>
        <w:spacing w:after="60"/>
        <w:jc w:val="center"/>
      </w:pPr>
      <w:r>
        <w:rPr>
          <w:b/>
          <w:bCs/>
        </w:rPr>
        <w:t xml:space="preserve">Module Code &amp; Title: </w:t>
      </w:r>
      <w:r>
        <w:t>LCLM5002 – Developing and Managing Individuals and Teams</w:t>
      </w:r>
    </w:p>
    <w:p w14:paraId="5467B7A7" w14:textId="77777777" w:rsidR="00402576" w:rsidRDefault="00000000">
      <w:pPr>
        <w:spacing w:after="60"/>
        <w:jc w:val="center"/>
      </w:pPr>
      <w:r>
        <w:rPr>
          <w:b/>
          <w:bCs/>
        </w:rPr>
        <w:t xml:space="preserve">Lecturer: </w:t>
      </w:r>
      <w:r>
        <w:t xml:space="preserve">Doreen Nyaa </w:t>
      </w:r>
      <w:proofErr w:type="spellStart"/>
      <w:r>
        <w:t>Amundam</w:t>
      </w:r>
      <w:proofErr w:type="spellEnd"/>
    </w:p>
    <w:p w14:paraId="29FD71FD" w14:textId="77777777" w:rsidR="00402576" w:rsidRDefault="00000000">
      <w:pPr>
        <w:spacing w:after="60"/>
        <w:jc w:val="center"/>
      </w:pPr>
      <w:r>
        <w:rPr>
          <w:b/>
          <w:bCs/>
        </w:rPr>
        <w:t xml:space="preserve">Submission Date: </w:t>
      </w:r>
      <w:r>
        <w:t>30 March 2026</w:t>
      </w:r>
    </w:p>
    <w:p w14:paraId="64D27724" w14:textId="77777777" w:rsidR="00402576" w:rsidRDefault="00000000">
      <w:r>
        <w:br/>
      </w:r>
    </w:p>
    <w:p w14:paraId="7931920A" w14:textId="77777777" w:rsidR="00402576" w:rsidRDefault="00000000">
      <w:pPr>
        <w:pStyle w:val="Heading1"/>
      </w:pPr>
      <w:r>
        <w:t>1. Introduction</w:t>
      </w:r>
    </w:p>
    <w:p w14:paraId="601B9615" w14:textId="69E67018" w:rsidR="00097403" w:rsidRPr="00097403" w:rsidRDefault="00097403" w:rsidP="00097403">
      <w:pPr>
        <w:pStyle w:val="Heading1"/>
        <w:rPr>
          <w:b w:val="0"/>
          <w:bCs w:val="0"/>
          <w:color w:val="auto"/>
          <w:sz w:val="24"/>
          <w:szCs w:val="24"/>
        </w:rPr>
      </w:pPr>
      <w:r w:rsidRPr="00097403">
        <w:rPr>
          <w:b w:val="0"/>
          <w:bCs w:val="0"/>
          <w:color w:val="auto"/>
          <w:sz w:val="24"/>
          <w:szCs w:val="24"/>
        </w:rPr>
        <w:t xml:space="preserve">Managing Human Resources (HRM) has emerged as a key strategic role in today's businesses, especially in large retail sectors where there is a lot of employee movement, the workforce is very varied, and new technology keeps coming in quickly. This paper </w:t>
      </w:r>
      <w:proofErr w:type="gramStart"/>
      <w:r w:rsidRPr="00097403">
        <w:rPr>
          <w:b w:val="0"/>
          <w:bCs w:val="0"/>
          <w:color w:val="auto"/>
          <w:sz w:val="24"/>
          <w:szCs w:val="24"/>
        </w:rPr>
        <w:t>looks into</w:t>
      </w:r>
      <w:proofErr w:type="gramEnd"/>
      <w:r w:rsidRPr="00097403">
        <w:rPr>
          <w:b w:val="0"/>
          <w:bCs w:val="0"/>
          <w:color w:val="auto"/>
          <w:sz w:val="24"/>
          <w:szCs w:val="24"/>
        </w:rPr>
        <w:t xml:space="preserve"> present HR difficulties and systems in Tesco PLC, which is among the largest and most well-known retail employers in the UK. Established in 1919, Tesco has a very wide network of stores and more than 300, 000 employees worldwide (Tesco PLC, 2023). Therefore, the HR department of such a large business should always evolve </w:t>
      </w:r>
      <w:r w:rsidRPr="00097403">
        <w:rPr>
          <w:b w:val="0"/>
          <w:bCs w:val="0"/>
          <w:color w:val="auto"/>
          <w:sz w:val="24"/>
          <w:szCs w:val="24"/>
        </w:rPr>
        <w:t>to</w:t>
      </w:r>
      <w:r w:rsidRPr="00097403">
        <w:rPr>
          <w:b w:val="0"/>
          <w:bCs w:val="0"/>
          <w:color w:val="auto"/>
          <w:sz w:val="24"/>
          <w:szCs w:val="24"/>
        </w:rPr>
        <w:t xml:space="preserve"> be efficient.</w:t>
      </w:r>
    </w:p>
    <w:p w14:paraId="1FFDF856" w14:textId="77777777" w:rsidR="00097403" w:rsidRPr="00097403" w:rsidRDefault="00097403" w:rsidP="00097403">
      <w:pPr>
        <w:pStyle w:val="Heading1"/>
        <w:rPr>
          <w:b w:val="0"/>
          <w:bCs w:val="0"/>
          <w:color w:val="auto"/>
          <w:sz w:val="24"/>
          <w:szCs w:val="24"/>
        </w:rPr>
      </w:pPr>
      <w:r w:rsidRPr="00097403">
        <w:rPr>
          <w:b w:val="0"/>
          <w:bCs w:val="0"/>
          <w:color w:val="auto"/>
          <w:sz w:val="24"/>
          <w:szCs w:val="24"/>
        </w:rPr>
        <w:t>Armstrong (2020) states that strategic HRM can be considered the main engine for giving an organisation an edge over its competitors as it helps in the alignment of staff to the wider organisational aims. The first part of this paper deals with the main recruitment and training systems that were laid down in the first part of this project. Further, it identifies three main problems for HR that are currently being faced by Tesco, the need to stay updated with the latest technological advances, recruitment and staff retention, and the implementation of Diversity, Equity and Inclusion (DEI) principles throughout the workforce. This paper not only looks at the existing ways to deal with each of these issues but also examines the role of departmental managers in making sure that these practices are carried out without delay.</w:t>
      </w:r>
    </w:p>
    <w:p w14:paraId="0212168F" w14:textId="0F6B3C88" w:rsidR="00402576" w:rsidRDefault="00000000" w:rsidP="00097403">
      <w:pPr>
        <w:pStyle w:val="Heading1"/>
      </w:pPr>
      <w:r>
        <w:t>2. Key HR Challenges Facing Tesco</w:t>
      </w:r>
    </w:p>
    <w:p w14:paraId="0AF8293E" w14:textId="77777777" w:rsidR="00402576" w:rsidRDefault="00000000">
      <w:pPr>
        <w:pStyle w:val="Heading2"/>
      </w:pPr>
      <w:r>
        <w:t>2.1 Meeting Technological Advancement</w:t>
      </w:r>
    </w:p>
    <w:p w14:paraId="7E9E9FF8" w14:textId="77777777" w:rsidR="00097403" w:rsidRPr="00097403" w:rsidRDefault="00097403" w:rsidP="00097403">
      <w:pPr>
        <w:pStyle w:val="Heading2"/>
        <w:rPr>
          <w:b w:val="0"/>
          <w:bCs w:val="0"/>
          <w:color w:val="auto"/>
        </w:rPr>
      </w:pPr>
      <w:r w:rsidRPr="00097403">
        <w:rPr>
          <w:b w:val="0"/>
          <w:bCs w:val="0"/>
          <w:color w:val="auto"/>
        </w:rPr>
        <w:lastRenderedPageBreak/>
        <w:t>The retail industry has gone through massive digital transformation lately.</w:t>
      </w:r>
    </w:p>
    <w:p w14:paraId="266BE9ED" w14:textId="295A162B" w:rsidR="00097403" w:rsidRPr="00097403" w:rsidRDefault="00097403" w:rsidP="00097403">
      <w:pPr>
        <w:pStyle w:val="Heading2"/>
        <w:rPr>
          <w:b w:val="0"/>
          <w:bCs w:val="0"/>
          <w:color w:val="auto"/>
        </w:rPr>
      </w:pPr>
      <w:r w:rsidRPr="00097403">
        <w:rPr>
          <w:b w:val="0"/>
          <w:bCs w:val="0"/>
          <w:color w:val="auto"/>
        </w:rPr>
        <w:t xml:space="preserve">There are numerous areas where Tesco is affected by these changes: permitting customers to check out goods independently, using artificial intelligence for stock control, sending a personalised </w:t>
      </w:r>
      <w:r w:rsidRPr="00097403">
        <w:rPr>
          <w:b w:val="0"/>
          <w:bCs w:val="0"/>
          <w:color w:val="auto"/>
        </w:rPr>
        <w:t>Clubcard</w:t>
      </w:r>
      <w:r w:rsidRPr="00097403">
        <w:rPr>
          <w:b w:val="0"/>
          <w:bCs w:val="0"/>
          <w:color w:val="auto"/>
        </w:rPr>
        <w:t>-related offers and the increased expectations of online grocery shopping. These alterations through technology change what skills staff both at the front and managers need.</w:t>
      </w:r>
    </w:p>
    <w:p w14:paraId="5572F8BE" w14:textId="63CDB387" w:rsidR="00097403" w:rsidRPr="00097403" w:rsidRDefault="00097403" w:rsidP="00097403">
      <w:pPr>
        <w:pStyle w:val="Heading2"/>
        <w:rPr>
          <w:b w:val="0"/>
          <w:bCs w:val="0"/>
          <w:color w:val="auto"/>
        </w:rPr>
      </w:pPr>
      <w:r w:rsidRPr="00097403">
        <w:rPr>
          <w:b w:val="0"/>
          <w:bCs w:val="0"/>
          <w:color w:val="auto"/>
        </w:rPr>
        <w:t xml:space="preserve">Technology </w:t>
      </w:r>
      <w:r w:rsidRPr="00097403">
        <w:rPr>
          <w:b w:val="0"/>
          <w:bCs w:val="0"/>
          <w:color w:val="auto"/>
        </w:rPr>
        <w:t>revolutionises</w:t>
      </w:r>
      <w:r w:rsidRPr="00097403">
        <w:rPr>
          <w:b w:val="0"/>
          <w:bCs w:val="0"/>
          <w:color w:val="auto"/>
        </w:rPr>
        <w:t xml:space="preserve"> human resource functions in two ways. Firstly, it is necessary that employees be regularly trained so that they </w:t>
      </w:r>
      <w:proofErr w:type="gramStart"/>
      <w:r w:rsidRPr="00097403">
        <w:rPr>
          <w:b w:val="0"/>
          <w:bCs w:val="0"/>
          <w:color w:val="auto"/>
        </w:rPr>
        <w:t>are able to</w:t>
      </w:r>
      <w:proofErr w:type="gramEnd"/>
      <w:r w:rsidRPr="00097403">
        <w:rPr>
          <w:b w:val="0"/>
          <w:bCs w:val="0"/>
          <w:color w:val="auto"/>
        </w:rPr>
        <w:t xml:space="preserve"> handle new tools comfortably and effectively. Secondly, it changes what one should be looking for in a potential candidate. Bratton and Gold (2017) emphasise that matching employee skills with company goals is the key to long-term success. If workers have insufficient bits of information about digital technologies, their interactions with customers are negatively affected, mistakes being more frequent and the level of costs increasing. Tesco hence should regard its human resource methods as a means of forecasting technological development rather than just as a way of reacting to it.</w:t>
      </w:r>
    </w:p>
    <w:p w14:paraId="1BE927A7" w14:textId="541C1C35" w:rsidR="00402576" w:rsidRDefault="00000000" w:rsidP="00097403">
      <w:pPr>
        <w:pStyle w:val="Heading2"/>
      </w:pPr>
      <w:r>
        <w:t>2.2 Talent Acquisition and Retention</w:t>
      </w:r>
    </w:p>
    <w:p w14:paraId="27CABC2D" w14:textId="77777777" w:rsidR="00097403" w:rsidRPr="00097403" w:rsidRDefault="00097403" w:rsidP="00097403">
      <w:pPr>
        <w:pStyle w:val="Heading2"/>
        <w:rPr>
          <w:b w:val="0"/>
          <w:bCs w:val="0"/>
          <w:color w:val="auto"/>
        </w:rPr>
      </w:pPr>
      <w:r w:rsidRPr="00097403">
        <w:rPr>
          <w:b w:val="0"/>
          <w:bCs w:val="0"/>
          <w:color w:val="auto"/>
        </w:rPr>
        <w:t xml:space="preserve">Indeed, high employee turnover is a feature of the UK retail sector, which aligns with the facts. This is not a one-off phenomenon. CIPD (2023) notes that turnover in retail on an annual basis is continuously higher than the national average. Consequently, HR teams are under huge pressure to be recruiting often, and in large numbers. In that aspect, Tesco which is heavily </w:t>
      </w:r>
      <w:proofErr w:type="spellStart"/>
      <w:r w:rsidRPr="00097403">
        <w:rPr>
          <w:b w:val="0"/>
          <w:bCs w:val="0"/>
          <w:color w:val="auto"/>
        </w:rPr>
        <w:t>dependant</w:t>
      </w:r>
      <w:proofErr w:type="spellEnd"/>
      <w:r w:rsidRPr="00097403">
        <w:rPr>
          <w:b w:val="0"/>
          <w:bCs w:val="0"/>
          <w:color w:val="auto"/>
        </w:rPr>
        <w:t xml:space="preserve"> on customer-facing staff like Customer Service Assistants, pair the task of getting and keeping the right people as being totally connected to the level of satisfaction of customers and the overall image of the brand.</w:t>
      </w:r>
    </w:p>
    <w:p w14:paraId="02356C6F" w14:textId="77777777" w:rsidR="00097403" w:rsidRDefault="00097403" w:rsidP="00097403">
      <w:pPr>
        <w:pStyle w:val="Heading2"/>
        <w:rPr>
          <w:b w:val="0"/>
          <w:bCs w:val="0"/>
          <w:color w:val="auto"/>
        </w:rPr>
      </w:pPr>
      <w:r w:rsidRPr="00097403">
        <w:rPr>
          <w:b w:val="0"/>
          <w:bCs w:val="0"/>
          <w:color w:val="auto"/>
        </w:rPr>
        <w:t>The problem gets even more difficult because of a lowering in the number of people available for work, a stronger competition from other companies for the same employees, and employees increasing their expectations of pay, flexibility, and career development. Employees do not come back just for more money anymore. They want to be doing work that is meaningful to them, in a setting where they feel safe mentally, and with chances for them to move up in the organization (Taylor, 2018). HR at Tesco, therefore, may have to create well-rounded employee value propositions that are not just about transactional employment relationships.</w:t>
      </w:r>
    </w:p>
    <w:p w14:paraId="26F3DB9D" w14:textId="067CF0FA" w:rsidR="00402576" w:rsidRDefault="00000000" w:rsidP="00097403">
      <w:pPr>
        <w:pStyle w:val="Heading2"/>
      </w:pPr>
      <w:r>
        <w:t>2.3 Diversity, Equity and Inclusion (DEI)</w:t>
      </w:r>
    </w:p>
    <w:p w14:paraId="51C9737D" w14:textId="77777777" w:rsidR="00097403" w:rsidRPr="00097403" w:rsidRDefault="00097403" w:rsidP="00097403">
      <w:pPr>
        <w:pStyle w:val="Heading1"/>
        <w:rPr>
          <w:b w:val="0"/>
          <w:bCs w:val="0"/>
          <w:color w:val="auto"/>
          <w:sz w:val="24"/>
          <w:szCs w:val="24"/>
        </w:rPr>
      </w:pPr>
      <w:r w:rsidRPr="00097403">
        <w:rPr>
          <w:b w:val="0"/>
          <w:bCs w:val="0"/>
          <w:color w:val="auto"/>
          <w:sz w:val="24"/>
          <w:szCs w:val="24"/>
        </w:rPr>
        <w:t xml:space="preserve">Tesco caters to the needs of different communities throughout the </w:t>
      </w:r>
      <w:proofErr w:type="gramStart"/>
      <w:r w:rsidRPr="00097403">
        <w:rPr>
          <w:b w:val="0"/>
          <w:bCs w:val="0"/>
          <w:color w:val="auto"/>
          <w:sz w:val="24"/>
          <w:szCs w:val="24"/>
        </w:rPr>
        <w:t>nation</w:t>
      </w:r>
      <w:proofErr w:type="gramEnd"/>
      <w:r w:rsidRPr="00097403">
        <w:rPr>
          <w:b w:val="0"/>
          <w:bCs w:val="0"/>
          <w:color w:val="auto"/>
          <w:sz w:val="24"/>
          <w:szCs w:val="24"/>
        </w:rPr>
        <w:t xml:space="preserve"> and their workforce comprises people from various ethnic, cultural, religious and socioeconomic groups. Such a wide spread of diversity, when carefully managed, can be a potent source of a company's strength. However, it also means that Tesco's HR department </w:t>
      </w:r>
      <w:proofErr w:type="gramStart"/>
      <w:r w:rsidRPr="00097403">
        <w:rPr>
          <w:b w:val="0"/>
          <w:bCs w:val="0"/>
          <w:color w:val="auto"/>
          <w:sz w:val="24"/>
          <w:szCs w:val="24"/>
        </w:rPr>
        <w:t>has to</w:t>
      </w:r>
      <w:proofErr w:type="gramEnd"/>
      <w:r w:rsidRPr="00097403">
        <w:rPr>
          <w:b w:val="0"/>
          <w:bCs w:val="0"/>
          <w:color w:val="auto"/>
          <w:sz w:val="24"/>
          <w:szCs w:val="24"/>
        </w:rPr>
        <w:t xml:space="preserve"> take great care to make sure that the recruitment, development and promotion processes remain fair. The Equality Act 2010 is the legislation that requires employers to take measures to eliminate discrimination and enhance equal opportunities </w:t>
      </w:r>
      <w:proofErr w:type="gramStart"/>
      <w:r w:rsidRPr="00097403">
        <w:rPr>
          <w:b w:val="0"/>
          <w:bCs w:val="0"/>
          <w:color w:val="auto"/>
          <w:sz w:val="24"/>
          <w:szCs w:val="24"/>
        </w:rPr>
        <w:t>in regard to</w:t>
      </w:r>
      <w:proofErr w:type="gramEnd"/>
      <w:r w:rsidRPr="00097403">
        <w:rPr>
          <w:b w:val="0"/>
          <w:bCs w:val="0"/>
          <w:color w:val="auto"/>
          <w:sz w:val="24"/>
          <w:szCs w:val="24"/>
        </w:rPr>
        <w:t xml:space="preserve"> all the nine protected characteristics.</w:t>
      </w:r>
    </w:p>
    <w:p w14:paraId="56CEAD1A" w14:textId="77777777" w:rsidR="00097403" w:rsidRDefault="00097403" w:rsidP="00097403">
      <w:pPr>
        <w:pStyle w:val="Heading1"/>
        <w:rPr>
          <w:b w:val="0"/>
          <w:bCs w:val="0"/>
          <w:color w:val="auto"/>
          <w:sz w:val="24"/>
          <w:szCs w:val="24"/>
        </w:rPr>
      </w:pPr>
      <w:r w:rsidRPr="00097403">
        <w:rPr>
          <w:b w:val="0"/>
          <w:bCs w:val="0"/>
          <w:color w:val="auto"/>
          <w:sz w:val="24"/>
          <w:szCs w:val="24"/>
        </w:rPr>
        <w:t xml:space="preserve">In fact, there is the argument that the implementation of DEI measures increases the profitability of a business apart from meeting legal standards. According to McKinsey </w:t>
      </w:r>
      <w:r w:rsidRPr="00097403">
        <w:rPr>
          <w:b w:val="0"/>
          <w:bCs w:val="0"/>
          <w:color w:val="auto"/>
          <w:sz w:val="24"/>
          <w:szCs w:val="24"/>
        </w:rPr>
        <w:lastRenderedPageBreak/>
        <w:t xml:space="preserve">(2020), companies that are among the most ethnically and gender-diverse are significantly more profitable than their industry counterparts. </w:t>
      </w:r>
      <w:proofErr w:type="gramStart"/>
      <w:r w:rsidRPr="00097403">
        <w:rPr>
          <w:b w:val="0"/>
          <w:bCs w:val="0"/>
          <w:color w:val="auto"/>
          <w:sz w:val="24"/>
          <w:szCs w:val="24"/>
        </w:rPr>
        <w:t>That being said, there</w:t>
      </w:r>
      <w:proofErr w:type="gramEnd"/>
      <w:r w:rsidRPr="00097403">
        <w:rPr>
          <w:b w:val="0"/>
          <w:bCs w:val="0"/>
          <w:color w:val="auto"/>
          <w:sz w:val="24"/>
          <w:szCs w:val="24"/>
        </w:rPr>
        <w:t xml:space="preserve"> are still several systemic barriers that hinder DEI efforts, such as unconscious bias during hiring, the scarcity of ethnic minorities and women in senior positions and unequal opportunities for learning and development, which are widespread. For Tesco's HR department, finding solutions to these problems is a moral requirement as well as a business strategy.</w:t>
      </w:r>
    </w:p>
    <w:p w14:paraId="7D2E6933" w14:textId="666BF624" w:rsidR="00402576" w:rsidRDefault="00000000" w:rsidP="00097403">
      <w:pPr>
        <w:pStyle w:val="Heading1"/>
      </w:pPr>
      <w:r>
        <w:t>3. Contemporary HR Practices to Address Each Challenge</w:t>
      </w:r>
    </w:p>
    <w:p w14:paraId="7886B45F" w14:textId="77777777" w:rsidR="00402576" w:rsidRPr="00097403" w:rsidRDefault="00000000">
      <w:pPr>
        <w:pStyle w:val="Heading2"/>
      </w:pPr>
      <w:r w:rsidRPr="00097403">
        <w:t>3.1 Addressing Technological Advancement: Digital Upskilling and e-Learning</w:t>
      </w:r>
    </w:p>
    <w:p w14:paraId="37DBC649" w14:textId="313A01B0" w:rsidR="00097403" w:rsidRPr="00097403" w:rsidRDefault="00097403" w:rsidP="00097403">
      <w:pPr>
        <w:pStyle w:val="Heading2"/>
        <w:rPr>
          <w:b w:val="0"/>
          <w:bCs w:val="0"/>
          <w:color w:val="auto"/>
        </w:rPr>
      </w:pPr>
      <w:r w:rsidRPr="00097403">
        <w:rPr>
          <w:b w:val="0"/>
          <w:bCs w:val="0"/>
          <w:color w:val="auto"/>
        </w:rPr>
        <w:t xml:space="preserve">To fill the skills gap arising from technological advancements, Tesco might consider rolling out digital upskilling programmes via e-learning platforms. Modern HR acknowledges that learning </w:t>
      </w:r>
      <w:r w:rsidRPr="00097403">
        <w:rPr>
          <w:b w:val="0"/>
          <w:bCs w:val="0"/>
          <w:color w:val="auto"/>
        </w:rPr>
        <w:t>must</w:t>
      </w:r>
      <w:r w:rsidRPr="00097403">
        <w:rPr>
          <w:b w:val="0"/>
          <w:bCs w:val="0"/>
          <w:color w:val="auto"/>
        </w:rPr>
        <w:t xml:space="preserve"> be accessible, flexible, and relevant to the employee's role. Kolb's Experiential Learning Theory (1984) is an excellent theoretical base here. It supports learning through repeated experiencing, reflecting, thinking, and trying. Ita going to Tesco, it could be the employees' work with e-learning modules, making use of computer-based training, thinking about their learning through the data, and finally, putting their learning into practice during store operations.</w:t>
      </w:r>
    </w:p>
    <w:p w14:paraId="670AC5F5" w14:textId="77777777" w:rsidR="00097403" w:rsidRPr="00097403" w:rsidRDefault="00097403" w:rsidP="00097403">
      <w:pPr>
        <w:pStyle w:val="Heading2"/>
        <w:rPr>
          <w:b w:val="0"/>
          <w:bCs w:val="0"/>
          <w:color w:val="auto"/>
        </w:rPr>
      </w:pPr>
      <w:r w:rsidRPr="00097403">
        <w:rPr>
          <w:b w:val="0"/>
          <w:bCs w:val="0"/>
          <w:color w:val="auto"/>
        </w:rPr>
        <w:t>Moreover, Training Needs Analysis (TNA) should be undertaken in a thorough manner to pinpoint exact skills shortages prior to planning training programmes. Armstrong (2020) points out that TNA makes sure that training is not merely generic, but focused and cost-effective. For instance, a TNA for a Customer Service Assistant might unearth opportunities for training in digital till operation, self-checkout supervision, or online order picking, so that HR will be able to come up with the most appropriate training components. Also, it has been widely reported that Tesco has put up its own internal learning platform, the 'Tesco Academy, ' which enables very efficient large-scale training of digitally competent staff (Tesco PLC, 2023).</w:t>
      </w:r>
    </w:p>
    <w:p w14:paraId="3824AE1E" w14:textId="4F1EAE1F" w:rsidR="00402576" w:rsidRDefault="00000000" w:rsidP="00097403">
      <w:pPr>
        <w:pStyle w:val="Heading2"/>
      </w:pPr>
      <w:r>
        <w:t>3.2 Addressing Talent Acquisition and Retention: Employer Branding and Career Pathways</w:t>
      </w:r>
    </w:p>
    <w:p w14:paraId="5F5DA121" w14:textId="77777777" w:rsidR="00097403" w:rsidRPr="00097403" w:rsidRDefault="00097403" w:rsidP="00097403">
      <w:pPr>
        <w:pStyle w:val="Heading2"/>
        <w:rPr>
          <w:b w:val="0"/>
          <w:bCs w:val="0"/>
          <w:color w:val="auto"/>
        </w:rPr>
      </w:pPr>
      <w:r w:rsidRPr="00097403">
        <w:rPr>
          <w:b w:val="0"/>
          <w:bCs w:val="0"/>
          <w:color w:val="auto"/>
        </w:rPr>
        <w:t>Employer branding the proactive management of an organization's reputation as a desirable employer is being recognized by contemporary recruitment practice as an important factor. For Tesco, it is about conveying a powerful story that highlights career development, work-life balance, competitive pay, and an inclusive culture. Bratton and Gold (2017) suggest that with a good employer brand, recruitment costs fall as the company attracts high-quality candidates naturally.</w:t>
      </w:r>
    </w:p>
    <w:p w14:paraId="6B36E7F3" w14:textId="77777777" w:rsidR="00097403" w:rsidRPr="00097403" w:rsidRDefault="00097403" w:rsidP="00097403">
      <w:pPr>
        <w:pStyle w:val="Heading2"/>
        <w:rPr>
          <w:b w:val="0"/>
          <w:bCs w:val="0"/>
          <w:color w:val="auto"/>
        </w:rPr>
      </w:pPr>
      <w:r w:rsidRPr="00097403">
        <w:rPr>
          <w:b w:val="0"/>
          <w:bCs w:val="0"/>
          <w:color w:val="auto"/>
        </w:rPr>
        <w:t>Regarding retention, establishing clear career paths is a very effective modern practice. Employees who are aware of their potential progression in a company, for instance from Customer Service Assistant to Team Leader to Department Manager are usually more motivated and engaged, hence will be less likely to leave. Taylor (2018) points out that one of the main reasons why employees choose to stay is career development opportunities. Tesco can add to this through frequent performance appraisals, mentoring programs, and internal advertising of vacancies that especially favour promotion from within, which send a message to employees that their contribution is truly appreciated.</w:t>
      </w:r>
    </w:p>
    <w:p w14:paraId="585F1CAB" w14:textId="38CEA905" w:rsidR="00402576" w:rsidRDefault="00000000" w:rsidP="00097403">
      <w:pPr>
        <w:pStyle w:val="Heading2"/>
      </w:pPr>
      <w:r>
        <w:lastRenderedPageBreak/>
        <w:t>3.3 Addressing DEI: Inclusive Recruitment and Unconscious Bias Training</w:t>
      </w:r>
    </w:p>
    <w:p w14:paraId="5FAC6221" w14:textId="26370E15" w:rsidR="00097403" w:rsidRPr="00097403" w:rsidRDefault="00097403" w:rsidP="00097403">
      <w:pPr>
        <w:pStyle w:val="Heading1"/>
        <w:rPr>
          <w:b w:val="0"/>
          <w:bCs w:val="0"/>
          <w:color w:val="auto"/>
          <w:sz w:val="24"/>
          <w:szCs w:val="24"/>
        </w:rPr>
      </w:pPr>
      <w:r w:rsidRPr="00097403">
        <w:rPr>
          <w:b w:val="0"/>
          <w:bCs w:val="0"/>
          <w:color w:val="auto"/>
          <w:sz w:val="24"/>
          <w:szCs w:val="24"/>
        </w:rPr>
        <w:t xml:space="preserve">Along these lines, if Tesco wishes to incorporating real diversity, equity, and inclusion (DEI) in their workplace, implementing competency-based interviewing will be a step towards getting objective instead of subjective evaluations of candidates by using pre-existing criteria. This goes together with the person specification method described in Component 1 where a clear set of essential and desirable criteria is first created before the recruitment process starts </w:t>
      </w:r>
      <w:r w:rsidRPr="00097403">
        <w:rPr>
          <w:b w:val="0"/>
          <w:bCs w:val="0"/>
          <w:color w:val="auto"/>
          <w:sz w:val="24"/>
          <w:szCs w:val="24"/>
        </w:rPr>
        <w:t>to</w:t>
      </w:r>
      <w:r w:rsidRPr="00097403">
        <w:rPr>
          <w:b w:val="0"/>
          <w:bCs w:val="0"/>
          <w:color w:val="auto"/>
          <w:sz w:val="24"/>
          <w:szCs w:val="24"/>
        </w:rPr>
        <w:t xml:space="preserve"> lower the possibility of biased decision-making.</w:t>
      </w:r>
    </w:p>
    <w:p w14:paraId="28B086CB" w14:textId="37C710B7" w:rsidR="00097403" w:rsidRPr="00097403" w:rsidRDefault="00097403" w:rsidP="00097403">
      <w:pPr>
        <w:pStyle w:val="Heading1"/>
        <w:rPr>
          <w:b w:val="0"/>
          <w:bCs w:val="0"/>
          <w:color w:val="auto"/>
          <w:sz w:val="24"/>
          <w:szCs w:val="24"/>
        </w:rPr>
      </w:pPr>
      <w:r w:rsidRPr="00097403">
        <w:rPr>
          <w:b w:val="0"/>
          <w:bCs w:val="0"/>
          <w:color w:val="auto"/>
          <w:sz w:val="24"/>
          <w:szCs w:val="24"/>
        </w:rPr>
        <w:t xml:space="preserve">In addition to recruitment, unconscious bias training needs to be a regular part of management development programmes. Based on the findings of Noon (2018), even the best-intentioned managers have </w:t>
      </w:r>
      <w:r w:rsidRPr="00097403">
        <w:rPr>
          <w:b w:val="0"/>
          <w:bCs w:val="0"/>
          <w:color w:val="auto"/>
          <w:sz w:val="24"/>
          <w:szCs w:val="24"/>
        </w:rPr>
        <w:t>the recognize</w:t>
      </w:r>
      <w:r w:rsidRPr="00097403">
        <w:rPr>
          <w:b w:val="0"/>
          <w:bCs w:val="0"/>
          <w:color w:val="auto"/>
          <w:sz w:val="24"/>
          <w:szCs w:val="24"/>
        </w:rPr>
        <w:t xml:space="preserve"> certain cognitive biases that influence their decisions on hiring, performance management, and promotion. By exposing these biases </w:t>
      </w:r>
      <w:proofErr w:type="gramStart"/>
      <w:r w:rsidRPr="00097403">
        <w:rPr>
          <w:b w:val="0"/>
          <w:bCs w:val="0"/>
          <w:color w:val="auto"/>
          <w:sz w:val="24"/>
          <w:szCs w:val="24"/>
        </w:rPr>
        <w:t xml:space="preserve">and </w:t>
      </w:r>
      <w:r w:rsidRPr="00097403">
        <w:rPr>
          <w:b w:val="0"/>
          <w:bCs w:val="0"/>
          <w:color w:val="auto"/>
          <w:sz w:val="24"/>
          <w:szCs w:val="24"/>
        </w:rPr>
        <w:t>also</w:t>
      </w:r>
      <w:proofErr w:type="gramEnd"/>
      <w:r w:rsidRPr="00097403">
        <w:rPr>
          <w:b w:val="0"/>
          <w:bCs w:val="0"/>
          <w:color w:val="auto"/>
          <w:sz w:val="24"/>
          <w:szCs w:val="24"/>
        </w:rPr>
        <w:t xml:space="preserve"> providing</w:t>
      </w:r>
      <w:r w:rsidRPr="00097403">
        <w:rPr>
          <w:b w:val="0"/>
          <w:bCs w:val="0"/>
          <w:color w:val="auto"/>
          <w:sz w:val="24"/>
          <w:szCs w:val="24"/>
        </w:rPr>
        <w:t xml:space="preserve"> managers with tools that help counter them, organisations </w:t>
      </w:r>
      <w:r w:rsidRPr="00097403">
        <w:rPr>
          <w:b w:val="0"/>
          <w:bCs w:val="0"/>
          <w:color w:val="auto"/>
          <w:sz w:val="24"/>
          <w:szCs w:val="24"/>
        </w:rPr>
        <w:t>can create</w:t>
      </w:r>
      <w:r w:rsidRPr="00097403">
        <w:rPr>
          <w:b w:val="0"/>
          <w:bCs w:val="0"/>
          <w:color w:val="auto"/>
          <w:sz w:val="24"/>
          <w:szCs w:val="24"/>
        </w:rPr>
        <w:t xml:space="preserve"> more equitable processes. In addition, Tesco could think </w:t>
      </w:r>
      <w:r w:rsidRPr="00097403">
        <w:rPr>
          <w:b w:val="0"/>
          <w:bCs w:val="0"/>
          <w:color w:val="auto"/>
          <w:sz w:val="24"/>
          <w:szCs w:val="24"/>
        </w:rPr>
        <w:t>about getting</w:t>
      </w:r>
      <w:r w:rsidRPr="00097403">
        <w:rPr>
          <w:b w:val="0"/>
          <w:bCs w:val="0"/>
          <w:color w:val="auto"/>
          <w:sz w:val="24"/>
          <w:szCs w:val="24"/>
        </w:rPr>
        <w:t xml:space="preserve"> and keeping track of measurable DEI targets, e.g. representation </w:t>
      </w:r>
      <w:r w:rsidRPr="00097403">
        <w:rPr>
          <w:b w:val="0"/>
          <w:bCs w:val="0"/>
          <w:color w:val="auto"/>
          <w:sz w:val="24"/>
          <w:szCs w:val="24"/>
        </w:rPr>
        <w:t>of ethnic</w:t>
      </w:r>
      <w:r w:rsidRPr="00097403">
        <w:rPr>
          <w:b w:val="0"/>
          <w:bCs w:val="0"/>
          <w:color w:val="auto"/>
          <w:sz w:val="24"/>
          <w:szCs w:val="24"/>
        </w:rPr>
        <w:t xml:space="preserve"> minorities in supervisory positions, and making public their </w:t>
      </w:r>
      <w:r w:rsidRPr="00097403">
        <w:rPr>
          <w:b w:val="0"/>
          <w:bCs w:val="0"/>
          <w:color w:val="auto"/>
          <w:sz w:val="24"/>
          <w:szCs w:val="24"/>
        </w:rPr>
        <w:t>annual progress</w:t>
      </w:r>
      <w:r w:rsidRPr="00097403">
        <w:rPr>
          <w:b w:val="0"/>
          <w:bCs w:val="0"/>
          <w:color w:val="auto"/>
          <w:sz w:val="24"/>
          <w:szCs w:val="24"/>
        </w:rPr>
        <w:t xml:space="preserve"> reports to foster accountability.</w:t>
      </w:r>
    </w:p>
    <w:p w14:paraId="285C1BE7" w14:textId="160DC0F7" w:rsidR="00402576" w:rsidRDefault="00000000" w:rsidP="00097403">
      <w:pPr>
        <w:pStyle w:val="Heading1"/>
      </w:pPr>
      <w:r>
        <w:t>4. How Departmental Managers Can Ensure Urgent Implementation</w:t>
      </w:r>
    </w:p>
    <w:p w14:paraId="5721A215" w14:textId="77777777" w:rsidR="009348F7" w:rsidRPr="009348F7" w:rsidRDefault="009348F7" w:rsidP="009348F7">
      <w:pPr>
        <w:pStyle w:val="Heading1"/>
        <w:rPr>
          <w:b w:val="0"/>
          <w:bCs w:val="0"/>
          <w:color w:val="auto"/>
          <w:sz w:val="24"/>
          <w:szCs w:val="24"/>
        </w:rPr>
      </w:pPr>
      <w:r w:rsidRPr="009348F7">
        <w:rPr>
          <w:b w:val="0"/>
          <w:bCs w:val="0"/>
          <w:color w:val="auto"/>
          <w:sz w:val="24"/>
          <w:szCs w:val="24"/>
        </w:rPr>
        <w:t xml:space="preserve">Though HR departments are responsible for designing policies and frameworks, it is in the end departmental managers who bring these to life in the workplace. Their involvement is thus essential for the effective implementation of modern HR strategies. On the other hand, the disconnect between a policy's objective and its execution is a frequent issue. Armstrong (2020) points out that line managers not having the necessary skills, confidence, or drive is one of the main reasons why HR strategies do not get implemented properly, </w:t>
      </w:r>
      <w:proofErr w:type="gramStart"/>
      <w:r w:rsidRPr="009348F7">
        <w:rPr>
          <w:b w:val="0"/>
          <w:bCs w:val="0"/>
          <w:color w:val="auto"/>
          <w:sz w:val="24"/>
          <w:szCs w:val="24"/>
        </w:rPr>
        <w:t>despite the fact that</w:t>
      </w:r>
      <w:proofErr w:type="gramEnd"/>
      <w:r w:rsidRPr="009348F7">
        <w:rPr>
          <w:b w:val="0"/>
          <w:bCs w:val="0"/>
          <w:color w:val="auto"/>
          <w:sz w:val="24"/>
          <w:szCs w:val="24"/>
        </w:rPr>
        <w:t xml:space="preserve"> the strategies themselves are usually well thought out.</w:t>
      </w:r>
    </w:p>
    <w:p w14:paraId="4053D905" w14:textId="77777777" w:rsidR="009348F7" w:rsidRPr="009348F7" w:rsidRDefault="009348F7" w:rsidP="009348F7">
      <w:pPr>
        <w:pStyle w:val="Heading1"/>
        <w:rPr>
          <w:b w:val="0"/>
          <w:bCs w:val="0"/>
          <w:color w:val="auto"/>
          <w:sz w:val="24"/>
          <w:szCs w:val="24"/>
        </w:rPr>
      </w:pPr>
      <w:r w:rsidRPr="009348F7">
        <w:rPr>
          <w:b w:val="0"/>
          <w:bCs w:val="0"/>
          <w:color w:val="auto"/>
          <w:sz w:val="24"/>
          <w:szCs w:val="24"/>
        </w:rPr>
        <w:t>The implementation of digital upskilling requires the energetic support of store managers who must encourage the workforce to participate in the training by setting explicit deadlines for the completion of courses and checking the adherence to these using HR information systems. For those employees who are hesitant to work with new technologies, it is the managers' responsibility to formulate psychologically safe environments where the learners' errors during the learning phase are considered as developmental rather than punishable. Skinner's (1953) behaviourist principles are still applicable here: positive reinforcement, recognizing and awarding the development of skills, can speed up the acquisition of new competencies.</w:t>
      </w:r>
    </w:p>
    <w:p w14:paraId="6BB9630A" w14:textId="77777777" w:rsidR="009348F7" w:rsidRPr="009348F7" w:rsidRDefault="009348F7" w:rsidP="009348F7">
      <w:pPr>
        <w:pStyle w:val="Heading1"/>
        <w:rPr>
          <w:b w:val="0"/>
          <w:bCs w:val="0"/>
          <w:color w:val="auto"/>
          <w:sz w:val="24"/>
          <w:szCs w:val="24"/>
        </w:rPr>
      </w:pPr>
      <w:r w:rsidRPr="009348F7">
        <w:rPr>
          <w:b w:val="0"/>
          <w:bCs w:val="0"/>
          <w:color w:val="auto"/>
          <w:sz w:val="24"/>
          <w:szCs w:val="24"/>
        </w:rPr>
        <w:t xml:space="preserve">Regarding talent retention, departmental managers are expected to have frequent and formal one-to-one discussions with employees </w:t>
      </w:r>
      <w:proofErr w:type="gramStart"/>
      <w:r w:rsidRPr="009348F7">
        <w:rPr>
          <w:b w:val="0"/>
          <w:bCs w:val="0"/>
          <w:color w:val="auto"/>
          <w:sz w:val="24"/>
          <w:szCs w:val="24"/>
        </w:rPr>
        <w:t>in order to</w:t>
      </w:r>
      <w:proofErr w:type="gramEnd"/>
      <w:r w:rsidRPr="009348F7">
        <w:rPr>
          <w:b w:val="0"/>
          <w:bCs w:val="0"/>
          <w:color w:val="auto"/>
          <w:sz w:val="24"/>
          <w:szCs w:val="24"/>
        </w:rPr>
        <w:t xml:space="preserve"> discover what their career goals are and deal with any issues that could lead to a decision to resign. CIPD (2023) points out that bad relations with managers are one of the main reasons why people voluntarily leave the retail industry. Managers should be able to perform stay interviews, which are conversations that look at what motivates an individual and what may cause them to leave, instead of only relying on exit interviews that are largely retrospective.</w:t>
      </w:r>
    </w:p>
    <w:p w14:paraId="421968C0" w14:textId="77777777" w:rsidR="009348F7" w:rsidRPr="009348F7" w:rsidRDefault="009348F7" w:rsidP="009348F7">
      <w:pPr>
        <w:pStyle w:val="Heading1"/>
        <w:rPr>
          <w:b w:val="0"/>
          <w:bCs w:val="0"/>
          <w:color w:val="auto"/>
          <w:sz w:val="24"/>
          <w:szCs w:val="24"/>
        </w:rPr>
      </w:pPr>
      <w:r w:rsidRPr="009348F7">
        <w:rPr>
          <w:b w:val="0"/>
          <w:bCs w:val="0"/>
          <w:color w:val="auto"/>
          <w:sz w:val="24"/>
          <w:szCs w:val="24"/>
        </w:rPr>
        <w:lastRenderedPageBreak/>
        <w:t xml:space="preserve">As far as DEI is concerned, departmental managers must go beyond mere compliance to active inclusion. This implies that they will not only ensure that team meetings are carried out in a manner that encourages contributions from everyone, but also that performance evaluations will be standardized </w:t>
      </w:r>
      <w:proofErr w:type="gramStart"/>
      <w:r w:rsidRPr="009348F7">
        <w:rPr>
          <w:b w:val="0"/>
          <w:bCs w:val="0"/>
          <w:color w:val="auto"/>
          <w:sz w:val="24"/>
          <w:szCs w:val="24"/>
        </w:rPr>
        <w:t>in order to</w:t>
      </w:r>
      <w:proofErr w:type="gramEnd"/>
      <w:r w:rsidRPr="009348F7">
        <w:rPr>
          <w:b w:val="0"/>
          <w:bCs w:val="0"/>
          <w:color w:val="auto"/>
          <w:sz w:val="24"/>
          <w:szCs w:val="24"/>
        </w:rPr>
        <w:t xml:space="preserve"> minimize variations due to subjectivity and that any act of discrimination will be addressed immediately and consistently. Noon (2018) believes that inclusive management </w:t>
      </w:r>
      <w:proofErr w:type="spellStart"/>
      <w:r w:rsidRPr="009348F7">
        <w:rPr>
          <w:b w:val="0"/>
          <w:bCs w:val="0"/>
          <w:color w:val="auto"/>
          <w:sz w:val="24"/>
          <w:szCs w:val="24"/>
        </w:rPr>
        <w:t>behavior</w:t>
      </w:r>
      <w:proofErr w:type="spellEnd"/>
      <w:r w:rsidRPr="009348F7">
        <w:rPr>
          <w:b w:val="0"/>
          <w:bCs w:val="0"/>
          <w:color w:val="auto"/>
          <w:sz w:val="24"/>
          <w:szCs w:val="24"/>
        </w:rPr>
        <w:t xml:space="preserve"> should become a clear performance requirement which is measured through appraisals and linked to progression criteria for managers themselves.</w:t>
      </w:r>
    </w:p>
    <w:p w14:paraId="0221418E" w14:textId="77777777" w:rsidR="009348F7" w:rsidRPr="009348F7" w:rsidRDefault="009348F7" w:rsidP="009348F7">
      <w:pPr>
        <w:pStyle w:val="Heading1"/>
        <w:rPr>
          <w:b w:val="0"/>
          <w:bCs w:val="0"/>
          <w:color w:val="auto"/>
          <w:sz w:val="24"/>
          <w:szCs w:val="24"/>
        </w:rPr>
      </w:pPr>
      <w:r w:rsidRPr="009348F7">
        <w:rPr>
          <w:b w:val="0"/>
          <w:bCs w:val="0"/>
          <w:color w:val="auto"/>
          <w:sz w:val="24"/>
          <w:szCs w:val="24"/>
        </w:rPr>
        <w:t>Important is the recognition that the effectiveness of managerial implementation highly depends on senior leadership providing adequate support. Even the most motivated store managers would find it difficult to set aside HR practices in the face of immediate operational demands if Tesco's executive team is not visibly committed and if sufficient time and resources are not allocated. Hence, a cascading approach where senior leaders not only demonstrate but also require the behaviours that are expected at the team level is indispensable for systemic change.</w:t>
      </w:r>
    </w:p>
    <w:p w14:paraId="6A93C78A" w14:textId="6485F552" w:rsidR="00402576" w:rsidRDefault="00000000" w:rsidP="009348F7">
      <w:pPr>
        <w:pStyle w:val="Heading1"/>
      </w:pPr>
      <w:r>
        <w:t>5. Conclusion and Recommendations</w:t>
      </w:r>
    </w:p>
    <w:p w14:paraId="3F5F0863" w14:textId="5F1F700E" w:rsidR="009348F7" w:rsidRPr="009348F7" w:rsidRDefault="009348F7" w:rsidP="009348F7">
      <w:pPr>
        <w:rPr>
          <w:sz w:val="24"/>
          <w:szCs w:val="24"/>
        </w:rPr>
      </w:pPr>
      <w:r w:rsidRPr="009348F7">
        <w:rPr>
          <w:sz w:val="24"/>
          <w:szCs w:val="24"/>
        </w:rPr>
        <w:t>This report has examined three key HR challenges confronting Tesco: technological advancement, talent acquisition and retention, and DEI. In each case, contemporary HR practices – ranging from digital upskilling through Kolb's experiential learning model, to structured employer branding and competency-based inclusive recruitment – offer viable solutions when implemented with rigour and consistency. The pivotal role of departmental managers in translating policy into practice has been critically highlighted, along with the need for senior leadership commitment to create the conditions for meaningful change.</w:t>
      </w:r>
      <w:r>
        <w:rPr>
          <w:sz w:val="24"/>
          <w:szCs w:val="24"/>
        </w:rPr>
        <w:t xml:space="preserve"> </w:t>
      </w:r>
      <w:r w:rsidRPr="009348F7">
        <w:rPr>
          <w:sz w:val="24"/>
          <w:szCs w:val="24"/>
        </w:rPr>
        <w:t>Based on</w:t>
      </w:r>
      <w:r w:rsidRPr="009348F7">
        <w:rPr>
          <w:sz w:val="24"/>
          <w:szCs w:val="24"/>
        </w:rPr>
        <w:t xml:space="preserve"> this analysis, the following recommendations are made for Tesco's HR function:</w:t>
      </w:r>
      <w:r>
        <w:rPr>
          <w:sz w:val="24"/>
          <w:szCs w:val="24"/>
        </w:rPr>
        <w:t xml:space="preserve"> </w:t>
      </w:r>
      <w:r w:rsidRPr="009348F7">
        <w:rPr>
          <w:sz w:val="24"/>
          <w:szCs w:val="24"/>
        </w:rPr>
        <w:t>Conduct an annual organisation-wide Training Needs Analysis to identify digital skills gaps and commission targeted e-learning interventions accordingly.</w:t>
      </w:r>
    </w:p>
    <w:p w14:paraId="29AF2531" w14:textId="273779E0" w:rsidR="009348F7" w:rsidRPr="009348F7" w:rsidRDefault="009348F7" w:rsidP="009348F7">
      <w:pPr>
        <w:rPr>
          <w:sz w:val="24"/>
          <w:szCs w:val="24"/>
        </w:rPr>
      </w:pPr>
      <w:r w:rsidRPr="009348F7">
        <w:rPr>
          <w:sz w:val="24"/>
          <w:szCs w:val="24"/>
        </w:rPr>
        <w:t>Strengthen employer branding efforts across digital platforms to attract diverse, high-quality candidates, and introduce structured career pathways for all customer-facing roles.</w:t>
      </w:r>
      <w:r>
        <w:rPr>
          <w:sz w:val="24"/>
          <w:szCs w:val="24"/>
        </w:rPr>
        <w:t xml:space="preserve"> </w:t>
      </w:r>
      <w:r w:rsidRPr="009348F7">
        <w:rPr>
          <w:sz w:val="24"/>
          <w:szCs w:val="24"/>
        </w:rPr>
        <w:t>Embed unconscious bias training within all management development programmes and introduce measurable DEI representation targets with public accountability reporting.</w:t>
      </w:r>
      <w:r>
        <w:rPr>
          <w:sz w:val="24"/>
          <w:szCs w:val="24"/>
        </w:rPr>
        <w:t xml:space="preserve"> </w:t>
      </w:r>
      <w:r w:rsidRPr="009348F7">
        <w:rPr>
          <w:sz w:val="24"/>
          <w:szCs w:val="24"/>
        </w:rPr>
        <w:t>Invest in management capability development, equipping store and department managers with the coaching, communication, and HR skills necessary to implement contemporary practices effectively.</w:t>
      </w:r>
      <w:r>
        <w:rPr>
          <w:sz w:val="24"/>
          <w:szCs w:val="24"/>
        </w:rPr>
        <w:t xml:space="preserve"> </w:t>
      </w:r>
      <w:r w:rsidRPr="009348F7">
        <w:rPr>
          <w:sz w:val="24"/>
          <w:szCs w:val="24"/>
        </w:rPr>
        <w:t>Ensure senior leadership visibly champions these initiatives, reinforcing their strategic importance through internal communications, performance frameworks, and resource allocation decisions.</w:t>
      </w:r>
    </w:p>
    <w:p w14:paraId="7263495D" w14:textId="77777777" w:rsidR="009348F7" w:rsidRDefault="009348F7"/>
    <w:p w14:paraId="05019A3F" w14:textId="77777777" w:rsidR="009348F7" w:rsidRDefault="009348F7"/>
    <w:p w14:paraId="4096C6C2" w14:textId="77777777" w:rsidR="009348F7" w:rsidRDefault="009348F7"/>
    <w:p w14:paraId="6FE02A24" w14:textId="77777777" w:rsidR="009348F7" w:rsidRDefault="009348F7"/>
    <w:p w14:paraId="585CC02D" w14:textId="77777777" w:rsidR="009348F7" w:rsidRDefault="009348F7"/>
    <w:p w14:paraId="77B07470" w14:textId="77777777" w:rsidR="009348F7" w:rsidRDefault="009348F7"/>
    <w:p w14:paraId="2B22011D" w14:textId="77777777" w:rsidR="009348F7" w:rsidRDefault="009348F7"/>
    <w:p w14:paraId="30F4B890" w14:textId="77777777" w:rsidR="009348F7" w:rsidRDefault="009348F7"/>
    <w:p w14:paraId="752D4BA0" w14:textId="77777777" w:rsidR="009348F7" w:rsidRDefault="009348F7"/>
    <w:p w14:paraId="57432356" w14:textId="77777777" w:rsidR="009348F7" w:rsidRDefault="009348F7"/>
    <w:p w14:paraId="7E519912" w14:textId="65BB2339" w:rsidR="00402576" w:rsidRDefault="00000000">
      <w:r>
        <w:br/>
      </w:r>
    </w:p>
    <w:p w14:paraId="1B6A3157" w14:textId="77777777" w:rsidR="00402576" w:rsidRDefault="00000000">
      <w:pPr>
        <w:pStyle w:val="Heading1"/>
      </w:pPr>
      <w:r>
        <w:lastRenderedPageBreak/>
        <w:t>References</w:t>
      </w:r>
    </w:p>
    <w:p w14:paraId="53F39C5D" w14:textId="77777777" w:rsidR="00402576" w:rsidRDefault="00000000">
      <w:pPr>
        <w:spacing w:after="120"/>
        <w:ind w:left="720" w:hanging="720"/>
        <w:jc w:val="both"/>
      </w:pPr>
      <w:r>
        <w:t xml:space="preserve">Armstrong, M. (2020) Armstrong’s Handbook of Human Resource Management Practice. 15th </w:t>
      </w:r>
      <w:proofErr w:type="spellStart"/>
      <w:r>
        <w:t>edn</w:t>
      </w:r>
      <w:proofErr w:type="spellEnd"/>
      <w:r>
        <w:t>. London: Kogan Page.</w:t>
      </w:r>
    </w:p>
    <w:p w14:paraId="43C279BF" w14:textId="77777777" w:rsidR="00402576" w:rsidRDefault="00000000">
      <w:pPr>
        <w:spacing w:after="120"/>
        <w:ind w:left="720" w:hanging="720"/>
        <w:jc w:val="both"/>
      </w:pPr>
      <w:r>
        <w:t xml:space="preserve">Bratton, J. and Gold, J. (2017) Human Resource Management: Theory and Practice. 6th </w:t>
      </w:r>
      <w:proofErr w:type="spellStart"/>
      <w:r>
        <w:t>edn</w:t>
      </w:r>
      <w:proofErr w:type="spellEnd"/>
      <w:r>
        <w:t>. London: Palgrave Macmillan.</w:t>
      </w:r>
    </w:p>
    <w:p w14:paraId="16C565B0" w14:textId="77777777" w:rsidR="00402576" w:rsidRDefault="00000000">
      <w:pPr>
        <w:spacing w:after="120"/>
        <w:ind w:left="720" w:hanging="720"/>
        <w:jc w:val="both"/>
      </w:pPr>
      <w:r>
        <w:t>CIPD (2023) Resourcing and Talent Planning Survey. London: Chartered Institute of Personnel and Development.</w:t>
      </w:r>
    </w:p>
    <w:p w14:paraId="2DDAC77D" w14:textId="77777777" w:rsidR="00402576" w:rsidRDefault="00000000">
      <w:pPr>
        <w:spacing w:after="120"/>
        <w:ind w:left="720" w:hanging="720"/>
        <w:jc w:val="both"/>
      </w:pPr>
      <w:r>
        <w:t>Equality Act 2010. c. 15. London: HMSO.</w:t>
      </w:r>
    </w:p>
    <w:p w14:paraId="3D23C2E1" w14:textId="77777777" w:rsidR="00402576" w:rsidRDefault="00000000">
      <w:pPr>
        <w:spacing w:after="120"/>
        <w:ind w:left="720" w:hanging="720"/>
        <w:jc w:val="both"/>
      </w:pPr>
      <w:r>
        <w:t>Kolb, D.A. (1984) Experiential Learning: Experience as the Source of Learning and Development. Englewood Cliffs: Prentice Hall.</w:t>
      </w:r>
    </w:p>
    <w:p w14:paraId="1FF7FB9F" w14:textId="77777777" w:rsidR="00402576" w:rsidRDefault="00000000">
      <w:pPr>
        <w:spacing w:after="120"/>
        <w:ind w:left="720" w:hanging="720"/>
        <w:jc w:val="both"/>
      </w:pPr>
      <w:r>
        <w:t>McKinsey &amp; Company (2020) Diversity Wins: How Inclusion Matters. Available at: https://www.mckinsey.com [Accessed 25 March 2026].</w:t>
      </w:r>
    </w:p>
    <w:p w14:paraId="077CB9FD" w14:textId="77777777" w:rsidR="00402576" w:rsidRDefault="00000000">
      <w:pPr>
        <w:spacing w:after="120"/>
        <w:ind w:left="720" w:hanging="720"/>
        <w:jc w:val="both"/>
      </w:pPr>
      <w:r>
        <w:t>Noon, M. (2018) ‘Pointless Diversity Training: Unconscious Bias, New Racism and Agency’, Work, Employment and Society, 32(1), pp. 198–209.</w:t>
      </w:r>
    </w:p>
    <w:p w14:paraId="56F7CD5D" w14:textId="77777777" w:rsidR="00402576" w:rsidRDefault="00000000">
      <w:pPr>
        <w:spacing w:after="120"/>
        <w:ind w:left="720" w:hanging="720"/>
        <w:jc w:val="both"/>
      </w:pPr>
      <w:r>
        <w:t xml:space="preserve">Skinner, B.F. (1953) Science and Human </w:t>
      </w:r>
      <w:proofErr w:type="spellStart"/>
      <w:r>
        <w:t>Behavior</w:t>
      </w:r>
      <w:proofErr w:type="spellEnd"/>
      <w:r>
        <w:t>. New York: Free Press.</w:t>
      </w:r>
    </w:p>
    <w:p w14:paraId="7B8E5A4C" w14:textId="77777777" w:rsidR="00402576" w:rsidRDefault="00000000">
      <w:pPr>
        <w:spacing w:after="120"/>
        <w:ind w:left="720" w:hanging="720"/>
        <w:jc w:val="both"/>
      </w:pPr>
      <w:r>
        <w:t xml:space="preserve">Taylor, S. (2018) Resourcing and Talent Management. 7th </w:t>
      </w:r>
      <w:proofErr w:type="spellStart"/>
      <w:r>
        <w:t>edn</w:t>
      </w:r>
      <w:proofErr w:type="spellEnd"/>
      <w:r>
        <w:t>. London: CIPD Kogan Page.</w:t>
      </w:r>
    </w:p>
    <w:p w14:paraId="1F2B1CEF" w14:textId="77777777" w:rsidR="00402576" w:rsidRDefault="00000000">
      <w:pPr>
        <w:spacing w:after="120"/>
        <w:ind w:left="720" w:hanging="720"/>
        <w:jc w:val="both"/>
      </w:pPr>
      <w:r>
        <w:t>Tesco PLC (2023) Annual Report and Financial Statements 2023. Welwyn Garden City: Tesco PLC.</w:t>
      </w:r>
    </w:p>
    <w:sectPr w:rsidR="00402576">
      <w:footerReference w:type="default" r:id="rId7"/>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A35EC3" w14:textId="77777777" w:rsidR="00EE3578" w:rsidRDefault="00EE3578">
      <w:r>
        <w:separator/>
      </w:r>
    </w:p>
  </w:endnote>
  <w:endnote w:type="continuationSeparator" w:id="0">
    <w:p w14:paraId="6C3F4E78" w14:textId="77777777" w:rsidR="00EE3578" w:rsidRDefault="00EE35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1EE18" w14:textId="77777777" w:rsidR="00402576" w:rsidRDefault="00000000">
    <w:pPr>
      <w:jc w:val="center"/>
    </w:pPr>
    <w:r>
      <w:rPr>
        <w:color w:val="888888"/>
        <w:sz w:val="18"/>
        <w:szCs w:val="18"/>
      </w:rPr>
      <w:t>LCLM5002 | Tiberiu Anghel | 2422970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47726" w14:textId="77777777" w:rsidR="00EE3578" w:rsidRDefault="00EE3578">
      <w:r>
        <w:separator/>
      </w:r>
    </w:p>
  </w:footnote>
  <w:footnote w:type="continuationSeparator" w:id="0">
    <w:p w14:paraId="024D5348" w14:textId="77777777" w:rsidR="00EE3578" w:rsidRDefault="00EE35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EE01E7"/>
    <w:multiLevelType w:val="hybridMultilevel"/>
    <w:tmpl w:val="72629610"/>
    <w:lvl w:ilvl="0" w:tplc="51F0D418">
      <w:start w:val="1"/>
      <w:numFmt w:val="bullet"/>
      <w:lvlText w:val="●"/>
      <w:lvlJc w:val="left"/>
      <w:pPr>
        <w:ind w:left="720" w:hanging="360"/>
      </w:pPr>
    </w:lvl>
    <w:lvl w:ilvl="1" w:tplc="4BA68F5A">
      <w:start w:val="1"/>
      <w:numFmt w:val="bullet"/>
      <w:lvlText w:val="○"/>
      <w:lvlJc w:val="left"/>
      <w:pPr>
        <w:ind w:left="1440" w:hanging="360"/>
      </w:pPr>
    </w:lvl>
    <w:lvl w:ilvl="2" w:tplc="01264C9E">
      <w:start w:val="1"/>
      <w:numFmt w:val="bullet"/>
      <w:lvlText w:val="■"/>
      <w:lvlJc w:val="left"/>
      <w:pPr>
        <w:ind w:left="2160" w:hanging="360"/>
      </w:pPr>
    </w:lvl>
    <w:lvl w:ilvl="3" w:tplc="DF7AC630">
      <w:start w:val="1"/>
      <w:numFmt w:val="bullet"/>
      <w:lvlText w:val="●"/>
      <w:lvlJc w:val="left"/>
      <w:pPr>
        <w:ind w:left="2880" w:hanging="360"/>
      </w:pPr>
    </w:lvl>
    <w:lvl w:ilvl="4" w:tplc="994EC396">
      <w:start w:val="1"/>
      <w:numFmt w:val="bullet"/>
      <w:lvlText w:val="○"/>
      <w:lvlJc w:val="left"/>
      <w:pPr>
        <w:ind w:left="3600" w:hanging="360"/>
      </w:pPr>
    </w:lvl>
    <w:lvl w:ilvl="5" w:tplc="F7508086">
      <w:start w:val="1"/>
      <w:numFmt w:val="bullet"/>
      <w:lvlText w:val="■"/>
      <w:lvlJc w:val="left"/>
      <w:pPr>
        <w:ind w:left="4320" w:hanging="360"/>
      </w:pPr>
    </w:lvl>
    <w:lvl w:ilvl="6" w:tplc="1E32EC04">
      <w:start w:val="1"/>
      <w:numFmt w:val="bullet"/>
      <w:lvlText w:val="●"/>
      <w:lvlJc w:val="left"/>
      <w:pPr>
        <w:ind w:left="5040" w:hanging="360"/>
      </w:pPr>
    </w:lvl>
    <w:lvl w:ilvl="7" w:tplc="F0F44E56">
      <w:start w:val="1"/>
      <w:numFmt w:val="bullet"/>
      <w:lvlText w:val="●"/>
      <w:lvlJc w:val="left"/>
      <w:pPr>
        <w:ind w:left="5760" w:hanging="360"/>
      </w:pPr>
    </w:lvl>
    <w:lvl w:ilvl="8" w:tplc="A5006436">
      <w:start w:val="1"/>
      <w:numFmt w:val="bullet"/>
      <w:lvlText w:val="●"/>
      <w:lvlJc w:val="left"/>
      <w:pPr>
        <w:ind w:left="6480" w:hanging="360"/>
      </w:pPr>
    </w:lvl>
  </w:abstractNum>
  <w:abstractNum w:abstractNumId="1" w15:restartNumberingAfterBreak="0">
    <w:nsid w:val="66895D23"/>
    <w:multiLevelType w:val="hybridMultilevel"/>
    <w:tmpl w:val="C4C8AC48"/>
    <w:lvl w:ilvl="0" w:tplc="B1BC1E18">
      <w:start w:val="1"/>
      <w:numFmt w:val="bullet"/>
      <w:lvlText w:val="•"/>
      <w:lvlJc w:val="left"/>
      <w:pPr>
        <w:ind w:left="720" w:hanging="360"/>
      </w:pPr>
    </w:lvl>
    <w:lvl w:ilvl="1" w:tplc="C2FEFD14">
      <w:numFmt w:val="decimal"/>
      <w:lvlText w:val=""/>
      <w:lvlJc w:val="left"/>
    </w:lvl>
    <w:lvl w:ilvl="2" w:tplc="94A4CE64">
      <w:numFmt w:val="decimal"/>
      <w:lvlText w:val=""/>
      <w:lvlJc w:val="left"/>
    </w:lvl>
    <w:lvl w:ilvl="3" w:tplc="6D40D3B6">
      <w:numFmt w:val="decimal"/>
      <w:lvlText w:val=""/>
      <w:lvlJc w:val="left"/>
    </w:lvl>
    <w:lvl w:ilvl="4" w:tplc="87927848">
      <w:numFmt w:val="decimal"/>
      <w:lvlText w:val=""/>
      <w:lvlJc w:val="left"/>
    </w:lvl>
    <w:lvl w:ilvl="5" w:tplc="EFB827A4">
      <w:numFmt w:val="decimal"/>
      <w:lvlText w:val=""/>
      <w:lvlJc w:val="left"/>
    </w:lvl>
    <w:lvl w:ilvl="6" w:tplc="210073D6">
      <w:numFmt w:val="decimal"/>
      <w:lvlText w:val=""/>
      <w:lvlJc w:val="left"/>
    </w:lvl>
    <w:lvl w:ilvl="7" w:tplc="4EEABF94">
      <w:numFmt w:val="decimal"/>
      <w:lvlText w:val=""/>
      <w:lvlJc w:val="left"/>
    </w:lvl>
    <w:lvl w:ilvl="8" w:tplc="0FBCFC50">
      <w:numFmt w:val="decimal"/>
      <w:lvlText w:val=""/>
      <w:lvlJc w:val="left"/>
    </w:lvl>
  </w:abstractNum>
  <w:num w:numId="1" w16cid:durableId="1775594019">
    <w:abstractNumId w:val="0"/>
    <w:lvlOverride w:ilvl="0">
      <w:startOverride w:val="1"/>
    </w:lvlOverride>
  </w:num>
  <w:num w:numId="2" w16cid:durableId="1249580121">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576"/>
    <w:rsid w:val="00097403"/>
    <w:rsid w:val="00402576"/>
    <w:rsid w:val="005F0EAA"/>
    <w:rsid w:val="009348F7"/>
    <w:rsid w:val="00EE35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7BBCF"/>
  <w15:docId w15:val="{8195EB67-25E6-4839-8B6C-E08D700F6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40" w:after="120"/>
      <w:outlineLvl w:val="0"/>
    </w:pPr>
    <w:rPr>
      <w:b/>
      <w:bCs/>
      <w:color w:val="1F3864"/>
      <w:sz w:val="28"/>
      <w:szCs w:val="28"/>
    </w:rPr>
  </w:style>
  <w:style w:type="paragraph" w:styleId="Heading2">
    <w:name w:val="heading 2"/>
    <w:uiPriority w:val="9"/>
    <w:unhideWhenUsed/>
    <w:qFormat/>
    <w:pPr>
      <w:spacing w:before="200" w:after="100"/>
      <w:outlineLvl w:val="1"/>
    </w:pPr>
    <w:rPr>
      <w:b/>
      <w:bCs/>
      <w:color w:val="2E5090"/>
      <w:sz w:val="24"/>
      <w:szCs w:val="24"/>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TotalTime>
  <Pages>6</Pages>
  <Words>2342</Words>
  <Characters>13355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Tiberiu-Cristian Anghel (2422970)</cp:lastModifiedBy>
  <cp:revision>2</cp:revision>
  <dcterms:created xsi:type="dcterms:W3CDTF">2026-03-30T11:37:00Z</dcterms:created>
  <dcterms:modified xsi:type="dcterms:W3CDTF">2026-03-30T11:57:00Z</dcterms:modified>
</cp:coreProperties>
</file>