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ABE80" w14:textId="77777777" w:rsidR="00E6575F" w:rsidRPr="00215CD3" w:rsidRDefault="00E6575F" w:rsidP="00E05AC9">
      <w:pPr>
        <w:jc w:val="center"/>
        <w:rPr>
          <w:b/>
          <w:lang w:val="en-GB"/>
        </w:rPr>
      </w:pPr>
    </w:p>
    <w:p w14:paraId="01AB2E43" w14:textId="77777777" w:rsidR="00E6575F" w:rsidRPr="00215CD3" w:rsidRDefault="00E6575F" w:rsidP="00E05AC9">
      <w:pPr>
        <w:jc w:val="center"/>
        <w:rPr>
          <w:b/>
          <w:lang w:val="en-GB"/>
        </w:rPr>
      </w:pPr>
    </w:p>
    <w:p w14:paraId="1F1A7A43" w14:textId="77777777" w:rsidR="00E6575F" w:rsidRPr="00215CD3" w:rsidRDefault="00E6575F" w:rsidP="00E05AC9">
      <w:pPr>
        <w:jc w:val="center"/>
        <w:rPr>
          <w:b/>
          <w:lang w:val="en-GB"/>
        </w:rPr>
      </w:pPr>
    </w:p>
    <w:p w14:paraId="55D11F7A" w14:textId="77777777" w:rsidR="00E6575F" w:rsidRPr="00215CD3" w:rsidRDefault="00E6575F" w:rsidP="00E05AC9">
      <w:pPr>
        <w:jc w:val="center"/>
        <w:rPr>
          <w:b/>
          <w:lang w:val="en-GB"/>
        </w:rPr>
      </w:pPr>
    </w:p>
    <w:p w14:paraId="52B17292" w14:textId="77777777" w:rsidR="00E6575F" w:rsidRPr="00215CD3" w:rsidRDefault="00E6575F" w:rsidP="00E05AC9">
      <w:pPr>
        <w:jc w:val="center"/>
        <w:rPr>
          <w:b/>
          <w:lang w:val="en-GB"/>
        </w:rPr>
      </w:pPr>
    </w:p>
    <w:p w14:paraId="7C85306A" w14:textId="77777777" w:rsidR="00433FB0" w:rsidRPr="00215CD3" w:rsidRDefault="00E6575F" w:rsidP="00E05AC9">
      <w:pPr>
        <w:jc w:val="center"/>
        <w:rPr>
          <w:b/>
          <w:lang w:val="en-GB"/>
        </w:rPr>
      </w:pPr>
      <w:r w:rsidRPr="00215CD3">
        <w:rPr>
          <w:b/>
          <w:lang w:val="en-GB"/>
        </w:rPr>
        <w:t xml:space="preserve">Qualitative Report: Thematic Analysis: ‘Individual and Environmental </w:t>
      </w:r>
      <w:r w:rsidR="001F28BF" w:rsidRPr="00215CD3">
        <w:rPr>
          <w:b/>
          <w:lang w:val="en-GB"/>
        </w:rPr>
        <w:t>Well-</w:t>
      </w:r>
      <w:r w:rsidR="00E05AC9" w:rsidRPr="00215CD3">
        <w:rPr>
          <w:b/>
          <w:lang w:val="en-GB"/>
        </w:rPr>
        <w:t>Being’</w:t>
      </w:r>
    </w:p>
    <w:p w14:paraId="022B0A02" w14:textId="32D276DA" w:rsidR="00E05AC9" w:rsidRPr="00215CD3" w:rsidRDefault="00E6575F" w:rsidP="00E05AC9">
      <w:pPr>
        <w:jc w:val="center"/>
        <w:rPr>
          <w:b/>
          <w:lang w:val="en-GB"/>
        </w:rPr>
      </w:pPr>
      <w:r w:rsidRPr="00215CD3">
        <w:rPr>
          <w:b/>
          <w:lang w:val="en-GB"/>
        </w:rPr>
        <w:br w:type="page"/>
      </w:r>
    </w:p>
    <w:p w14:paraId="482BA905" w14:textId="77777777" w:rsidR="00E05AC9" w:rsidRPr="00215CD3" w:rsidRDefault="00E6575F" w:rsidP="00E05AC9">
      <w:pPr>
        <w:rPr>
          <w:b/>
          <w:lang w:val="en-GB"/>
        </w:rPr>
      </w:pPr>
      <w:r w:rsidRPr="00215CD3">
        <w:rPr>
          <w:b/>
          <w:lang w:val="en-GB"/>
        </w:rPr>
        <w:lastRenderedPageBreak/>
        <w:t xml:space="preserve">Abstract </w:t>
      </w:r>
    </w:p>
    <w:p w14:paraId="4E000ACC" w14:textId="226C9019" w:rsidR="00E05AC9" w:rsidRPr="00215CD3" w:rsidRDefault="00E6575F" w:rsidP="00E05AC9">
      <w:pPr>
        <w:ind w:firstLine="720"/>
        <w:rPr>
          <w:b/>
          <w:lang w:val="en-GB"/>
        </w:rPr>
      </w:pPr>
      <w:r w:rsidRPr="00215CD3">
        <w:rPr>
          <w:lang w:val="en-GB"/>
        </w:rPr>
        <w:t xml:space="preserve">This report aims to provide a qualitative report on the thematic analysis of environmental and individual well-being. Well-being is the sustainable condition that makes population and individuals thrive and develop. Individual well-being is always linked with success at personal, professional, and interpersonal levels. Individual well-being is connected to environmental well-being. Environmental well-being is defined as the environment being in a good state which is pleasant and promotes interaction of humans with nature.  Environment well-being and human well-being over the years have been found to be intimately related. The research involved the collection of data from one female participant. The participant was interviewed, and the response she provided was </w:t>
      </w:r>
      <w:r w:rsidR="00973B92" w:rsidRPr="00215CD3">
        <w:rPr>
          <w:lang w:val="en-GB"/>
        </w:rPr>
        <w:t>analysed</w:t>
      </w:r>
      <w:r w:rsidRPr="00215CD3">
        <w:rPr>
          <w:lang w:val="en-GB"/>
        </w:rPr>
        <w:t xml:space="preserve"> to inform this report. The interview between the female participant and the researcher, was pre-recorded and later transcribed. The transcription was then given to students to conduct thematic analysis and generate this report. The themes and subthemes of the study are interpreted using thematic analysis. The findings of the study are individual well-being cannot be separated from environmental well-being. </w:t>
      </w:r>
    </w:p>
    <w:p w14:paraId="72AB06C1" w14:textId="77777777" w:rsidR="008E7490" w:rsidRPr="00215CD3" w:rsidRDefault="00E6575F" w:rsidP="00E05AC9">
      <w:pPr>
        <w:jc w:val="center"/>
        <w:rPr>
          <w:lang w:val="en-GB"/>
        </w:rPr>
      </w:pPr>
      <w:r w:rsidRPr="00215CD3">
        <w:rPr>
          <w:b/>
          <w:lang w:val="en-GB"/>
        </w:rPr>
        <w:t>Introduction</w:t>
      </w:r>
    </w:p>
    <w:p w14:paraId="262F015E" w14:textId="77777777" w:rsidR="008E7490" w:rsidRPr="00215CD3" w:rsidRDefault="00E6575F" w:rsidP="00CA50B9">
      <w:pPr>
        <w:ind w:firstLine="720"/>
        <w:rPr>
          <w:lang w:val="en-GB"/>
        </w:rPr>
      </w:pPr>
      <w:r w:rsidRPr="00215CD3">
        <w:rPr>
          <w:lang w:val="en-GB"/>
        </w:rPr>
        <w:t xml:space="preserve">Individual </w:t>
      </w:r>
      <w:r w:rsidR="001F28BF" w:rsidRPr="00215CD3">
        <w:rPr>
          <w:lang w:val="en-GB"/>
        </w:rPr>
        <w:t>well-being</w:t>
      </w:r>
      <w:r w:rsidRPr="00215CD3">
        <w:rPr>
          <w:lang w:val="en-GB"/>
        </w:rPr>
        <w:t xml:space="preserve"> is defined as a combination of functioning well and feeling good. </w:t>
      </w:r>
      <w:r w:rsidR="001F28BF" w:rsidRPr="00215CD3">
        <w:rPr>
          <w:lang w:val="en-GB"/>
        </w:rPr>
        <w:t>Well-being</w:t>
      </w:r>
      <w:r w:rsidRPr="00215CD3">
        <w:rPr>
          <w:lang w:val="en-GB"/>
        </w:rPr>
        <w:t xml:space="preserve"> is the positive experience of emotions like happiness and contentment. Individual wellness involves potential development, having control over personal life, possessing a sense of purpose, and having positive relationships</w:t>
      </w:r>
      <w:r w:rsidR="00515E8A" w:rsidRPr="00215CD3">
        <w:rPr>
          <w:lang w:val="en-GB"/>
        </w:rPr>
        <w:t xml:space="preserve"> (Ruggeri et al., 2020)</w:t>
      </w:r>
      <w:r w:rsidRPr="00215CD3">
        <w:rPr>
          <w:lang w:val="en-GB"/>
        </w:rPr>
        <w:t xml:space="preserve">. Well-being is the sustainable condition that makes population and individuals thrive and develop. </w:t>
      </w:r>
      <w:r w:rsidR="002615C8" w:rsidRPr="00215CD3">
        <w:rPr>
          <w:lang w:val="en-GB"/>
        </w:rPr>
        <w:t>Individual well-being is always linked with success at personal, profess</w:t>
      </w:r>
      <w:r w:rsidR="00CA50B9" w:rsidRPr="00215CD3">
        <w:rPr>
          <w:lang w:val="en-GB"/>
        </w:rPr>
        <w:t xml:space="preserve">ional, and interpersonal levels. Individual </w:t>
      </w:r>
      <w:r w:rsidR="001F28BF" w:rsidRPr="00215CD3">
        <w:rPr>
          <w:lang w:val="en-GB"/>
        </w:rPr>
        <w:t>well-being</w:t>
      </w:r>
      <w:r w:rsidR="00CA50B9" w:rsidRPr="00215CD3">
        <w:rPr>
          <w:lang w:val="en-GB"/>
        </w:rPr>
        <w:t xml:space="preserve"> is connected to environmental </w:t>
      </w:r>
      <w:r w:rsidR="001F28BF" w:rsidRPr="00215CD3">
        <w:rPr>
          <w:lang w:val="en-GB"/>
        </w:rPr>
        <w:t>well-being</w:t>
      </w:r>
      <w:r w:rsidR="00CA50B9" w:rsidRPr="00215CD3">
        <w:rPr>
          <w:lang w:val="en-GB"/>
        </w:rPr>
        <w:t xml:space="preserve">. Environmental well-being is defined as the environment being in a good state which is pleasant and promotes interaction of humans with </w:t>
      </w:r>
      <w:r w:rsidR="00CA50B9" w:rsidRPr="00215CD3">
        <w:rPr>
          <w:lang w:val="en-GB"/>
        </w:rPr>
        <w:lastRenderedPageBreak/>
        <w:t xml:space="preserve">nature. </w:t>
      </w:r>
      <w:r w:rsidR="00597DE0" w:rsidRPr="00215CD3">
        <w:rPr>
          <w:lang w:val="en-GB"/>
        </w:rPr>
        <w:t xml:space="preserve"> Environment well-being and human well-being over the years have been found to be intimately related</w:t>
      </w:r>
      <w:r w:rsidR="00515E8A" w:rsidRPr="00215CD3">
        <w:rPr>
          <w:lang w:val="en-GB"/>
        </w:rPr>
        <w:t xml:space="preserve"> (</w:t>
      </w:r>
      <w:proofErr w:type="spellStart"/>
      <w:r w:rsidR="00515E8A" w:rsidRPr="00215CD3">
        <w:rPr>
          <w:lang w:val="en-GB"/>
        </w:rPr>
        <w:t>Neller</w:t>
      </w:r>
      <w:proofErr w:type="spellEnd"/>
      <w:r w:rsidR="00515E8A" w:rsidRPr="00215CD3">
        <w:rPr>
          <w:lang w:val="en-GB"/>
        </w:rPr>
        <w:t xml:space="preserve"> &amp; </w:t>
      </w:r>
      <w:proofErr w:type="spellStart"/>
      <w:r w:rsidR="00515E8A" w:rsidRPr="00215CD3">
        <w:rPr>
          <w:lang w:val="en-GB"/>
        </w:rPr>
        <w:t>Neller</w:t>
      </w:r>
      <w:proofErr w:type="spellEnd"/>
      <w:r w:rsidR="00515E8A" w:rsidRPr="00215CD3">
        <w:rPr>
          <w:lang w:val="en-GB"/>
        </w:rPr>
        <w:t>, 2009)</w:t>
      </w:r>
      <w:r w:rsidR="00597DE0" w:rsidRPr="00215CD3">
        <w:rPr>
          <w:lang w:val="en-GB"/>
        </w:rPr>
        <w:t>. Thus, individual well-being cannot be separated from environmental well-being, as individuals doing well do not prefer living in an unwell environment</w:t>
      </w:r>
      <w:r w:rsidR="00515E8A" w:rsidRPr="00215CD3">
        <w:rPr>
          <w:lang w:val="en-GB"/>
        </w:rPr>
        <w:t xml:space="preserve"> (</w:t>
      </w:r>
      <w:proofErr w:type="spellStart"/>
      <w:r w:rsidR="00515E8A" w:rsidRPr="00215CD3">
        <w:rPr>
          <w:lang w:val="en-GB"/>
        </w:rPr>
        <w:t>Berlanda</w:t>
      </w:r>
      <w:proofErr w:type="spellEnd"/>
      <w:r w:rsidR="00515E8A" w:rsidRPr="00215CD3">
        <w:rPr>
          <w:lang w:val="en-GB"/>
        </w:rPr>
        <w:t xml:space="preserve"> et al., 2020)</w:t>
      </w:r>
      <w:r w:rsidR="00597DE0" w:rsidRPr="00215CD3">
        <w:rPr>
          <w:lang w:val="en-GB"/>
        </w:rPr>
        <w:t xml:space="preserve">. An unwell environment is an environment that has degraded. This paper will examine the relationship between individual </w:t>
      </w:r>
      <w:r w:rsidR="001F28BF" w:rsidRPr="00215CD3">
        <w:rPr>
          <w:lang w:val="en-GB"/>
        </w:rPr>
        <w:t>well-being</w:t>
      </w:r>
      <w:r w:rsidR="00597DE0" w:rsidRPr="00215CD3">
        <w:rPr>
          <w:lang w:val="en-GB"/>
        </w:rPr>
        <w:t xml:space="preserve"> and environmental well-being </w:t>
      </w:r>
      <w:r w:rsidR="00624145" w:rsidRPr="00215CD3">
        <w:rPr>
          <w:lang w:val="en-GB"/>
        </w:rPr>
        <w:t xml:space="preserve">and how they can be maintained. </w:t>
      </w:r>
    </w:p>
    <w:p w14:paraId="7454324F" w14:textId="77777777" w:rsidR="00624145" w:rsidRPr="00215CD3" w:rsidRDefault="00E6575F" w:rsidP="00624145">
      <w:pPr>
        <w:jc w:val="center"/>
        <w:rPr>
          <w:b/>
          <w:lang w:val="en-GB"/>
        </w:rPr>
      </w:pPr>
      <w:r w:rsidRPr="00215CD3">
        <w:rPr>
          <w:b/>
          <w:lang w:val="en-GB"/>
        </w:rPr>
        <w:t>Methods</w:t>
      </w:r>
    </w:p>
    <w:p w14:paraId="5D1B059F" w14:textId="2E0CB916" w:rsidR="00624145" w:rsidRPr="00215CD3" w:rsidRDefault="00E6575F" w:rsidP="00624145">
      <w:pPr>
        <w:rPr>
          <w:lang w:val="en-GB"/>
        </w:rPr>
      </w:pPr>
      <w:r w:rsidRPr="00215CD3">
        <w:rPr>
          <w:b/>
          <w:lang w:val="en-GB"/>
        </w:rPr>
        <w:t>Participants</w:t>
      </w:r>
      <w:r w:rsidR="00E20018" w:rsidRPr="00215CD3">
        <w:rPr>
          <w:b/>
          <w:lang w:val="en-GB"/>
        </w:rPr>
        <w:t>:</w:t>
      </w:r>
      <w:r w:rsidRPr="00215CD3">
        <w:rPr>
          <w:lang w:val="en-GB"/>
        </w:rPr>
        <w:tab/>
        <w:t xml:space="preserve">The research involved the collection of data from one female participant. The participant was interviewed, and the response she provided was </w:t>
      </w:r>
      <w:r w:rsidR="00CC34C2" w:rsidRPr="00215CD3">
        <w:rPr>
          <w:lang w:val="en-GB"/>
        </w:rPr>
        <w:t>analysed</w:t>
      </w:r>
      <w:r w:rsidRPr="00215CD3">
        <w:rPr>
          <w:lang w:val="en-GB"/>
        </w:rPr>
        <w:t xml:space="preserve"> to inform this report. The interview between the female participant and the researcher, the interview was pre-recorded and later transcribed. The transcription was then given to students to conduct thematic analysis and generate this report. </w:t>
      </w:r>
    </w:p>
    <w:p w14:paraId="70B38797" w14:textId="1D104CED" w:rsidR="00820D8B" w:rsidRPr="00215CD3" w:rsidRDefault="00E6575F" w:rsidP="00624145">
      <w:pPr>
        <w:rPr>
          <w:lang w:val="en-GB"/>
        </w:rPr>
      </w:pPr>
      <w:r w:rsidRPr="00215CD3">
        <w:rPr>
          <w:b/>
          <w:lang w:val="en-GB"/>
        </w:rPr>
        <w:t xml:space="preserve">Data Collection: </w:t>
      </w:r>
      <w:r w:rsidRPr="00215CD3">
        <w:rPr>
          <w:lang w:val="en-GB"/>
        </w:rPr>
        <w:t>The report transcript comes from a qualitative interview design for the data collection. The data was given to the students through transcription of the interview, which indicated the questions asked and the answers from the participant. In case the students conducted the interview, they would use a voice recorder, an interview schedule,</w:t>
      </w:r>
      <w:r w:rsidR="00CC34C2">
        <w:rPr>
          <w:lang w:val="en-GB"/>
        </w:rPr>
        <w:t xml:space="preserve"> </w:t>
      </w:r>
      <w:r w:rsidRPr="00215CD3">
        <w:rPr>
          <w:lang w:val="en-GB"/>
        </w:rPr>
        <w:t>debrief and consent forms</w:t>
      </w:r>
      <w:proofErr w:type="gramStart"/>
      <w:r w:rsidRPr="00215CD3">
        <w:rPr>
          <w:lang w:val="en-GB"/>
        </w:rPr>
        <w:t xml:space="preserve">.  </w:t>
      </w:r>
      <w:proofErr w:type="gramEnd"/>
      <w:r w:rsidRPr="00215CD3">
        <w:rPr>
          <w:lang w:val="en-GB"/>
        </w:rPr>
        <w:t xml:space="preserve">The consent form would contain; </w:t>
      </w:r>
    </w:p>
    <w:p w14:paraId="32659C19" w14:textId="77777777" w:rsidR="00330438" w:rsidRPr="00215CD3" w:rsidRDefault="00E6575F" w:rsidP="00330438">
      <w:pPr>
        <w:pStyle w:val="ListParagraph"/>
        <w:numPr>
          <w:ilvl w:val="0"/>
          <w:numId w:val="1"/>
        </w:numPr>
        <w:rPr>
          <w:lang w:val="en-GB"/>
        </w:rPr>
      </w:pPr>
      <w:r w:rsidRPr="00215CD3">
        <w:rPr>
          <w:lang w:val="en-GB"/>
        </w:rPr>
        <w:t>Research description and participant role with a detailed explanation of the procedures relevant to the participant.</w:t>
      </w:r>
    </w:p>
    <w:p w14:paraId="7F2248D0" w14:textId="77777777" w:rsidR="00330438" w:rsidRPr="00215CD3" w:rsidRDefault="00E6575F" w:rsidP="00330438">
      <w:pPr>
        <w:pStyle w:val="ListParagraph"/>
        <w:numPr>
          <w:ilvl w:val="0"/>
          <w:numId w:val="1"/>
        </w:numPr>
        <w:rPr>
          <w:lang w:val="en-GB"/>
        </w:rPr>
      </w:pPr>
      <w:r w:rsidRPr="00215CD3">
        <w:rPr>
          <w:lang w:val="en-GB"/>
        </w:rPr>
        <w:t>Foreseeable risks descriptions.</w:t>
      </w:r>
    </w:p>
    <w:p w14:paraId="61505CAE" w14:textId="77777777" w:rsidR="00330438" w:rsidRPr="00215CD3" w:rsidRDefault="00E6575F" w:rsidP="00330438">
      <w:pPr>
        <w:pStyle w:val="ListParagraph"/>
        <w:numPr>
          <w:ilvl w:val="0"/>
          <w:numId w:val="1"/>
        </w:numPr>
        <w:rPr>
          <w:lang w:val="en-GB"/>
        </w:rPr>
      </w:pPr>
      <w:r w:rsidRPr="00215CD3">
        <w:rPr>
          <w:lang w:val="en-GB"/>
        </w:rPr>
        <w:t>Benefits expected from the research.</w:t>
      </w:r>
    </w:p>
    <w:p w14:paraId="630068A2" w14:textId="77777777" w:rsidR="00330438" w:rsidRPr="00215CD3" w:rsidRDefault="00E6575F" w:rsidP="00330438">
      <w:pPr>
        <w:pStyle w:val="ListParagraph"/>
        <w:numPr>
          <w:ilvl w:val="0"/>
          <w:numId w:val="1"/>
        </w:numPr>
        <w:rPr>
          <w:lang w:val="en-GB"/>
        </w:rPr>
      </w:pPr>
      <w:r w:rsidRPr="00215CD3">
        <w:rPr>
          <w:lang w:val="en-GB"/>
        </w:rPr>
        <w:t>Participant alternatives.</w:t>
      </w:r>
    </w:p>
    <w:p w14:paraId="21BAFE7F" w14:textId="77777777" w:rsidR="00330438" w:rsidRPr="00215CD3" w:rsidRDefault="00E6575F" w:rsidP="00330438">
      <w:pPr>
        <w:pStyle w:val="ListParagraph"/>
        <w:numPr>
          <w:ilvl w:val="0"/>
          <w:numId w:val="1"/>
        </w:numPr>
        <w:rPr>
          <w:lang w:val="en-GB"/>
        </w:rPr>
      </w:pPr>
      <w:r w:rsidRPr="00215CD3">
        <w:rPr>
          <w:lang w:val="en-GB"/>
        </w:rPr>
        <w:t>Confidentiality explanation.</w:t>
      </w:r>
    </w:p>
    <w:p w14:paraId="1DC21A57" w14:textId="77777777" w:rsidR="00330438" w:rsidRPr="00215CD3" w:rsidRDefault="00E6575F" w:rsidP="00330438">
      <w:pPr>
        <w:pStyle w:val="ListParagraph"/>
        <w:numPr>
          <w:ilvl w:val="0"/>
          <w:numId w:val="1"/>
        </w:numPr>
        <w:rPr>
          <w:lang w:val="en-GB"/>
        </w:rPr>
      </w:pPr>
      <w:r w:rsidRPr="00215CD3">
        <w:rPr>
          <w:lang w:val="en-GB"/>
        </w:rPr>
        <w:lastRenderedPageBreak/>
        <w:t xml:space="preserve">Compensation in case of injuries or health complications resulting from the study participation. </w:t>
      </w:r>
    </w:p>
    <w:p w14:paraId="3A794B08" w14:textId="148052A9" w:rsidR="00330438" w:rsidRPr="00215CD3" w:rsidRDefault="00E6575F" w:rsidP="00330438">
      <w:pPr>
        <w:pStyle w:val="ListParagraph"/>
        <w:numPr>
          <w:ilvl w:val="0"/>
          <w:numId w:val="1"/>
        </w:numPr>
        <w:rPr>
          <w:lang w:val="en-GB"/>
        </w:rPr>
      </w:pPr>
      <w:r w:rsidRPr="00215CD3">
        <w:rPr>
          <w:lang w:val="en-GB"/>
        </w:rPr>
        <w:t xml:space="preserve"> Contact</w:t>
      </w:r>
      <w:r w:rsidR="00CC34C2">
        <w:rPr>
          <w:lang w:val="en-GB"/>
        </w:rPr>
        <w:t xml:space="preserve"> </w:t>
      </w:r>
      <w:r w:rsidRPr="00215CD3">
        <w:rPr>
          <w:lang w:val="en-GB"/>
        </w:rPr>
        <w:t xml:space="preserve">to contact in case the participant has concerns or questions. </w:t>
      </w:r>
    </w:p>
    <w:p w14:paraId="5A403A10" w14:textId="77777777" w:rsidR="00330438" w:rsidRPr="00215CD3" w:rsidRDefault="00E6575F" w:rsidP="00330438">
      <w:pPr>
        <w:pStyle w:val="ListParagraph"/>
        <w:numPr>
          <w:ilvl w:val="0"/>
          <w:numId w:val="1"/>
        </w:numPr>
        <w:rPr>
          <w:lang w:val="en-GB"/>
        </w:rPr>
      </w:pPr>
      <w:r w:rsidRPr="00215CD3">
        <w:rPr>
          <w:lang w:val="en-GB"/>
        </w:rPr>
        <w:t xml:space="preserve">Participation is a voluntary explanation. </w:t>
      </w:r>
    </w:p>
    <w:p w14:paraId="6D004E94" w14:textId="77777777" w:rsidR="00266541" w:rsidRPr="00215CD3" w:rsidRDefault="00E6575F" w:rsidP="00330438">
      <w:pPr>
        <w:pStyle w:val="ListParagraph"/>
        <w:numPr>
          <w:ilvl w:val="0"/>
          <w:numId w:val="1"/>
        </w:numPr>
        <w:rPr>
          <w:lang w:val="en-GB"/>
        </w:rPr>
      </w:pPr>
      <w:r w:rsidRPr="00215CD3">
        <w:rPr>
          <w:lang w:val="en-GB"/>
        </w:rPr>
        <w:t xml:space="preserve">Signature part for the participants </w:t>
      </w:r>
    </w:p>
    <w:p w14:paraId="3FD36AA4" w14:textId="77777777" w:rsidR="00330438" w:rsidRPr="00215CD3" w:rsidRDefault="00E6575F" w:rsidP="00266541">
      <w:pPr>
        <w:ind w:firstLine="720"/>
        <w:rPr>
          <w:lang w:val="en-GB"/>
        </w:rPr>
      </w:pPr>
      <w:r w:rsidRPr="00215CD3">
        <w:rPr>
          <w:lang w:val="en-GB"/>
        </w:rPr>
        <w:t xml:space="preserve">Participants, after submitting their informed consent </w:t>
      </w:r>
      <w:r w:rsidR="00266541" w:rsidRPr="00215CD3">
        <w:rPr>
          <w:lang w:val="en-GB"/>
        </w:rPr>
        <w:t xml:space="preserve">to take part in the study, the student would issue a debrief form to the participant. Debrief form is issued in case of deception and needs to include the deception nature, the methods and actual purpose of the study, justification for the deception necessity, withdrawal from participating in the study procedure, and signature part for the researcher and the participant. </w:t>
      </w:r>
    </w:p>
    <w:p w14:paraId="2CAEFE8E" w14:textId="09EBA6F6" w:rsidR="00266541" w:rsidRPr="00215CD3" w:rsidRDefault="00E6575F" w:rsidP="00266541">
      <w:pPr>
        <w:ind w:firstLine="720"/>
        <w:rPr>
          <w:lang w:val="en-GB"/>
        </w:rPr>
      </w:pPr>
      <w:r w:rsidRPr="00215CD3">
        <w:rPr>
          <w:lang w:val="en-GB"/>
        </w:rPr>
        <w:t>Data collection processes were done before this assessment. However, if it were to be conducted by the students</w:t>
      </w:r>
      <w:r w:rsidR="00F41938" w:rsidRPr="00215CD3">
        <w:rPr>
          <w:lang w:val="en-GB"/>
        </w:rPr>
        <w:t xml:space="preserve">, a specific procedure would be followed. First, the selection of the participants would be conducted by requesting random people to participate in the study. People who accept voluntarily to participate are then issued with a consent form to sign if they agree to the terms and conditions of the study. After submitting the consent form, they are given a debrief form if deception was necessary to participate in the study. After that, the participant will then be provided with the interview schedule, which will contain the time, venue, and duration it will take. Next, the </w:t>
      </w:r>
      <w:r w:rsidR="00E20018" w:rsidRPr="00215CD3">
        <w:rPr>
          <w:lang w:val="en-GB"/>
        </w:rPr>
        <w:t>participant</w:t>
      </w:r>
      <w:r w:rsidR="00F41938" w:rsidRPr="00215CD3">
        <w:rPr>
          <w:lang w:val="en-GB"/>
        </w:rPr>
        <w:t xml:space="preserve"> and the interviewer meet</w:t>
      </w:r>
      <w:r w:rsidR="00CC34C2">
        <w:rPr>
          <w:lang w:val="en-GB"/>
        </w:rPr>
        <w:t xml:space="preserve"> at</w:t>
      </w:r>
      <w:r w:rsidR="00F41938" w:rsidRPr="00215CD3">
        <w:rPr>
          <w:lang w:val="en-GB"/>
        </w:rPr>
        <w:t xml:space="preserve"> the interview</w:t>
      </w:r>
      <w:r w:rsidR="00CC34C2">
        <w:rPr>
          <w:lang w:val="en-GB"/>
        </w:rPr>
        <w:t xml:space="preserve"> venue</w:t>
      </w:r>
      <w:r w:rsidR="00F41938" w:rsidRPr="00215CD3">
        <w:rPr>
          <w:lang w:val="en-GB"/>
        </w:rPr>
        <w:t xml:space="preserve">. The interviewer uses a voice recorder to record the interview. </w:t>
      </w:r>
      <w:r w:rsidR="00E20018" w:rsidRPr="00215CD3">
        <w:rPr>
          <w:lang w:val="en-GB"/>
        </w:rPr>
        <w:t xml:space="preserve">Upon completion of the interview, a transcript of the audio information is attained, and the transcription is printed for thematic analysis. </w:t>
      </w:r>
    </w:p>
    <w:p w14:paraId="5068536B" w14:textId="77777777" w:rsidR="00E20018" w:rsidRPr="00215CD3" w:rsidRDefault="00E6575F" w:rsidP="00266541">
      <w:pPr>
        <w:ind w:firstLine="720"/>
        <w:rPr>
          <w:lang w:val="en-GB"/>
        </w:rPr>
      </w:pPr>
      <w:r w:rsidRPr="00215CD3">
        <w:rPr>
          <w:lang w:val="en-GB"/>
        </w:rPr>
        <w:t xml:space="preserve">The consent form would be used to agree with the participant to provide relevant and not biased information. Also, through the consent form, the research will ensure that the confidentiality of the participant data is observed, which includes not disclosing personal </w:t>
      </w:r>
      <w:r w:rsidRPr="00215CD3">
        <w:rPr>
          <w:lang w:val="en-GB"/>
        </w:rPr>
        <w:lastRenderedPageBreak/>
        <w:t xml:space="preserve">information to a third party. Upon signing the contract, the interview can start when both the participant and the interviewer are satisfied. </w:t>
      </w:r>
    </w:p>
    <w:p w14:paraId="4D5514CD" w14:textId="48668B5C" w:rsidR="00E20018" w:rsidRPr="00215CD3" w:rsidRDefault="00E6575F" w:rsidP="00E20018">
      <w:pPr>
        <w:rPr>
          <w:szCs w:val="24"/>
          <w:lang w:val="en-GB"/>
        </w:rPr>
      </w:pPr>
      <w:r w:rsidRPr="00215CD3">
        <w:rPr>
          <w:b/>
          <w:lang w:val="en-GB"/>
        </w:rPr>
        <w:t>Data</w:t>
      </w:r>
      <w:r w:rsidRPr="00215CD3">
        <w:rPr>
          <w:lang w:val="en-GB"/>
        </w:rPr>
        <w:t xml:space="preserve"> </w:t>
      </w:r>
      <w:r w:rsidRPr="00215CD3">
        <w:rPr>
          <w:b/>
          <w:lang w:val="en-GB"/>
        </w:rPr>
        <w:t xml:space="preserve">Analysis: </w:t>
      </w:r>
      <w:r w:rsidR="00C91F9B" w:rsidRPr="00215CD3">
        <w:rPr>
          <w:lang w:val="en-GB"/>
        </w:rPr>
        <w:t xml:space="preserve">The themes and subthemes of the study are interpreted using thematic analysis. According to </w:t>
      </w:r>
      <w:r w:rsidR="00C91F9B" w:rsidRPr="00215CD3">
        <w:rPr>
          <w:szCs w:val="24"/>
          <w:lang w:val="en-GB"/>
        </w:rPr>
        <w:t xml:space="preserve">Clarke and Braun (2013), thematic analysis has been an essential method for identifying and </w:t>
      </w:r>
      <w:r w:rsidR="00601D9A" w:rsidRPr="00215CD3">
        <w:rPr>
          <w:szCs w:val="24"/>
          <w:lang w:val="en-GB"/>
        </w:rPr>
        <w:t>analysing</w:t>
      </w:r>
      <w:r w:rsidR="00C91F9B" w:rsidRPr="00215CD3">
        <w:rPr>
          <w:szCs w:val="24"/>
          <w:lang w:val="en-GB"/>
        </w:rPr>
        <w:t xml:space="preserve"> qualitative data. Moreover, the thematic analysis </w:t>
      </w:r>
      <w:r w:rsidR="00F32822" w:rsidRPr="00215CD3">
        <w:rPr>
          <w:szCs w:val="24"/>
          <w:lang w:val="en-GB"/>
        </w:rPr>
        <w:t xml:space="preserve">method is theoretically flexible. The search, examination, and patterning across language do not need observance to any specific language theory or explanatory meaning framework, practices, or experiences. </w:t>
      </w:r>
      <w:r w:rsidR="00601D9A" w:rsidRPr="00215CD3">
        <w:rPr>
          <w:szCs w:val="24"/>
          <w:lang w:val="en-GB"/>
        </w:rPr>
        <w:t>Therefore</w:t>
      </w:r>
      <w:r w:rsidR="00F32822" w:rsidRPr="00215CD3">
        <w:rPr>
          <w:szCs w:val="24"/>
          <w:lang w:val="en-GB"/>
        </w:rPr>
        <w:t xml:space="preserve">, the thematic analysis applies to a variety of theatrical frameworks. </w:t>
      </w:r>
    </w:p>
    <w:p w14:paraId="540BC9A6" w14:textId="77777777" w:rsidR="00F32822" w:rsidRPr="00215CD3" w:rsidRDefault="00E6575F" w:rsidP="00F32822">
      <w:pPr>
        <w:jc w:val="center"/>
        <w:rPr>
          <w:b/>
          <w:szCs w:val="24"/>
          <w:lang w:val="en-GB"/>
        </w:rPr>
      </w:pPr>
      <w:r w:rsidRPr="00215CD3">
        <w:rPr>
          <w:b/>
          <w:szCs w:val="24"/>
          <w:lang w:val="en-GB"/>
        </w:rPr>
        <w:t>Results</w:t>
      </w:r>
    </w:p>
    <w:p w14:paraId="6343C297" w14:textId="77777777" w:rsidR="00F32822" w:rsidRPr="00215CD3" w:rsidRDefault="00E6575F" w:rsidP="00F32822">
      <w:pPr>
        <w:ind w:firstLine="720"/>
        <w:rPr>
          <w:szCs w:val="24"/>
          <w:lang w:val="en-GB"/>
        </w:rPr>
      </w:pPr>
      <w:r w:rsidRPr="00215CD3">
        <w:rPr>
          <w:szCs w:val="24"/>
          <w:lang w:val="en-GB"/>
        </w:rPr>
        <w:t xml:space="preserve">The results of the research were based on several themes and subthemes. The following are the results based on the themes and their subthemes. </w:t>
      </w:r>
    </w:p>
    <w:p w14:paraId="398CFA2A" w14:textId="77777777" w:rsidR="004172DB" w:rsidRPr="00215CD3" w:rsidRDefault="00E6575F" w:rsidP="00F32822">
      <w:pPr>
        <w:rPr>
          <w:b/>
          <w:szCs w:val="24"/>
          <w:lang w:val="en-GB"/>
        </w:rPr>
      </w:pPr>
      <w:r w:rsidRPr="00215CD3">
        <w:rPr>
          <w:b/>
          <w:szCs w:val="24"/>
          <w:lang w:val="en-GB"/>
        </w:rPr>
        <w:t xml:space="preserve">Theme 1: </w:t>
      </w:r>
      <w:r w:rsidR="00C11CDC" w:rsidRPr="00215CD3">
        <w:rPr>
          <w:b/>
          <w:szCs w:val="24"/>
          <w:lang w:val="en-GB"/>
        </w:rPr>
        <w:t xml:space="preserve">Eating Healthy </w:t>
      </w:r>
    </w:p>
    <w:p w14:paraId="7065F8E4" w14:textId="23EF8C57" w:rsidR="00C11CDC" w:rsidRPr="00215CD3" w:rsidRDefault="00E6575F" w:rsidP="00C11CDC">
      <w:pPr>
        <w:ind w:firstLine="720"/>
        <w:rPr>
          <w:szCs w:val="24"/>
          <w:lang w:val="en-GB"/>
        </w:rPr>
      </w:pPr>
      <w:r w:rsidRPr="00215CD3">
        <w:rPr>
          <w:szCs w:val="24"/>
          <w:lang w:val="en-GB"/>
        </w:rPr>
        <w:t>A healthy diet is associated with individual well-being. The outcome of the research shows that eating healthy makes the body strong and in good shape.  According to CDC</w:t>
      </w:r>
      <w:r w:rsidR="00601D9A">
        <w:rPr>
          <w:szCs w:val="24"/>
          <w:lang w:val="en-GB"/>
        </w:rPr>
        <w:t xml:space="preserve">, </w:t>
      </w:r>
      <w:r w:rsidRPr="00215CD3">
        <w:rPr>
          <w:szCs w:val="24"/>
          <w:lang w:val="en-GB"/>
        </w:rPr>
        <w:t>healthy eating results in strong immunity, and the risk of some diseases like type 2 diabetes, heart disease, and some cancers are reduced</w:t>
      </w:r>
      <w:r w:rsidR="00601D9A" w:rsidRPr="00215CD3">
        <w:rPr>
          <w:szCs w:val="24"/>
          <w:lang w:val="en-GB"/>
        </w:rPr>
        <w:t xml:space="preserve">. </w:t>
      </w:r>
      <w:r w:rsidRPr="00215CD3">
        <w:rPr>
          <w:szCs w:val="24"/>
          <w:lang w:val="en-GB"/>
        </w:rPr>
        <w:t xml:space="preserve">A combination of healthy eating and body exercise such as walking boosts the wellness of the body. Individual </w:t>
      </w:r>
      <w:r w:rsidR="001F28BF" w:rsidRPr="00215CD3">
        <w:rPr>
          <w:szCs w:val="24"/>
          <w:lang w:val="en-GB"/>
        </w:rPr>
        <w:t>well-being</w:t>
      </w:r>
      <w:r w:rsidRPr="00215CD3">
        <w:rPr>
          <w:szCs w:val="24"/>
          <w:lang w:val="en-GB"/>
        </w:rPr>
        <w:t>, according to the participant, involves personal care. Personal care involves looking after self to e</w:t>
      </w:r>
      <w:r w:rsidR="00CB6952" w:rsidRPr="00215CD3">
        <w:rPr>
          <w:szCs w:val="24"/>
          <w:lang w:val="en-GB"/>
        </w:rPr>
        <w:t>nsure that normality is attain</w:t>
      </w:r>
      <w:r w:rsidRPr="00215CD3">
        <w:rPr>
          <w:szCs w:val="24"/>
          <w:lang w:val="en-GB"/>
        </w:rPr>
        <w:t xml:space="preserve">ed in physical, emotional, and mental terms. </w:t>
      </w:r>
      <w:r w:rsidR="00CB6952" w:rsidRPr="00215CD3">
        <w:rPr>
          <w:szCs w:val="24"/>
          <w:lang w:val="en-GB"/>
        </w:rPr>
        <w:t>The participant explains that eating healthy keeps her moods stable.</w:t>
      </w:r>
      <w:r w:rsidRPr="00215CD3">
        <w:rPr>
          <w:szCs w:val="24"/>
          <w:lang w:val="en-GB"/>
        </w:rPr>
        <w:t xml:space="preserve"> I quote, “</w:t>
      </w:r>
      <w:r w:rsidRPr="00215CD3">
        <w:rPr>
          <w:lang w:val="en-GB"/>
        </w:rPr>
        <w:t xml:space="preserve">– I find eating healthy keeps moods a bit more stable, and um, listening to music, of course, and exercise.” </w:t>
      </w:r>
      <w:r w:rsidR="00CB6952" w:rsidRPr="00215CD3">
        <w:rPr>
          <w:szCs w:val="24"/>
          <w:lang w:val="en-GB"/>
        </w:rPr>
        <w:t xml:space="preserve"> Therefore, eating healthy ensures individual </w:t>
      </w:r>
      <w:r w:rsidR="001F28BF" w:rsidRPr="00215CD3">
        <w:rPr>
          <w:szCs w:val="24"/>
          <w:lang w:val="en-GB"/>
        </w:rPr>
        <w:t>well-being</w:t>
      </w:r>
      <w:r w:rsidR="00CB6952" w:rsidRPr="00215CD3">
        <w:rPr>
          <w:szCs w:val="24"/>
          <w:lang w:val="en-GB"/>
        </w:rPr>
        <w:t xml:space="preserve"> in physical, emotional, and mental terms. Eating a healthy diet results in a healthy life, which keeps the body from sickness and the right shape. Sickness brings about stress which </w:t>
      </w:r>
      <w:r w:rsidR="00CB6952" w:rsidRPr="00215CD3">
        <w:rPr>
          <w:szCs w:val="24"/>
          <w:lang w:val="en-GB"/>
        </w:rPr>
        <w:lastRenderedPageBreak/>
        <w:t xml:space="preserve">affects individuals negatively physically and psychologically. Health people engage in activities that are essential for the protection of the environment. Therefore, a healthy diet promotes individual well-being, which results in environmental well-being because individuals who are healthy and in stable condition will be pleased to engage in environmental conservation activities such as collecting garbage around and ensuring the surrounding area is clean and conducive for living. </w:t>
      </w:r>
    </w:p>
    <w:p w14:paraId="130A48A7" w14:textId="77777777" w:rsidR="00C11CDC" w:rsidRPr="00215CD3" w:rsidRDefault="00E6575F" w:rsidP="00C11CDC">
      <w:pPr>
        <w:rPr>
          <w:b/>
          <w:szCs w:val="24"/>
          <w:lang w:val="en-GB"/>
        </w:rPr>
      </w:pPr>
      <w:r w:rsidRPr="00215CD3">
        <w:rPr>
          <w:b/>
          <w:szCs w:val="24"/>
          <w:lang w:val="en-GB"/>
        </w:rPr>
        <w:t>Theme 2: Individual Perception on Well</w:t>
      </w:r>
      <w:r w:rsidR="000349B6" w:rsidRPr="00215CD3">
        <w:rPr>
          <w:b/>
          <w:szCs w:val="24"/>
          <w:lang w:val="en-GB"/>
        </w:rPr>
        <w:t>-B</w:t>
      </w:r>
      <w:r w:rsidRPr="00215CD3">
        <w:rPr>
          <w:b/>
          <w:szCs w:val="24"/>
          <w:lang w:val="en-GB"/>
        </w:rPr>
        <w:t xml:space="preserve">eing </w:t>
      </w:r>
    </w:p>
    <w:p w14:paraId="0C91F208" w14:textId="77777777" w:rsidR="00C11CDC" w:rsidRPr="00215CD3" w:rsidRDefault="00E6575F" w:rsidP="00C11CDC">
      <w:pPr>
        <w:rPr>
          <w:szCs w:val="24"/>
          <w:lang w:val="en-GB"/>
        </w:rPr>
      </w:pPr>
      <w:r w:rsidRPr="00215CD3">
        <w:rPr>
          <w:szCs w:val="24"/>
          <w:lang w:val="en-GB"/>
        </w:rPr>
        <w:tab/>
      </w:r>
      <w:r w:rsidR="00920D71" w:rsidRPr="00215CD3">
        <w:rPr>
          <w:szCs w:val="24"/>
          <w:lang w:val="en-GB"/>
        </w:rPr>
        <w:t xml:space="preserve">The research introduces the theme of individual perception on </w:t>
      </w:r>
      <w:r w:rsidR="001F28BF" w:rsidRPr="00215CD3">
        <w:rPr>
          <w:szCs w:val="24"/>
          <w:lang w:val="en-GB"/>
        </w:rPr>
        <w:t>well-being</w:t>
      </w:r>
      <w:r w:rsidR="007D3381" w:rsidRPr="00215CD3">
        <w:rPr>
          <w:szCs w:val="24"/>
          <w:lang w:val="en-GB"/>
        </w:rPr>
        <w:t xml:space="preserve">. </w:t>
      </w:r>
      <w:r w:rsidR="000349B6" w:rsidRPr="00215CD3">
        <w:rPr>
          <w:szCs w:val="24"/>
          <w:lang w:val="en-GB"/>
        </w:rPr>
        <w:t>This</w:t>
      </w:r>
      <w:r w:rsidR="007D3381" w:rsidRPr="00215CD3">
        <w:rPr>
          <w:szCs w:val="24"/>
          <w:lang w:val="en-GB"/>
        </w:rPr>
        <w:t xml:space="preserve"> theme is supported by subthemes which include individual </w:t>
      </w:r>
      <w:r w:rsidR="001F28BF" w:rsidRPr="00215CD3">
        <w:rPr>
          <w:szCs w:val="24"/>
          <w:lang w:val="en-GB"/>
        </w:rPr>
        <w:t>well-being</w:t>
      </w:r>
      <w:r w:rsidR="007D3381" w:rsidRPr="00215CD3">
        <w:rPr>
          <w:szCs w:val="24"/>
          <w:lang w:val="en-GB"/>
        </w:rPr>
        <w:t xml:space="preserve"> and the </w:t>
      </w:r>
      <w:r w:rsidR="000349B6" w:rsidRPr="00215CD3">
        <w:rPr>
          <w:szCs w:val="24"/>
          <w:lang w:val="en-GB"/>
        </w:rPr>
        <w:t xml:space="preserve">wider issues, societal </w:t>
      </w:r>
      <w:r w:rsidR="001F28BF" w:rsidRPr="00215CD3">
        <w:rPr>
          <w:szCs w:val="24"/>
          <w:lang w:val="en-GB"/>
        </w:rPr>
        <w:t>well-being</w:t>
      </w:r>
      <w:r w:rsidR="000349B6" w:rsidRPr="00215CD3">
        <w:rPr>
          <w:szCs w:val="24"/>
          <w:lang w:val="en-GB"/>
        </w:rPr>
        <w:t xml:space="preserve">, and environmental </w:t>
      </w:r>
      <w:r w:rsidR="001F28BF" w:rsidRPr="00215CD3">
        <w:rPr>
          <w:szCs w:val="24"/>
          <w:lang w:val="en-GB"/>
        </w:rPr>
        <w:t>well-being</w:t>
      </w:r>
      <w:r w:rsidR="000349B6" w:rsidRPr="00215CD3">
        <w:rPr>
          <w:szCs w:val="24"/>
          <w:lang w:val="en-GB"/>
        </w:rPr>
        <w:t xml:space="preserve">. </w:t>
      </w:r>
    </w:p>
    <w:p w14:paraId="55FEDBB2" w14:textId="77777777" w:rsidR="000349B6" w:rsidRPr="00215CD3" w:rsidRDefault="00E6575F" w:rsidP="00C11CDC">
      <w:pPr>
        <w:rPr>
          <w:lang w:val="en-GB"/>
        </w:rPr>
      </w:pPr>
      <w:r w:rsidRPr="00215CD3">
        <w:rPr>
          <w:b/>
          <w:szCs w:val="24"/>
          <w:lang w:val="en-GB"/>
        </w:rPr>
        <w:t xml:space="preserve">The Wider Issues and Individual Well-Being: </w:t>
      </w:r>
      <w:r w:rsidRPr="00215CD3">
        <w:rPr>
          <w:szCs w:val="24"/>
          <w:lang w:val="en-GB"/>
        </w:rPr>
        <w:t xml:space="preserve">healthy individuals take care of the surroundings to ensure the environment is conducive to living in. In the </w:t>
      </w:r>
      <w:r w:rsidR="00695CCA" w:rsidRPr="00215CD3">
        <w:rPr>
          <w:szCs w:val="24"/>
          <w:lang w:val="en-GB"/>
        </w:rPr>
        <w:t>interview</w:t>
      </w:r>
      <w:r w:rsidRPr="00215CD3">
        <w:rPr>
          <w:szCs w:val="24"/>
          <w:lang w:val="en-GB"/>
        </w:rPr>
        <w:t>, the participant explained how well helping is essential in ensuring the environment and societal well-being are observed by engaging in activities such as collecting litter around the beach because they live around a beach. I quote, "</w:t>
      </w:r>
      <w:r w:rsidRPr="00215CD3">
        <w:rPr>
          <w:lang w:val="en-GB"/>
        </w:rPr>
        <w:t xml:space="preserve">I think, especially by where we live, we live near a beach, and you can see that the community has made an effort, so when there's little on the beach, for example, we all go out and tidy it up." This action shows that the well-being of individuals is essential for the </w:t>
      </w:r>
      <w:r w:rsidR="00695CCA" w:rsidRPr="00215CD3">
        <w:rPr>
          <w:lang w:val="en-GB"/>
        </w:rPr>
        <w:t xml:space="preserve">promotion of societal and environmental well-being. Therefore, healthy individuals are actively involved in environmental conservation activities that promote societal well-being. </w:t>
      </w:r>
    </w:p>
    <w:p w14:paraId="2D3F1DBF" w14:textId="23F003ED" w:rsidR="00695CCA" w:rsidRPr="00215CD3" w:rsidRDefault="00E6575F" w:rsidP="00C11CDC">
      <w:pPr>
        <w:rPr>
          <w:lang w:val="en-GB"/>
        </w:rPr>
      </w:pPr>
      <w:r w:rsidRPr="00215CD3">
        <w:rPr>
          <w:b/>
          <w:lang w:val="en-GB"/>
        </w:rPr>
        <w:t xml:space="preserve">Environmental Well-Being: </w:t>
      </w:r>
      <w:r w:rsidRPr="00215CD3">
        <w:rPr>
          <w:lang w:val="en-GB"/>
        </w:rPr>
        <w:t>The participant indicates that she tries to help the environment by collecting can</w:t>
      </w:r>
      <w:r w:rsidR="00601D9A">
        <w:rPr>
          <w:lang w:val="en-GB"/>
        </w:rPr>
        <w:t>s</w:t>
      </w:r>
      <w:r w:rsidRPr="00215CD3">
        <w:rPr>
          <w:lang w:val="en-GB"/>
        </w:rPr>
        <w:t xml:space="preserve"> left by people when conducting her daily walks. She engages in these activities when she is feeling well. Her actions are aimed at ensuring the tidiness of the area she lives and promoting environmental well-being. Occasionally, the participant collects cans and </w:t>
      </w:r>
      <w:r w:rsidR="00601D9A">
        <w:rPr>
          <w:lang w:val="en-GB"/>
        </w:rPr>
        <w:t>throw</w:t>
      </w:r>
      <w:r w:rsidRPr="00215CD3">
        <w:rPr>
          <w:lang w:val="en-GB"/>
        </w:rPr>
        <w:t xml:space="preserve"> them </w:t>
      </w:r>
      <w:r w:rsidR="004D2BEE">
        <w:rPr>
          <w:lang w:val="en-GB"/>
        </w:rPr>
        <w:lastRenderedPageBreak/>
        <w:t>i</w:t>
      </w:r>
      <w:r w:rsidRPr="00215CD3">
        <w:rPr>
          <w:lang w:val="en-GB"/>
        </w:rPr>
        <w:t>n</w:t>
      </w:r>
      <w:r w:rsidR="004D2BEE">
        <w:rPr>
          <w:lang w:val="en-GB"/>
        </w:rPr>
        <w:t xml:space="preserve"> the</w:t>
      </w:r>
      <w:r w:rsidRPr="00215CD3">
        <w:rPr>
          <w:lang w:val="en-GB"/>
        </w:rPr>
        <w:t xml:space="preserve"> dustbins around. She believes her action can make a difference in promoting an environment that is healthy for living. </w:t>
      </w:r>
      <w:r w:rsidR="00874076" w:rsidRPr="00215CD3">
        <w:rPr>
          <w:lang w:val="en-GB"/>
        </w:rPr>
        <w:t>In addition, promoting environmental well-being brings self-satisfaction. The participant claimed that engaging in activities such as tidying the beach surrounding and collecting cans on the way during daily walk makes her satisfied. However, sometimes she does not follow the ethical procedures as she can thr</w:t>
      </w:r>
      <w:r w:rsidR="004D2BEE">
        <w:rPr>
          <w:lang w:val="en-GB"/>
        </w:rPr>
        <w:t>ow</w:t>
      </w:r>
      <w:r w:rsidR="00874076" w:rsidRPr="00215CD3">
        <w:rPr>
          <w:lang w:val="en-GB"/>
        </w:rPr>
        <w:t xml:space="preserve"> litter from her house through the window</w:t>
      </w:r>
      <w:r w:rsidR="004D2BEE" w:rsidRPr="00215CD3">
        <w:rPr>
          <w:lang w:val="en-GB"/>
        </w:rPr>
        <w:t xml:space="preserve">. </w:t>
      </w:r>
    </w:p>
    <w:p w14:paraId="6964F94F" w14:textId="31DAC6A6" w:rsidR="00874076" w:rsidRPr="00215CD3" w:rsidRDefault="004D2BEE" w:rsidP="00C11CDC">
      <w:pPr>
        <w:rPr>
          <w:lang w:val="en-GB"/>
        </w:rPr>
      </w:pPr>
      <w:r w:rsidRPr="00215CD3">
        <w:rPr>
          <w:b/>
          <w:lang w:val="en-GB"/>
        </w:rPr>
        <w:t>Social</w:t>
      </w:r>
      <w:r w:rsidR="00E6575F" w:rsidRPr="00215CD3">
        <w:rPr>
          <w:b/>
          <w:lang w:val="en-GB"/>
        </w:rPr>
        <w:t xml:space="preserve"> Well-Being</w:t>
      </w:r>
      <w:r w:rsidR="00E6575F" w:rsidRPr="00215CD3">
        <w:rPr>
          <w:lang w:val="en-GB"/>
        </w:rPr>
        <w:t xml:space="preserve">: </w:t>
      </w:r>
      <w:r w:rsidRPr="00215CD3">
        <w:rPr>
          <w:lang w:val="en-GB"/>
        </w:rPr>
        <w:t>Social</w:t>
      </w:r>
      <w:r w:rsidR="00E6575F" w:rsidRPr="00215CD3">
        <w:rPr>
          <w:lang w:val="en-GB"/>
        </w:rPr>
        <w:t xml:space="preserve"> well-being involves ensuring that life in society is conducive and healthy. The participant collecting used cans, recycling them, and sometimes chunking them in the bins makes society conducive and attractive for people</w:t>
      </w:r>
      <w:r w:rsidR="003577F8" w:rsidRPr="00215CD3">
        <w:rPr>
          <w:lang w:val="en-GB"/>
        </w:rPr>
        <w:t xml:space="preserve"> to interact freely with nature. </w:t>
      </w:r>
    </w:p>
    <w:p w14:paraId="61BD2C21" w14:textId="77777777" w:rsidR="003577F8" w:rsidRPr="00215CD3" w:rsidRDefault="00E6575F" w:rsidP="00C11CDC">
      <w:pPr>
        <w:rPr>
          <w:b/>
          <w:lang w:val="en-GB"/>
        </w:rPr>
      </w:pPr>
      <w:r w:rsidRPr="00215CD3">
        <w:rPr>
          <w:b/>
          <w:lang w:val="en-GB"/>
        </w:rPr>
        <w:t>Theme 3: Conservation of Resource</w:t>
      </w:r>
    </w:p>
    <w:p w14:paraId="3152E56D" w14:textId="77777777" w:rsidR="003577F8" w:rsidRPr="00215CD3" w:rsidRDefault="00E6575F" w:rsidP="00C11CDC">
      <w:pPr>
        <w:rPr>
          <w:lang w:val="en-GB"/>
        </w:rPr>
      </w:pPr>
      <w:r w:rsidRPr="00215CD3">
        <w:rPr>
          <w:lang w:val="en-GB"/>
        </w:rPr>
        <w:t xml:space="preserve">The researcher, through the interview, introduces the theme of conservation of available resources. The theme is accompanied by subthemes which are saving electricity and recycling recyclable resources. </w:t>
      </w:r>
    </w:p>
    <w:p w14:paraId="54384E9A" w14:textId="390E5071" w:rsidR="003577F8" w:rsidRPr="00215CD3" w:rsidRDefault="00E6575F" w:rsidP="00C11CDC">
      <w:pPr>
        <w:rPr>
          <w:lang w:val="en-GB"/>
        </w:rPr>
      </w:pPr>
      <w:r w:rsidRPr="00215CD3">
        <w:rPr>
          <w:b/>
          <w:lang w:val="en-GB"/>
        </w:rPr>
        <w:t>Saving Electricity</w:t>
      </w:r>
      <w:r w:rsidRPr="00215CD3">
        <w:rPr>
          <w:lang w:val="en-GB"/>
        </w:rPr>
        <w:t xml:space="preserve">: saving electricity is essential for the protection of the exploitation of the environment. However, the participant is concerned about the bills which are charged for electricity. Turning off electric devices when not in use results in saving energy that could be used in time of need. Therefore, it is essential to save energy and focus on using energy that does not result in environmental pollution to maintain environmental well-being. For example, she states that "I think a good example is that NatWest advert, where you get cashback on your bills… a man is going around the house singing "I've got bills" and going around the house and turning everything off... Well, that's me... I go around the house turning thermostats down </w:t>
      </w:r>
      <w:r w:rsidR="004D2BEE">
        <w:rPr>
          <w:lang w:val="en-GB"/>
        </w:rPr>
        <w:t>during the day</w:t>
      </w:r>
      <w:r w:rsidRPr="00215CD3">
        <w:rPr>
          <w:lang w:val="en-GB"/>
        </w:rPr>
        <w:t xml:space="preserve">, I'll turn them up in the morning…I do switch the lights off, we have eco-bulbs everywhere, and I do switch the lights off in between.” </w:t>
      </w:r>
    </w:p>
    <w:p w14:paraId="0F2C5924" w14:textId="77777777" w:rsidR="003577F8" w:rsidRPr="00215CD3" w:rsidRDefault="00E6575F" w:rsidP="00C11CDC">
      <w:pPr>
        <w:rPr>
          <w:lang w:val="en-GB"/>
        </w:rPr>
      </w:pPr>
      <w:r w:rsidRPr="00215CD3">
        <w:rPr>
          <w:b/>
          <w:lang w:val="en-GB"/>
        </w:rPr>
        <w:lastRenderedPageBreak/>
        <w:t>Recycling</w:t>
      </w:r>
      <w:r w:rsidRPr="00215CD3">
        <w:rPr>
          <w:lang w:val="en-GB"/>
        </w:rPr>
        <w:t xml:space="preserve">: recycling is an essential move to ensure the well-being of the environment. The participant, in this case, has elaborated that she collects cans and, in most cases, recycles them. </w:t>
      </w:r>
      <w:r w:rsidR="00CD0201" w:rsidRPr="00215CD3">
        <w:rPr>
          <w:lang w:val="en-GB"/>
        </w:rPr>
        <w:t>Also</w:t>
      </w:r>
      <w:r w:rsidRPr="00215CD3">
        <w:rPr>
          <w:lang w:val="en-GB"/>
        </w:rPr>
        <w:t xml:space="preserve">, when at home, she recycles black bin papers. The black bin paper that is usually </w:t>
      </w:r>
      <w:r w:rsidR="00CD0201" w:rsidRPr="00215CD3">
        <w:rPr>
          <w:lang w:val="en-GB"/>
        </w:rPr>
        <w:t xml:space="preserve">recycled is those which does not contain dog and cat waste. Thus, recycling reduces the risk of pollution to the environment and exposure of the people to environmental hazards due to poor exposure to hazardous objects such as broken glass bottles. </w:t>
      </w:r>
    </w:p>
    <w:p w14:paraId="336482D6" w14:textId="77777777" w:rsidR="00CD0201" w:rsidRPr="00215CD3" w:rsidRDefault="00E6575F" w:rsidP="00CD0201">
      <w:pPr>
        <w:jc w:val="center"/>
        <w:rPr>
          <w:b/>
          <w:lang w:val="en-GB"/>
        </w:rPr>
      </w:pPr>
      <w:r w:rsidRPr="00215CD3">
        <w:rPr>
          <w:b/>
          <w:lang w:val="en-GB"/>
        </w:rPr>
        <w:t>Discussion</w:t>
      </w:r>
    </w:p>
    <w:p w14:paraId="31FC0D88" w14:textId="77777777" w:rsidR="00CD0201" w:rsidRPr="00215CD3" w:rsidRDefault="00E6575F" w:rsidP="00CD0201">
      <w:pPr>
        <w:rPr>
          <w:lang w:val="en-GB"/>
        </w:rPr>
      </w:pPr>
      <w:r w:rsidRPr="00215CD3">
        <w:rPr>
          <w:lang w:val="en-GB"/>
        </w:rPr>
        <w:tab/>
        <w:t>The results of the research show that individual well-being is interrelated to environmental well-being. An individual in healthy status in physical, emotional, and mental terms always engages in activities to ensure that the environment they live in is conducive and free from risks that make their interaction with nature inevitable.</w:t>
      </w:r>
      <w:r w:rsidR="005625FE" w:rsidRPr="00215CD3">
        <w:rPr>
          <w:lang w:val="en-GB"/>
        </w:rPr>
        <w:t xml:space="preserve"> Individual well-being is essential for the promotion of environmental and societal well-being. When environment well-being is observed, it promotes individual well-being, performance, and health. A healthy environment does not expose the individuals living in it to dangers of disease-causing germs which are available in degrading environments. </w:t>
      </w:r>
    </w:p>
    <w:p w14:paraId="2D9FE051" w14:textId="77777777" w:rsidR="005625FE" w:rsidRPr="00215CD3" w:rsidRDefault="00E6575F" w:rsidP="00CD0201">
      <w:pPr>
        <w:rPr>
          <w:lang w:val="en-GB"/>
        </w:rPr>
      </w:pPr>
      <w:r w:rsidRPr="00215CD3">
        <w:rPr>
          <w:lang w:val="en-GB"/>
        </w:rPr>
        <w:tab/>
        <w:t>According to the results, it is difficult for the individual to work in an environment that is not conducive. Therefore, environmental well-being ensures the environment is conducive and facilitates the sustainability of human activities in harmony</w:t>
      </w:r>
      <w:r w:rsidR="00E05AC9" w:rsidRPr="00215CD3">
        <w:rPr>
          <w:lang w:val="en-GB"/>
        </w:rPr>
        <w:t xml:space="preserve"> (</w:t>
      </w:r>
      <w:proofErr w:type="spellStart"/>
      <w:r w:rsidR="00515E8A" w:rsidRPr="00215CD3">
        <w:rPr>
          <w:lang w:val="en-GB"/>
        </w:rPr>
        <w:t>Berlanda</w:t>
      </w:r>
      <w:proofErr w:type="spellEnd"/>
      <w:r w:rsidR="00515E8A" w:rsidRPr="00215CD3">
        <w:rPr>
          <w:lang w:val="en-GB"/>
        </w:rPr>
        <w:t xml:space="preserve"> </w:t>
      </w:r>
      <w:r w:rsidR="00E05AC9" w:rsidRPr="00215CD3">
        <w:rPr>
          <w:lang w:val="en-GB"/>
        </w:rPr>
        <w:t>et al</w:t>
      </w:r>
      <w:r w:rsidR="00515E8A" w:rsidRPr="00215CD3">
        <w:rPr>
          <w:lang w:val="en-GB"/>
        </w:rPr>
        <w:t>., 2020)</w:t>
      </w:r>
      <w:r w:rsidRPr="00215CD3">
        <w:rPr>
          <w:lang w:val="en-GB"/>
        </w:rPr>
        <w:t xml:space="preserve">. Therefore, factors that affect individual well-being have an impact on environmental well-being. For instance, in promoting </w:t>
      </w:r>
      <w:r w:rsidR="00BE0B96" w:rsidRPr="00215CD3">
        <w:rPr>
          <w:lang w:val="en-GB"/>
        </w:rPr>
        <w:t xml:space="preserve">health workers' well-being, their working environment well-being should be the priority because it is difficult for the health workers to offer services as required when the working environment is not conducive. </w:t>
      </w:r>
    </w:p>
    <w:p w14:paraId="696D48F5" w14:textId="00B94F27" w:rsidR="001F28BF" w:rsidRPr="00215CD3" w:rsidRDefault="00E6575F" w:rsidP="00E05AC9">
      <w:pPr>
        <w:rPr>
          <w:lang w:val="en-GB"/>
        </w:rPr>
      </w:pPr>
      <w:r w:rsidRPr="00215CD3">
        <w:rPr>
          <w:lang w:val="en-GB"/>
        </w:rPr>
        <w:lastRenderedPageBreak/>
        <w:tab/>
        <w:t xml:space="preserve">The research is limited as it depends on data collected from only one person. Thus, results cannot be generalized. Also, the responses are based on individual perceptions, which may not be the view of others. However, the research strength is based on consultation of researches conducted by people trying to explain the concept of the well-being of the environment and humans. </w:t>
      </w:r>
      <w:r w:rsidR="00330B97" w:rsidRPr="00215CD3">
        <w:rPr>
          <w:lang w:val="en-GB"/>
        </w:rPr>
        <w:t>Therefore</w:t>
      </w:r>
      <w:r w:rsidRPr="00215CD3">
        <w:rPr>
          <w:lang w:val="en-GB"/>
        </w:rPr>
        <w:t xml:space="preserve">, the conclusions drawn from the study are essential and can be used to inform other researchers and promote environmental well-being and individual well-being at the same time. </w:t>
      </w:r>
      <w:r w:rsidR="00E05AC9" w:rsidRPr="00215CD3">
        <w:rPr>
          <w:lang w:val="en-GB"/>
        </w:rPr>
        <w:t>In conclusion, t</w:t>
      </w:r>
      <w:r w:rsidRPr="00215CD3">
        <w:rPr>
          <w:lang w:val="en-GB"/>
        </w:rPr>
        <w:t>hey found out that individual and environmental well-being are connected and interrelated so that they cannot be separated. However, future research can be conducted to ascertain the impact of environmental</w:t>
      </w:r>
      <w:r w:rsidRPr="00215CD3">
        <w:rPr>
          <w:b/>
          <w:lang w:val="en-GB"/>
        </w:rPr>
        <w:t xml:space="preserve"> </w:t>
      </w:r>
      <w:r w:rsidRPr="00215CD3">
        <w:rPr>
          <w:lang w:val="en-GB"/>
        </w:rPr>
        <w:t xml:space="preserve">degrading on individual well-being. </w:t>
      </w:r>
    </w:p>
    <w:p w14:paraId="2094CE6D" w14:textId="77777777" w:rsidR="00E05AC9" w:rsidRPr="00215CD3" w:rsidRDefault="00E6575F">
      <w:pPr>
        <w:rPr>
          <w:lang w:val="en-GB"/>
        </w:rPr>
      </w:pPr>
      <w:r w:rsidRPr="00215CD3">
        <w:rPr>
          <w:lang w:val="en-GB"/>
        </w:rPr>
        <w:br w:type="page"/>
      </w:r>
    </w:p>
    <w:p w14:paraId="07BFE2E6" w14:textId="77777777" w:rsidR="00E05AC9" w:rsidRPr="00215CD3" w:rsidRDefault="00E6575F" w:rsidP="00E05AC9">
      <w:pPr>
        <w:jc w:val="center"/>
        <w:rPr>
          <w:lang w:val="en-GB"/>
        </w:rPr>
      </w:pPr>
      <w:r w:rsidRPr="00215CD3">
        <w:rPr>
          <w:lang w:val="en-GB"/>
        </w:rPr>
        <w:lastRenderedPageBreak/>
        <w:t>References</w:t>
      </w:r>
    </w:p>
    <w:p w14:paraId="677046FA" w14:textId="77777777" w:rsidR="00515E8A" w:rsidRPr="00215CD3" w:rsidRDefault="00E6575F" w:rsidP="00515E8A">
      <w:pPr>
        <w:ind w:left="720" w:hanging="720"/>
        <w:rPr>
          <w:lang w:val="en-GB"/>
        </w:rPr>
      </w:pPr>
      <w:proofErr w:type="spellStart"/>
      <w:r w:rsidRPr="00215CD3">
        <w:rPr>
          <w:lang w:val="en-GB"/>
        </w:rPr>
        <w:t>Berlanda</w:t>
      </w:r>
      <w:proofErr w:type="spellEnd"/>
      <w:r w:rsidRPr="00215CD3">
        <w:rPr>
          <w:lang w:val="en-GB"/>
        </w:rPr>
        <w:t xml:space="preserve">, S., de Cordova, F., </w:t>
      </w:r>
      <w:proofErr w:type="spellStart"/>
      <w:r w:rsidRPr="00215CD3">
        <w:rPr>
          <w:lang w:val="en-GB"/>
        </w:rPr>
        <w:t>Fraizzoli</w:t>
      </w:r>
      <w:proofErr w:type="spellEnd"/>
      <w:r w:rsidRPr="00215CD3">
        <w:rPr>
          <w:lang w:val="en-GB"/>
        </w:rPr>
        <w:t xml:space="preserve">, M., &amp; </w:t>
      </w:r>
      <w:proofErr w:type="spellStart"/>
      <w:r w:rsidRPr="00215CD3">
        <w:rPr>
          <w:lang w:val="en-GB"/>
        </w:rPr>
        <w:t>Pedrazza</w:t>
      </w:r>
      <w:proofErr w:type="spellEnd"/>
      <w:r w:rsidRPr="00215CD3">
        <w:rPr>
          <w:lang w:val="en-GB"/>
        </w:rPr>
        <w:t>, M. (2020). Risk and Protective Factors of Well-Being among Healthcare Staff. A Thematic Analysis. </w:t>
      </w:r>
      <w:r w:rsidRPr="00215CD3">
        <w:rPr>
          <w:i/>
          <w:iCs/>
          <w:lang w:val="en-GB"/>
        </w:rPr>
        <w:t>International journal of environmental research and public health</w:t>
      </w:r>
      <w:r w:rsidRPr="00215CD3">
        <w:rPr>
          <w:lang w:val="en-GB"/>
        </w:rPr>
        <w:t>, </w:t>
      </w:r>
      <w:r w:rsidRPr="00215CD3">
        <w:rPr>
          <w:i/>
          <w:iCs/>
          <w:lang w:val="en-GB"/>
        </w:rPr>
        <w:t>17</w:t>
      </w:r>
      <w:r w:rsidRPr="00215CD3">
        <w:rPr>
          <w:lang w:val="en-GB"/>
        </w:rPr>
        <w:t>(18), 6651.</w:t>
      </w:r>
    </w:p>
    <w:p w14:paraId="595FD237" w14:textId="77777777" w:rsidR="00515E8A" w:rsidRPr="00215CD3" w:rsidRDefault="00E6575F" w:rsidP="00515E8A">
      <w:pPr>
        <w:ind w:left="720" w:hanging="720"/>
        <w:rPr>
          <w:lang w:val="en-GB"/>
        </w:rPr>
      </w:pPr>
      <w:r w:rsidRPr="00215CD3">
        <w:rPr>
          <w:lang w:val="en-GB"/>
        </w:rPr>
        <w:t>CDC (</w:t>
      </w:r>
      <w:proofErr w:type="spellStart"/>
      <w:r w:rsidRPr="00215CD3">
        <w:rPr>
          <w:lang w:val="en-GB"/>
        </w:rPr>
        <w:t>n.d</w:t>
      </w:r>
      <w:proofErr w:type="spellEnd"/>
      <w:r w:rsidRPr="00215CD3">
        <w:rPr>
          <w:lang w:val="en-GB"/>
        </w:rPr>
        <w:t xml:space="preserve">). Benefits of healthy eating. Retrieved from </w:t>
      </w:r>
      <w:hyperlink r:id="rId5" w:history="1">
        <w:r w:rsidRPr="00215CD3">
          <w:rPr>
            <w:rStyle w:val="Hyperlink"/>
            <w:lang w:val="en-GB"/>
          </w:rPr>
          <w:t>https://www.cdc.gov/nutrition/resources-publications/benefits-of-healthy-eating.html</w:t>
        </w:r>
      </w:hyperlink>
    </w:p>
    <w:p w14:paraId="4C106950" w14:textId="77777777" w:rsidR="00515E8A" w:rsidRPr="00215CD3" w:rsidRDefault="00E6575F" w:rsidP="00515E8A">
      <w:pPr>
        <w:ind w:left="720" w:hanging="720"/>
        <w:rPr>
          <w:lang w:val="en-GB"/>
        </w:rPr>
      </w:pPr>
      <w:r w:rsidRPr="00215CD3">
        <w:rPr>
          <w:lang w:val="en-GB"/>
        </w:rPr>
        <w:t>Clarke, V., &amp; Braun, V. (2013). Teaching thematic analysis: Overcoming challenges and developing strategies for effective learning. </w:t>
      </w:r>
      <w:r w:rsidRPr="00215CD3">
        <w:rPr>
          <w:i/>
          <w:iCs/>
          <w:lang w:val="en-GB"/>
        </w:rPr>
        <w:t>The psychologist</w:t>
      </w:r>
      <w:r w:rsidRPr="00215CD3">
        <w:rPr>
          <w:lang w:val="en-GB"/>
        </w:rPr>
        <w:t>, </w:t>
      </w:r>
      <w:r w:rsidRPr="00215CD3">
        <w:rPr>
          <w:i/>
          <w:iCs/>
          <w:lang w:val="en-GB"/>
        </w:rPr>
        <w:t>26</w:t>
      </w:r>
      <w:r w:rsidRPr="00215CD3">
        <w:rPr>
          <w:lang w:val="en-GB"/>
        </w:rPr>
        <w:t>(2).</w:t>
      </w:r>
    </w:p>
    <w:p w14:paraId="2CA4FA08" w14:textId="77777777" w:rsidR="00515E8A" w:rsidRPr="00215CD3" w:rsidRDefault="00E6575F" w:rsidP="00515E8A">
      <w:pPr>
        <w:ind w:left="720" w:hanging="720"/>
        <w:rPr>
          <w:lang w:val="en-GB"/>
        </w:rPr>
      </w:pPr>
      <w:proofErr w:type="spellStart"/>
      <w:r w:rsidRPr="00215CD3">
        <w:rPr>
          <w:lang w:val="en-GB"/>
        </w:rPr>
        <w:t>Neller</w:t>
      </w:r>
      <w:proofErr w:type="spellEnd"/>
      <w:r w:rsidRPr="00215CD3">
        <w:rPr>
          <w:lang w:val="en-GB"/>
        </w:rPr>
        <w:t xml:space="preserve">, A. H., &amp; </w:t>
      </w:r>
      <w:proofErr w:type="spellStart"/>
      <w:r w:rsidRPr="00215CD3">
        <w:rPr>
          <w:lang w:val="en-GB"/>
        </w:rPr>
        <w:t>Neller</w:t>
      </w:r>
      <w:proofErr w:type="spellEnd"/>
      <w:r w:rsidRPr="00215CD3">
        <w:rPr>
          <w:lang w:val="en-GB"/>
        </w:rPr>
        <w:t>, R. J. (2009). Environment well-being and human well-being. </w:t>
      </w:r>
      <w:r w:rsidRPr="00215CD3">
        <w:rPr>
          <w:i/>
          <w:iCs/>
          <w:lang w:val="en-GB"/>
        </w:rPr>
        <w:t>Institutional issues involving ethics and justice</w:t>
      </w:r>
      <w:r w:rsidRPr="00215CD3">
        <w:rPr>
          <w:lang w:val="en-GB"/>
        </w:rPr>
        <w:t>, </w:t>
      </w:r>
      <w:r w:rsidRPr="00215CD3">
        <w:rPr>
          <w:i/>
          <w:iCs/>
          <w:lang w:val="en-GB"/>
        </w:rPr>
        <w:t>2</w:t>
      </w:r>
      <w:r w:rsidRPr="00215CD3">
        <w:rPr>
          <w:lang w:val="en-GB"/>
        </w:rPr>
        <w:t>, 137.</w:t>
      </w:r>
    </w:p>
    <w:p w14:paraId="5018C1D3" w14:textId="77777777" w:rsidR="00515E8A" w:rsidRPr="00215CD3" w:rsidRDefault="00E6575F" w:rsidP="00515E8A">
      <w:pPr>
        <w:ind w:left="720" w:hanging="720"/>
        <w:rPr>
          <w:lang w:val="en-GB"/>
        </w:rPr>
      </w:pPr>
      <w:r w:rsidRPr="00215CD3">
        <w:rPr>
          <w:lang w:val="en-GB"/>
        </w:rPr>
        <w:t>Ruggeri, K., Garcia-Garzon, E., Maguire, Á., Matz, S., &amp; Huppert, F. A. (2020). Well-being is more than happiness and life satisfaction: a multidimensional analysis of 21 countries. </w:t>
      </w:r>
      <w:r w:rsidRPr="00215CD3">
        <w:rPr>
          <w:i/>
          <w:iCs/>
          <w:lang w:val="en-GB"/>
        </w:rPr>
        <w:t>Health and quality of life outcomes</w:t>
      </w:r>
      <w:r w:rsidRPr="00215CD3">
        <w:rPr>
          <w:lang w:val="en-GB"/>
        </w:rPr>
        <w:t>, </w:t>
      </w:r>
      <w:r w:rsidRPr="00215CD3">
        <w:rPr>
          <w:i/>
          <w:iCs/>
          <w:lang w:val="en-GB"/>
        </w:rPr>
        <w:t>18</w:t>
      </w:r>
      <w:r w:rsidRPr="00215CD3">
        <w:rPr>
          <w:lang w:val="en-GB"/>
        </w:rPr>
        <w:t>(1), 1-16.</w:t>
      </w:r>
    </w:p>
    <w:p w14:paraId="60D088FA" w14:textId="77777777" w:rsidR="00515E8A" w:rsidRPr="00215CD3" w:rsidRDefault="00E6575F">
      <w:pPr>
        <w:rPr>
          <w:b/>
          <w:lang w:val="en-GB"/>
        </w:rPr>
      </w:pPr>
      <w:r w:rsidRPr="00215CD3">
        <w:rPr>
          <w:b/>
          <w:lang w:val="en-GB"/>
        </w:rPr>
        <w:br w:type="page"/>
      </w:r>
    </w:p>
    <w:sectPr w:rsidR="00515E8A" w:rsidRPr="00215C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849C0"/>
    <w:multiLevelType w:val="hybridMultilevel"/>
    <w:tmpl w:val="23A6D860"/>
    <w:lvl w:ilvl="0" w:tplc="B44C502C">
      <w:start w:val="1"/>
      <w:numFmt w:val="lowerRoman"/>
      <w:lvlText w:val="%1."/>
      <w:lvlJc w:val="right"/>
      <w:pPr>
        <w:ind w:left="1449" w:hanging="360"/>
      </w:pPr>
    </w:lvl>
    <w:lvl w:ilvl="1" w:tplc="2124A958" w:tentative="1">
      <w:start w:val="1"/>
      <w:numFmt w:val="lowerLetter"/>
      <w:lvlText w:val="%2."/>
      <w:lvlJc w:val="left"/>
      <w:pPr>
        <w:ind w:left="2169" w:hanging="360"/>
      </w:pPr>
    </w:lvl>
    <w:lvl w:ilvl="2" w:tplc="486A6960" w:tentative="1">
      <w:start w:val="1"/>
      <w:numFmt w:val="lowerRoman"/>
      <w:lvlText w:val="%3."/>
      <w:lvlJc w:val="right"/>
      <w:pPr>
        <w:ind w:left="2889" w:hanging="180"/>
      </w:pPr>
    </w:lvl>
    <w:lvl w:ilvl="3" w:tplc="1A2EC9CE" w:tentative="1">
      <w:start w:val="1"/>
      <w:numFmt w:val="decimal"/>
      <w:lvlText w:val="%4."/>
      <w:lvlJc w:val="left"/>
      <w:pPr>
        <w:ind w:left="3609" w:hanging="360"/>
      </w:pPr>
    </w:lvl>
    <w:lvl w:ilvl="4" w:tplc="739EF736" w:tentative="1">
      <w:start w:val="1"/>
      <w:numFmt w:val="lowerLetter"/>
      <w:lvlText w:val="%5."/>
      <w:lvlJc w:val="left"/>
      <w:pPr>
        <w:ind w:left="4329" w:hanging="360"/>
      </w:pPr>
    </w:lvl>
    <w:lvl w:ilvl="5" w:tplc="5A2E2B58" w:tentative="1">
      <w:start w:val="1"/>
      <w:numFmt w:val="lowerRoman"/>
      <w:lvlText w:val="%6."/>
      <w:lvlJc w:val="right"/>
      <w:pPr>
        <w:ind w:left="5049" w:hanging="180"/>
      </w:pPr>
    </w:lvl>
    <w:lvl w:ilvl="6" w:tplc="5DF60830" w:tentative="1">
      <w:start w:val="1"/>
      <w:numFmt w:val="decimal"/>
      <w:lvlText w:val="%7."/>
      <w:lvlJc w:val="left"/>
      <w:pPr>
        <w:ind w:left="5769" w:hanging="360"/>
      </w:pPr>
    </w:lvl>
    <w:lvl w:ilvl="7" w:tplc="6CAA151E" w:tentative="1">
      <w:start w:val="1"/>
      <w:numFmt w:val="lowerLetter"/>
      <w:lvlText w:val="%8."/>
      <w:lvlJc w:val="left"/>
      <w:pPr>
        <w:ind w:left="6489" w:hanging="360"/>
      </w:pPr>
    </w:lvl>
    <w:lvl w:ilvl="8" w:tplc="A67C5822" w:tentative="1">
      <w:start w:val="1"/>
      <w:numFmt w:val="lowerRoman"/>
      <w:lvlText w:val="%9."/>
      <w:lvlJc w:val="right"/>
      <w:pPr>
        <w:ind w:left="720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7490"/>
    <w:rsid w:val="000349B6"/>
    <w:rsid w:val="00056258"/>
    <w:rsid w:val="00070CB5"/>
    <w:rsid w:val="001B146F"/>
    <w:rsid w:val="001F28BF"/>
    <w:rsid w:val="00215CD3"/>
    <w:rsid w:val="00231E5B"/>
    <w:rsid w:val="002615C8"/>
    <w:rsid w:val="00266541"/>
    <w:rsid w:val="002A6F8D"/>
    <w:rsid w:val="0031144C"/>
    <w:rsid w:val="00330438"/>
    <w:rsid w:val="00330B97"/>
    <w:rsid w:val="003577F8"/>
    <w:rsid w:val="004172DB"/>
    <w:rsid w:val="00433FB0"/>
    <w:rsid w:val="004D2BEE"/>
    <w:rsid w:val="00515E8A"/>
    <w:rsid w:val="005625FE"/>
    <w:rsid w:val="00597DE0"/>
    <w:rsid w:val="00601D9A"/>
    <w:rsid w:val="00624145"/>
    <w:rsid w:val="00695CCA"/>
    <w:rsid w:val="007D3381"/>
    <w:rsid w:val="007E60F0"/>
    <w:rsid w:val="008003C3"/>
    <w:rsid w:val="00820D8B"/>
    <w:rsid w:val="008432B1"/>
    <w:rsid w:val="00874076"/>
    <w:rsid w:val="008B1685"/>
    <w:rsid w:val="008E7490"/>
    <w:rsid w:val="00920D71"/>
    <w:rsid w:val="00973B92"/>
    <w:rsid w:val="009761D9"/>
    <w:rsid w:val="00A2340E"/>
    <w:rsid w:val="00AE220A"/>
    <w:rsid w:val="00BE0B96"/>
    <w:rsid w:val="00BE7E26"/>
    <w:rsid w:val="00C11CDC"/>
    <w:rsid w:val="00C91F9B"/>
    <w:rsid w:val="00CA50B9"/>
    <w:rsid w:val="00CB6952"/>
    <w:rsid w:val="00CC34C2"/>
    <w:rsid w:val="00CD0201"/>
    <w:rsid w:val="00D60C14"/>
    <w:rsid w:val="00E05AC9"/>
    <w:rsid w:val="00E20018"/>
    <w:rsid w:val="00E4527A"/>
    <w:rsid w:val="00E6575F"/>
    <w:rsid w:val="00F32822"/>
    <w:rsid w:val="00F41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ADF10"/>
  <w15:chartTrackingRefBased/>
  <w15:docId w15:val="{3F6132A3-425F-4B69-8C9A-A2149DD41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A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0438"/>
    <w:pPr>
      <w:ind w:left="720"/>
      <w:contextualSpacing/>
    </w:pPr>
  </w:style>
  <w:style w:type="character" w:styleId="Hyperlink">
    <w:name w:val="Hyperlink"/>
    <w:basedOn w:val="DefaultParagraphFont"/>
    <w:uiPriority w:val="99"/>
    <w:unhideWhenUsed/>
    <w:rsid w:val="00E05AC9"/>
    <w:rPr>
      <w:color w:val="0563C1" w:themeColor="hyperlink"/>
      <w:u w:val="single"/>
    </w:rPr>
  </w:style>
  <w:style w:type="paragraph" w:customStyle="1" w:styleId="Standard">
    <w:name w:val="Standard"/>
    <w:rsid w:val="00E6575F"/>
    <w:pPr>
      <w:suppressAutoHyphens/>
      <w:autoSpaceDN w:val="0"/>
      <w:spacing w:after="200" w:line="276" w:lineRule="auto"/>
      <w:textAlignment w:val="baseline"/>
    </w:pPr>
    <w:rPr>
      <w:rFonts w:ascii="Calibri" w:eastAsia="SimSun" w:hAnsi="Calibri" w:cs="Tahoma"/>
      <w:kern w:val="3"/>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dc.gov/nutrition/resources-publications/benefits-of-healthy-eating.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2239</Words>
  <Characters>12767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abukar Hussein</cp:lastModifiedBy>
  <cp:revision>2</cp:revision>
  <dcterms:created xsi:type="dcterms:W3CDTF">2021-11-09T20:58:00Z</dcterms:created>
  <dcterms:modified xsi:type="dcterms:W3CDTF">2021-11-09T20:58:00Z</dcterms:modified>
</cp:coreProperties>
</file>