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576B4EB" w:rsidP="7845F9F4" w:rsidRDefault="7576B4EB" w14:paraId="4BCD704E" w14:textId="03EF1FF9">
      <w:pPr>
        <w:pStyle w:val="Normal"/>
        <w:spacing w:line="360" w:lineRule="auto"/>
        <w:jc w:val="both"/>
        <w:rPr>
          <w:rFonts w:ascii="Times New Roman" w:hAnsi="Times New Roman" w:eastAsia="Times New Roman" w:cs="Times New Roman"/>
          <w:noProof w:val="0"/>
          <w:sz w:val="24"/>
          <w:szCs w:val="24"/>
          <w:lang w:val="en-GB"/>
        </w:rPr>
      </w:pPr>
      <w:r w:rsidRPr="0D88E096" w:rsidR="7576B4EB">
        <w:rPr>
          <w:rFonts w:ascii="Times New Roman" w:hAnsi="Times New Roman" w:eastAsia="Times New Roman" w:cs="Times New Roman"/>
          <w:noProof w:val="0"/>
          <w:sz w:val="24"/>
          <w:szCs w:val="24"/>
          <w:lang w:val="en-GB"/>
        </w:rPr>
        <w:t xml:space="preserve">This essay will focus on the Curriculum for Wales, which was implemented in 2022 and marks a fundamental shift in educational philosophy, particularly for children aged three to seven. The new curriculum takes a more holistic, skills-based approach to learning, shifting away from traditional subject silos and towards seven core areas of learning. The Foundation Phase, a play-based approach that encourages learning through active involvement and inquiry, </w:t>
      </w:r>
      <w:r w:rsidRPr="0D88E096" w:rsidR="0F9519F9">
        <w:rPr>
          <w:rFonts w:ascii="Times New Roman" w:hAnsi="Times New Roman" w:eastAsia="Times New Roman" w:cs="Times New Roman"/>
          <w:noProof w:val="0"/>
          <w:sz w:val="24"/>
          <w:szCs w:val="24"/>
          <w:lang w:val="en-GB"/>
        </w:rPr>
        <w:t>has influenced</w:t>
      </w:r>
      <w:r w:rsidRPr="0D88E096" w:rsidR="7576B4EB">
        <w:rPr>
          <w:rFonts w:ascii="Times New Roman" w:hAnsi="Times New Roman" w:eastAsia="Times New Roman" w:cs="Times New Roman"/>
          <w:noProof w:val="0"/>
          <w:sz w:val="24"/>
          <w:szCs w:val="24"/>
          <w:lang w:val="en-GB"/>
        </w:rPr>
        <w:t xml:space="preserve"> this </w:t>
      </w:r>
      <w:r w:rsidRPr="0D88E096" w:rsidR="6B8B2BFD">
        <w:rPr>
          <w:rFonts w:ascii="Times New Roman" w:hAnsi="Times New Roman" w:eastAsia="Times New Roman" w:cs="Times New Roman"/>
          <w:noProof w:val="0"/>
          <w:sz w:val="24"/>
          <w:szCs w:val="24"/>
          <w:lang w:val="en-GB"/>
        </w:rPr>
        <w:t xml:space="preserve">2022 </w:t>
      </w:r>
      <w:r w:rsidRPr="0D88E096" w:rsidR="7576B4EB">
        <w:rPr>
          <w:rFonts w:ascii="Times New Roman" w:hAnsi="Times New Roman" w:eastAsia="Times New Roman" w:cs="Times New Roman"/>
          <w:noProof w:val="0"/>
          <w:sz w:val="24"/>
          <w:szCs w:val="24"/>
          <w:lang w:val="en-GB"/>
        </w:rPr>
        <w:t xml:space="preserve">curriculum. </w:t>
      </w:r>
      <w:r w:rsidRPr="0D88E096" w:rsidR="5F953014">
        <w:rPr>
          <w:rFonts w:ascii="Times New Roman" w:hAnsi="Times New Roman" w:eastAsia="Times New Roman" w:cs="Times New Roman"/>
          <w:noProof w:val="0"/>
          <w:sz w:val="24"/>
          <w:szCs w:val="24"/>
          <w:lang w:val="en-GB"/>
        </w:rPr>
        <w:t>Th</w:t>
      </w:r>
      <w:r w:rsidRPr="0D88E096" w:rsidR="1C91840E">
        <w:rPr>
          <w:rFonts w:ascii="Times New Roman" w:hAnsi="Times New Roman" w:eastAsia="Times New Roman" w:cs="Times New Roman"/>
          <w:noProof w:val="0"/>
          <w:sz w:val="24"/>
          <w:szCs w:val="24"/>
          <w:lang w:val="en-GB"/>
        </w:rPr>
        <w:t>e</w:t>
      </w:r>
      <w:r w:rsidRPr="0D88E096" w:rsidR="5F953014">
        <w:rPr>
          <w:rFonts w:ascii="Times New Roman" w:hAnsi="Times New Roman" w:eastAsia="Times New Roman" w:cs="Times New Roman"/>
          <w:noProof w:val="0"/>
          <w:sz w:val="24"/>
          <w:szCs w:val="24"/>
          <w:lang w:val="en-GB"/>
        </w:rPr>
        <w:t xml:space="preserve"> emphasis on playful pedagogy aligns with current research, which highlights the critical role of play in young children's cognitive, </w:t>
      </w:r>
      <w:r w:rsidRPr="0D88E096" w:rsidR="5F953014">
        <w:rPr>
          <w:rFonts w:ascii="Times New Roman" w:hAnsi="Times New Roman" w:eastAsia="Times New Roman" w:cs="Times New Roman"/>
          <w:noProof w:val="0"/>
          <w:sz w:val="24"/>
          <w:szCs w:val="24"/>
          <w:lang w:val="en-GB"/>
        </w:rPr>
        <w:t>emotional</w:t>
      </w:r>
      <w:r w:rsidRPr="0D88E096" w:rsidR="5F953014">
        <w:rPr>
          <w:rFonts w:ascii="Times New Roman" w:hAnsi="Times New Roman" w:eastAsia="Times New Roman" w:cs="Times New Roman"/>
          <w:noProof w:val="0"/>
          <w:sz w:val="24"/>
          <w:szCs w:val="24"/>
          <w:lang w:val="en-GB"/>
        </w:rPr>
        <w:t xml:space="preserve"> and physical development. Outdoor learning, which is a vital </w:t>
      </w:r>
      <w:r w:rsidRPr="0D88E096" w:rsidR="5F953014">
        <w:rPr>
          <w:rFonts w:ascii="Times New Roman" w:hAnsi="Times New Roman" w:eastAsia="Times New Roman" w:cs="Times New Roman"/>
          <w:noProof w:val="0"/>
          <w:sz w:val="24"/>
          <w:szCs w:val="24"/>
          <w:lang w:val="en-GB"/>
        </w:rPr>
        <w:t>component</w:t>
      </w:r>
      <w:r w:rsidRPr="0D88E096" w:rsidR="5F953014">
        <w:rPr>
          <w:rFonts w:ascii="Times New Roman" w:hAnsi="Times New Roman" w:eastAsia="Times New Roman" w:cs="Times New Roman"/>
          <w:noProof w:val="0"/>
          <w:sz w:val="24"/>
          <w:szCs w:val="24"/>
          <w:lang w:val="en-GB"/>
        </w:rPr>
        <w:t xml:space="preserve"> of the Foundation Phase, is viewed as a significant technique for improving children's physical literacy by offering chances for physical activity, gross motor skill development and fostering a connection with nature.</w:t>
      </w:r>
      <w:r w:rsidRPr="0D88E096" w:rsidR="0F4F30BF">
        <w:rPr>
          <w:rFonts w:ascii="Times New Roman" w:hAnsi="Times New Roman" w:eastAsia="Times New Roman" w:cs="Times New Roman"/>
          <w:noProof w:val="0"/>
          <w:sz w:val="24"/>
          <w:szCs w:val="24"/>
          <w:lang w:val="en-GB"/>
        </w:rPr>
        <w:t xml:space="preserve"> Despite the curriculum's creative </w:t>
      </w:r>
      <w:r w:rsidRPr="0D88E096" w:rsidR="24F4F13C">
        <w:rPr>
          <w:rFonts w:ascii="Times New Roman" w:hAnsi="Times New Roman" w:eastAsia="Times New Roman" w:cs="Times New Roman"/>
          <w:noProof w:val="0"/>
          <w:sz w:val="24"/>
          <w:szCs w:val="24"/>
          <w:lang w:val="en-GB"/>
        </w:rPr>
        <w:t xml:space="preserve">and physical </w:t>
      </w:r>
      <w:r w:rsidRPr="0D88E096" w:rsidR="0F4F30BF">
        <w:rPr>
          <w:rFonts w:ascii="Times New Roman" w:hAnsi="Times New Roman" w:eastAsia="Times New Roman" w:cs="Times New Roman"/>
          <w:noProof w:val="0"/>
          <w:sz w:val="24"/>
          <w:szCs w:val="24"/>
          <w:lang w:val="en-GB"/>
        </w:rPr>
        <w:t xml:space="preserve">approach, there are still </w:t>
      </w:r>
      <w:r w:rsidRPr="0D88E096" w:rsidR="3559618A">
        <w:rPr>
          <w:rFonts w:ascii="Times New Roman" w:hAnsi="Times New Roman" w:eastAsia="Times New Roman" w:cs="Times New Roman"/>
          <w:noProof w:val="0"/>
          <w:sz w:val="24"/>
          <w:szCs w:val="24"/>
          <w:lang w:val="en-GB"/>
        </w:rPr>
        <w:t xml:space="preserve">some concerns </w:t>
      </w:r>
      <w:r w:rsidRPr="0D88E096" w:rsidR="0F4F30BF">
        <w:rPr>
          <w:rFonts w:ascii="Times New Roman" w:hAnsi="Times New Roman" w:eastAsia="Times New Roman" w:cs="Times New Roman"/>
          <w:noProof w:val="0"/>
          <w:sz w:val="24"/>
          <w:szCs w:val="24"/>
          <w:lang w:val="en-GB"/>
        </w:rPr>
        <w:t>regarding</w:t>
      </w:r>
      <w:r w:rsidRPr="0D88E096" w:rsidR="0F4F30BF">
        <w:rPr>
          <w:rFonts w:ascii="Times New Roman" w:hAnsi="Times New Roman" w:eastAsia="Times New Roman" w:cs="Times New Roman"/>
          <w:noProof w:val="0"/>
          <w:sz w:val="24"/>
          <w:szCs w:val="24"/>
          <w:lang w:val="en-GB"/>
        </w:rPr>
        <w:t xml:space="preserve"> children's physical activity levels in Wales. Wales trails behind other countries in global comparisons, including as the Global Matrix 4.0 rankings</w:t>
      </w:r>
      <w:r w:rsidRPr="0D88E096" w:rsidR="5251D473">
        <w:rPr>
          <w:rFonts w:ascii="Times New Roman" w:hAnsi="Times New Roman" w:eastAsia="Times New Roman" w:cs="Times New Roman"/>
          <w:noProof w:val="0"/>
          <w:sz w:val="24"/>
          <w:szCs w:val="24"/>
          <w:lang w:val="en-GB"/>
        </w:rPr>
        <w:t xml:space="preserve"> (Active Healthy Kids Global, 2022)</w:t>
      </w:r>
      <w:r w:rsidRPr="0D88E096" w:rsidR="0F4F30BF">
        <w:rPr>
          <w:rFonts w:ascii="Times New Roman" w:hAnsi="Times New Roman" w:eastAsia="Times New Roman" w:cs="Times New Roman"/>
          <w:noProof w:val="0"/>
          <w:sz w:val="24"/>
          <w:szCs w:val="24"/>
          <w:lang w:val="en-GB"/>
        </w:rPr>
        <w:t xml:space="preserve">, with concerns about both physical activity and sedentary </w:t>
      </w:r>
      <w:r w:rsidRPr="0D88E096" w:rsidR="0F4F30BF">
        <w:rPr>
          <w:rFonts w:ascii="Times New Roman" w:hAnsi="Times New Roman" w:eastAsia="Times New Roman" w:cs="Times New Roman"/>
          <w:noProof w:val="0"/>
          <w:sz w:val="24"/>
          <w:szCs w:val="24"/>
          <w:lang w:val="en-GB"/>
        </w:rPr>
        <w:t>behaviour</w:t>
      </w:r>
      <w:r w:rsidRPr="0D88E096" w:rsidR="0F4F30BF">
        <w:rPr>
          <w:rFonts w:ascii="Times New Roman" w:hAnsi="Times New Roman" w:eastAsia="Times New Roman" w:cs="Times New Roman"/>
          <w:noProof w:val="0"/>
          <w:sz w:val="24"/>
          <w:szCs w:val="24"/>
          <w:lang w:val="en-GB"/>
        </w:rPr>
        <w:t xml:space="preserve">. New Zealand's </w:t>
      </w:r>
      <w:r w:rsidRPr="0D88E096" w:rsidR="0F4F30BF">
        <w:rPr>
          <w:rFonts w:ascii="Times New Roman" w:hAnsi="Times New Roman" w:eastAsia="Times New Roman" w:cs="Times New Roman"/>
          <w:noProof w:val="0"/>
          <w:sz w:val="24"/>
          <w:szCs w:val="24"/>
          <w:lang w:val="en-GB"/>
        </w:rPr>
        <w:t>T</w:t>
      </w:r>
      <w:r w:rsidRPr="0D88E096" w:rsidR="0F4F30BF">
        <w:rPr>
          <w:rFonts w:ascii="Times New Roman" w:hAnsi="Times New Roman" w:eastAsia="Times New Roman" w:cs="Times New Roman"/>
          <w:noProof w:val="0"/>
          <w:sz w:val="24"/>
          <w:szCs w:val="24"/>
          <w:lang w:val="en-GB"/>
        </w:rPr>
        <w:t>e</w:t>
      </w:r>
      <w:r w:rsidRPr="0D88E096" w:rsidR="0F4F30BF">
        <w:rPr>
          <w:rFonts w:ascii="Times New Roman" w:hAnsi="Times New Roman" w:eastAsia="Times New Roman" w:cs="Times New Roman"/>
          <w:noProof w:val="0"/>
          <w:sz w:val="24"/>
          <w:szCs w:val="24"/>
          <w:lang w:val="en-GB"/>
        </w:rPr>
        <w:t xml:space="preserve"> </w:t>
      </w:r>
      <w:r w:rsidRPr="0D88E096" w:rsidR="0F4F30BF">
        <w:rPr>
          <w:rFonts w:ascii="Times New Roman" w:hAnsi="Times New Roman" w:eastAsia="Times New Roman" w:cs="Times New Roman"/>
          <w:noProof w:val="0"/>
          <w:sz w:val="24"/>
          <w:szCs w:val="24"/>
          <w:lang w:val="en-GB"/>
        </w:rPr>
        <w:t>W</w:t>
      </w:r>
      <w:r w:rsidRPr="0D88E096" w:rsidR="0F4F30BF">
        <w:rPr>
          <w:rFonts w:ascii="Times New Roman" w:hAnsi="Times New Roman" w:eastAsia="Times New Roman" w:cs="Times New Roman"/>
          <w:noProof w:val="0"/>
          <w:sz w:val="24"/>
          <w:szCs w:val="24"/>
          <w:lang w:val="en-GB"/>
        </w:rPr>
        <w:t>h</w:t>
      </w:r>
      <w:r w:rsidRPr="0D88E096" w:rsidR="2449B564">
        <w:rPr>
          <w:rFonts w:ascii="Times New Roman" w:hAnsi="Times New Roman" w:eastAsia="Times New Roman" w:cs="Times New Roman"/>
          <w:noProof w:val="0"/>
          <w:sz w:val="24"/>
          <w:szCs w:val="24"/>
          <w:lang w:val="en-GB"/>
        </w:rPr>
        <w:t>a</w:t>
      </w:r>
      <w:r w:rsidRPr="0D88E096" w:rsidR="0F4F30BF">
        <w:rPr>
          <w:rFonts w:ascii="Times New Roman" w:hAnsi="Times New Roman" w:eastAsia="Times New Roman" w:cs="Times New Roman"/>
          <w:noProof w:val="0"/>
          <w:sz w:val="24"/>
          <w:szCs w:val="24"/>
          <w:lang w:val="en-GB"/>
        </w:rPr>
        <w:t>riki</w:t>
      </w:r>
      <w:r w:rsidRPr="0D88E096" w:rsidR="0F4F30BF">
        <w:rPr>
          <w:rFonts w:ascii="Times New Roman" w:hAnsi="Times New Roman" w:eastAsia="Times New Roman" w:cs="Times New Roman"/>
          <w:noProof w:val="0"/>
          <w:sz w:val="24"/>
          <w:szCs w:val="24"/>
          <w:lang w:val="en-GB"/>
        </w:rPr>
        <w:t xml:space="preserve"> </w:t>
      </w:r>
      <w:r w:rsidRPr="0D88E096" w:rsidR="0F4F30BF">
        <w:rPr>
          <w:rFonts w:ascii="Times New Roman" w:hAnsi="Times New Roman" w:eastAsia="Times New Roman" w:cs="Times New Roman"/>
          <w:noProof w:val="0"/>
          <w:sz w:val="24"/>
          <w:szCs w:val="24"/>
          <w:lang w:val="en-GB"/>
        </w:rPr>
        <w:t xml:space="preserve">curriculum, which </w:t>
      </w:r>
      <w:r w:rsidRPr="0D88E096" w:rsidR="0F4F30BF">
        <w:rPr>
          <w:rFonts w:ascii="Times New Roman" w:hAnsi="Times New Roman" w:eastAsia="Times New Roman" w:cs="Times New Roman"/>
          <w:noProof w:val="0"/>
          <w:sz w:val="24"/>
          <w:szCs w:val="24"/>
          <w:lang w:val="en-GB"/>
        </w:rPr>
        <w:t>emphasises</w:t>
      </w:r>
      <w:r w:rsidRPr="0D88E096" w:rsidR="0F4F30BF">
        <w:rPr>
          <w:rFonts w:ascii="Times New Roman" w:hAnsi="Times New Roman" w:eastAsia="Times New Roman" w:cs="Times New Roman"/>
          <w:noProof w:val="0"/>
          <w:sz w:val="24"/>
          <w:szCs w:val="24"/>
          <w:lang w:val="en-GB"/>
        </w:rPr>
        <w:t xml:space="preserve"> outdoor play and active learning, has shown encouraging outcomes in improving children's physical development. This raises critical questions about whether the Curriculum for Wales, with its emphasis on outdoor play, is sufficiently serving children's physical health needs, especially when compared to worldwide standards. </w:t>
      </w:r>
      <w:r w:rsidRPr="0D88E096" w:rsidR="3A9C6728">
        <w:rPr>
          <w:rFonts w:ascii="Times New Roman" w:hAnsi="Times New Roman" w:eastAsia="Times New Roman" w:cs="Times New Roman"/>
          <w:noProof w:val="0"/>
          <w:sz w:val="24"/>
          <w:szCs w:val="24"/>
          <w:lang w:val="en-GB"/>
        </w:rPr>
        <w:t>This essay will look at how the Curriculum for Wales promotes physical literacy in young children by integrating outdoor learning and play-based pedagogy. It will examine the key elements of the curriculum, the benefits of play pedagogy</w:t>
      </w:r>
      <w:r w:rsidRPr="0D88E096" w:rsidR="3A9C6728">
        <w:rPr>
          <w:rFonts w:ascii="Times New Roman" w:hAnsi="Times New Roman" w:eastAsia="Times New Roman" w:cs="Times New Roman"/>
          <w:noProof w:val="0"/>
          <w:sz w:val="24"/>
          <w:szCs w:val="24"/>
          <w:lang w:val="en-GB"/>
        </w:rPr>
        <w:t xml:space="preserve"> and</w:t>
      </w:r>
      <w:r w:rsidRPr="0D88E096" w:rsidR="3A9C6728">
        <w:rPr>
          <w:rFonts w:ascii="Times New Roman" w:hAnsi="Times New Roman" w:eastAsia="Times New Roman" w:cs="Times New Roman"/>
          <w:noProof w:val="0"/>
          <w:sz w:val="24"/>
          <w:szCs w:val="24"/>
          <w:lang w:val="en-GB"/>
        </w:rPr>
        <w:t xml:space="preserve"> the role of outdoor learning to </w:t>
      </w:r>
      <w:r w:rsidRPr="0D88E096" w:rsidR="3A9C6728">
        <w:rPr>
          <w:rFonts w:ascii="Times New Roman" w:hAnsi="Times New Roman" w:eastAsia="Times New Roman" w:cs="Times New Roman"/>
          <w:noProof w:val="0"/>
          <w:sz w:val="24"/>
          <w:szCs w:val="24"/>
          <w:lang w:val="en-GB"/>
        </w:rPr>
        <w:t>d</w:t>
      </w:r>
      <w:r w:rsidRPr="0D88E096" w:rsidR="3A9C6728">
        <w:rPr>
          <w:rFonts w:ascii="Times New Roman" w:hAnsi="Times New Roman" w:eastAsia="Times New Roman" w:cs="Times New Roman"/>
          <w:noProof w:val="0"/>
          <w:sz w:val="24"/>
          <w:szCs w:val="24"/>
          <w:lang w:val="en-GB"/>
        </w:rPr>
        <w:t>etermine</w:t>
      </w:r>
      <w:r w:rsidRPr="0D88E096" w:rsidR="3A9C6728">
        <w:rPr>
          <w:rFonts w:ascii="Times New Roman" w:hAnsi="Times New Roman" w:eastAsia="Times New Roman" w:cs="Times New Roman"/>
          <w:noProof w:val="0"/>
          <w:sz w:val="24"/>
          <w:szCs w:val="24"/>
          <w:lang w:val="en-GB"/>
        </w:rPr>
        <w:t xml:space="preserve"> </w:t>
      </w:r>
      <w:r w:rsidRPr="0D88E096" w:rsidR="3A9C6728">
        <w:rPr>
          <w:rFonts w:ascii="Times New Roman" w:hAnsi="Times New Roman" w:eastAsia="Times New Roman" w:cs="Times New Roman"/>
          <w:noProof w:val="0"/>
          <w:sz w:val="24"/>
          <w:szCs w:val="24"/>
          <w:lang w:val="en-GB"/>
        </w:rPr>
        <w:t>whether these approaches are adequate to support the physical development of children in Wales, particularly in the context of global comparisons and national health concerns.</w:t>
      </w:r>
    </w:p>
    <w:p w:rsidR="0D88E096" w:rsidP="0D88E096" w:rsidRDefault="0D88E096" w14:paraId="22A94FC2" w14:textId="68C0187C">
      <w:pPr>
        <w:pStyle w:val="Normal"/>
        <w:spacing w:line="360" w:lineRule="auto"/>
        <w:jc w:val="both"/>
        <w:rPr>
          <w:rFonts w:ascii="Times New Roman" w:hAnsi="Times New Roman" w:eastAsia="Times New Roman" w:cs="Times New Roman"/>
          <w:noProof w:val="0"/>
          <w:sz w:val="24"/>
          <w:szCs w:val="24"/>
          <w:lang w:val="en-GB"/>
        </w:rPr>
      </w:pPr>
    </w:p>
    <w:p w:rsidR="6A93B5FC" w:rsidP="0D88E096" w:rsidRDefault="6A93B5FC" w14:paraId="5D9B3254" w14:textId="18731967">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2008, the Welsh Assembly Government launched a new curriculum which included the Foundation Phase, a comprehensive play-based learning program for children aged three to seven. Physical Education is no longer taught in its conventional form in Wales under the age of seven due to the replacement of topics with </w:t>
      </w:r>
      <w:r w:rsidRPr="0D88E096" w:rsidR="118336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areas of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learning. </w:t>
      </w:r>
      <w:r w:rsidRPr="0D88E096" w:rsidR="51D090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urriculum </w:t>
      </w:r>
      <w:r w:rsidRPr="0D88E096" w:rsidR="2EA851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Wales (2022)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consists of </w:t>
      </w:r>
      <w:r w:rsidRPr="0D88E096" w:rsidR="754FE2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areas of learning with 3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outcome statements being added for Personal and Social Development (Goodway, Whitehead, et al. 2016). Similarly, the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Whariki</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Reggio Emilia curriculum scheme includes areas of learning with the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Whariki</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following 4 purposes and the Reggio Emilia curriculum using a 100 languages approach. In comparison to other countries around the world, </w:t>
      </w:r>
      <w:r w:rsidRPr="0D88E096" w:rsidR="5AED25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w:t>
      </w:r>
      <w:r w:rsidRPr="0D88E096" w:rsidR="176AE3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not</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ranked as high as other countries</w:t>
      </w:r>
      <w:r w:rsidRPr="0D88E096" w:rsidR="0A50AA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 grading system for physical literacy and sedentary behaviour</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Looking at the global matrix 4.0</w:t>
      </w:r>
      <w:r w:rsidRPr="0D88E096" w:rsidR="5A8E9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88E096" w:rsidR="5A8E93B3">
        <w:rPr>
          <w:rFonts w:ascii="Times New Roman" w:hAnsi="Times New Roman" w:eastAsia="Times New Roman" w:cs="Times New Roman"/>
          <w:noProof w:val="0"/>
          <w:sz w:val="24"/>
          <w:szCs w:val="24"/>
          <w:lang w:val="en-GB"/>
        </w:rPr>
        <w:t>(Active Healthy Kids Global, 2022)</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rankings for Wales are graded an F for overall Physical Activity which is ranked 53</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rd</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 of the 57 countries.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addition, sedentary </w:t>
      </w:r>
      <w:r w:rsidRPr="0D88E096" w:rsidR="1EE98B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also graded at F which gives a ranking of 54</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 of 57 countries.</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global gradings raise a high concern for the future development of children and adolescents in Wales. When looking at the influence of the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Whariki</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curriculum it has had a significant</w:t>
      </w:r>
      <w:r w:rsidRPr="0D88E096" w:rsidR="6EEE42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 on the development of children and adolescents with the overall Physical Activity in New Zealand being graded a C+ and ranked 9</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 of 57 countries. Also, sedentary </w:t>
      </w:r>
      <w:r w:rsidRPr="0D88E096" w:rsidR="77D61F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New Zealand has a grade C- which ranks them at 18</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 of 57 countries. The </w:t>
      </w:r>
      <w:r w:rsidRPr="0D88E096" w:rsidR="7093E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government were aware that these results were incoming when “in March 2014 the Welsh Government asked Professor Graham Donaldson to review the curriculum and assessment arrangements in schools in Wales”. The 2022 Welsh Curriculum was developed through an extensive and consultative process, based on the 2015 Donaldson Review's recommendations for a more skills-based, learner-</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centred</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approach. The new curriculum is divided into </w:t>
      </w:r>
      <w:r w:rsidRPr="0D88E096" w:rsidR="5648D2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6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areas of learning and experience which consists of Languages, Literacy, Communication, Mathematics and Numeracy, Science and Technology, Humanities, Health and Wellbeing and Expressive Arts, replacing traditional subject silos. This structure is intended to encourage holistic development by instilling basic values such as critical thinking,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creativity</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cooperation, while also supporting the curriculum's Four Purposes to produce ambitious, capable,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enterprising</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ethical citizens. Notably, the curriculum places a high value on bilingualism, with Welsh language and culture playing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important role</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also provides flexibility, allowing schools and educators to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personalise</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experiences to their students' individual needs while including cross-curricular concepts like sustainable development, global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citizenship</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digital competence. </w:t>
      </w:r>
    </w:p>
    <w:p w:rsidR="0D88E096" w:rsidP="0D88E096" w:rsidRDefault="0D88E096" w14:paraId="0F132099" w14:textId="37B30295">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A93B5FC" w:rsidP="0D88E096" w:rsidRDefault="6A93B5FC" w14:paraId="340BD06F" w14:textId="09FFA97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terms of physical literacy, the Curriculum for Wales places a strong emphasis on Health and Wellbeing, which is critical for encouraging physical and emotional development.</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Physical literacy, which includes the skills, knowledge and attitudes that allow children to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physical activity confidently and successfully, is a critical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component</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this field. The curriculum supports the development of physical competence through active play and movement, which is consistent with the Foundation Phase's emphasis on learning through physical activity. By combining outdoor learning and play pedagogy, it aims to improve children's gross motor abilities,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coordination</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overall physical fitness, so contributing to young learners' long-term physical literacy. The new assessment framework complements this approach by shifting away from traditional grades and towards progression, which better reflects the evolution of physical skills over time. This strategy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seeks</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 fair opportunities for all learners</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including those with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needs, to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physical activities and improve their physical literacy. The reform process included extensive consultation with educators,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students</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communities to ensure that the curriculum was not just innovative but also practical and relevant to the needs of children in Wales. </w:t>
      </w:r>
      <w:r w:rsidRPr="0D88E096" w:rsidR="1607E364">
        <w:rPr>
          <w:rFonts w:ascii="Times New Roman" w:hAnsi="Times New Roman" w:eastAsia="Times New Roman" w:cs="Times New Roman"/>
          <w:noProof w:val="0"/>
          <w:sz w:val="24"/>
          <w:szCs w:val="24"/>
          <w:lang w:val="en-GB"/>
        </w:rPr>
        <w:t xml:space="preserve">The Curriculum and Assessment (Wales) Act 2021 supports the curriculum, which is founded on a commitment to professional development for teachers and </w:t>
      </w:r>
      <w:r w:rsidRPr="0D88E096" w:rsidR="06DC4FB0">
        <w:rPr>
          <w:rFonts w:ascii="Times New Roman" w:hAnsi="Times New Roman" w:eastAsia="Times New Roman" w:cs="Times New Roman"/>
          <w:noProof w:val="0"/>
          <w:sz w:val="24"/>
          <w:szCs w:val="24"/>
          <w:lang w:val="en-GB"/>
        </w:rPr>
        <w:t>says that it will provide teachers</w:t>
      </w:r>
      <w:r w:rsidRPr="0D88E096" w:rsidR="1607E364">
        <w:rPr>
          <w:rFonts w:ascii="Times New Roman" w:hAnsi="Times New Roman" w:eastAsia="Times New Roman" w:cs="Times New Roman"/>
          <w:noProof w:val="0"/>
          <w:sz w:val="24"/>
          <w:szCs w:val="24"/>
          <w:lang w:val="en-GB"/>
        </w:rPr>
        <w:t xml:space="preserve"> with the freedom and resources they need to effectively use a creative, physical</w:t>
      </w:r>
      <w:r w:rsidRPr="0D88E096" w:rsidR="1607E364">
        <w:rPr>
          <w:rFonts w:ascii="Times New Roman" w:hAnsi="Times New Roman" w:eastAsia="Times New Roman" w:cs="Times New Roman"/>
          <w:noProof w:val="0"/>
          <w:sz w:val="24"/>
          <w:szCs w:val="24"/>
          <w:lang w:val="en-GB"/>
        </w:rPr>
        <w:t xml:space="preserve"> and</w:t>
      </w:r>
      <w:r w:rsidRPr="0D88E096" w:rsidR="1607E364">
        <w:rPr>
          <w:rFonts w:ascii="Times New Roman" w:hAnsi="Times New Roman" w:eastAsia="Times New Roman" w:cs="Times New Roman"/>
          <w:noProof w:val="0"/>
          <w:sz w:val="24"/>
          <w:szCs w:val="24"/>
          <w:lang w:val="en-GB"/>
        </w:rPr>
        <w:t xml:space="preserve"> skills-based learning framework.</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holistic approach</w:t>
      </w:r>
      <w:r w:rsidRPr="0D88E096" w:rsidR="6A93B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has the potential for significant improvements in Welsh children's physical literacy, but its efficacy must be assessed considering global comparisons and growing concerns about physical inactivity.</w:t>
      </w:r>
    </w:p>
    <w:p w:rsidR="0D88E096" w:rsidP="0D88E096" w:rsidRDefault="0D88E096" w14:paraId="12A202CA" w14:textId="4186266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A7412B2" w:rsidP="0D88E096" w:rsidRDefault="5A7412B2" w14:paraId="6AC21CF1" w14:textId="4FAC19D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Play pedagogy is a teaching approach that views play as an essential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component</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children's learning and development. It is based on the belief that children learn best when they actively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activities that promote their imagination,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creativity</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problem-solving abilities. Children use play to investigate their surroundings, test theories, develop social skills and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collaborative activities, all of which help them develop cognitively,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emotionally</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physically.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Play pedagogy promotes both controlled and unstructured play and provides a variety of experiences that promote exploration and discovery.</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Play pedagogy is based on theories developed by developmental psychologists such as Jean Piaget and Lev Vygotsky. Piaget (1962)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emphasised</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play allows children to develop knowledge by active contact with their surroundings,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whereas</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Vygotsky (1978) focused on the social components of play, in which children learn through collaboration and directed interactions with others. In play-based learning environments, teachers serve as facilitators, directing children's play while allowing for autonomy and choice. Recent research suggests that play is essential for brain development, emotional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regulation</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social competence (Ginsburg, 2007).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Play pedagogy has become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recognised</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modern education as more than just a means to pass the time.</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a crucial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component</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learning process, encouraging curiosity, </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0D88E096" w:rsidR="5A7412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lifelong learning.</w:t>
      </w:r>
    </w:p>
    <w:p w:rsidR="0D88E096" w:rsidP="0D88E096" w:rsidRDefault="0D88E096" w14:paraId="375206F4" w14:textId="55F01E9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BFF41D3" w:rsidP="0D88E096" w:rsidRDefault="1BFF41D3" w14:paraId="23D63B1F" w14:textId="297F5692">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 learning has a strong beneficial impact on the development of young children. Learning in natural settings has regularly been shown to have cognitive,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physical</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emotional benefits. Outdoor experiences foster children's creativity, problem-solving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abilities</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critical thinking since they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demand them to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hands-on activities and explore their environment. Outdoor play helps children develop independence and self-confidence by allowing them to manage problems and make real-time decisions (Fjørtoft, 2004). Outdoor play provides significant physical benefits to young children, especially in the development of gross motor skills. Climbing, </w:t>
      </w:r>
      <w:bookmarkStart w:name="_Int_GUskk0NF" w:id="26202927"/>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sprinting</w:t>
      </w:r>
      <w:bookmarkEnd w:id="26202927"/>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leaping assist children to increase their strength, </w:t>
      </w:r>
      <w:r w:rsidRPr="0D88E096" w:rsidR="41DD49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coordination</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balance (Burdette &amp; Whitaker, 2005). Furthermore, outdoor play promotes more physical exercise, countering sedentary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improving general health, lowering dangers such as obesity. Children who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outdoor activities are naturally more active, which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benefits</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cardiovascular health and muscle development. Spending time in nature also improves immune function because exposure to natural habitats encourages contact with beneficial microorganisms (Barton &amp; Pretty, 2010). Furthermore, outdoor play reduces stress by lowering cortisol levels, which promotes relaxation and emotional health. Green areas have been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demonstrated</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boost mood and lower anxiety, resulting in better mental health outcomes for children. Overall, outdoor learning promotes physical and emotional growth. Outdoor learning spaces foster emotional and social development by encouraging cooperation, </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communication</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0D88E096" w:rsidR="1BFF41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empathy. Working in groups to solve problems or complete projects improves social skills and gives youngsters a sense of belonging and responsibility (Ginsburg, 2007). Furthermore, outdoor settings allow children to connect with nature, which has been linked to improved environmental stewardship and a sense of ecological responsibility (Chawla, 2007).</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0D88E096" w:rsidP="0D88E096" w:rsidRDefault="0D88E096" w14:paraId="0B4E83BE" w14:textId="036F6A8E">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BFF41D3" w:rsidP="0D88E096" w:rsidRDefault="1BFF41D3" w14:paraId="6DF5A14A" w14:textId="16BC8F07">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Outdoor learning provides several social benefits to children, including improved social and emotional development. Outdoor activities encourage children to collaborate, communicate and settle issues. This develops important social skills such as teamwork and cooperation. Dyment and O'Connell (2014) found that group-based outdoor learning can help youngsters learn to work together and interact properly with their peers. Furthermore, outdoor learning promotes self-esteem and confidence because children </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meet and overcome problems in these settings, leading to increased self-assurance and social involvement (Beames</w:t>
      </w:r>
      <w:r w:rsidRPr="0D88E096" w:rsidR="045CE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2012). The casual style of outdoor play also promotes better peer interactions, as children interact more inclusively during free play, resulting in stronger bonds (Gill, 2014). Furthermore, outdoor activities promote empathy and emotional regulation, allowing youngsters to </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acquire</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greater emotional awareness and the ability to understand the feelings of others (White, 2017). Children are also exposed to a variety of contexts, which helps them develop cultural awareness and social responsibility (</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Rickinson</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w:t>
      </w:r>
      <w:r w:rsidRPr="0D88E096" w:rsidR="47B188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w:t>
      </w:r>
      <w:r w:rsidRPr="0D88E096" w:rsidR="7E6A91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2004). These activities not only help a child's social development, but also foster a sense of belonging and community, as youngsters </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participate</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shared learning experiences that enhance their bonds with others (Cooper &amp; Grey, 2015). To summarise, outdoor learning offers a rich setting for children to develop fundamental social skills, emotional </w:t>
      </w:r>
      <w:r w:rsidRPr="0D88E096" w:rsidR="04208A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resilience</w:t>
      </w:r>
      <w:r w:rsidRPr="0D88E096" w:rsidR="5688F8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 stronger sense of community, all of which are critical for their overall social development.</w:t>
      </w:r>
    </w:p>
    <w:p w:rsidR="0D88E096" w:rsidP="0D88E096" w:rsidRDefault="0D88E096" w14:paraId="4B82CDEC" w14:textId="454F1CAF">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BFF41D3" w:rsidP="7845F9F4" w:rsidRDefault="1BFF41D3" w14:paraId="17260283" w14:textId="11D706C1">
      <w:pPr>
        <w:pStyle w:val="Normal"/>
        <w:spacing w:line="360" w:lineRule="auto"/>
        <w:jc w:val="both"/>
        <w:rPr>
          <w:rFonts w:ascii="Times New Roman" w:hAnsi="Times New Roman" w:eastAsia="Times New Roman" w:cs="Times New Roman"/>
          <w:noProof w:val="0"/>
          <w:sz w:val="24"/>
          <w:szCs w:val="24"/>
          <w:lang w:val="en-GB"/>
        </w:rPr>
      </w:pPr>
      <w:r w:rsidRPr="0D88E096" w:rsidR="7E5EFD84">
        <w:rPr>
          <w:rFonts w:ascii="Times New Roman" w:hAnsi="Times New Roman" w:eastAsia="Times New Roman" w:cs="Times New Roman"/>
          <w:noProof w:val="0"/>
          <w:sz w:val="24"/>
          <w:szCs w:val="24"/>
          <w:lang w:val="en-GB"/>
        </w:rPr>
        <w:t xml:space="preserve">In conclusion, the Curriculum for Wales </w:t>
      </w:r>
      <w:r w:rsidRPr="0D88E096" w:rsidR="7E5EFD84">
        <w:rPr>
          <w:rFonts w:ascii="Times New Roman" w:hAnsi="Times New Roman" w:eastAsia="Times New Roman" w:cs="Times New Roman"/>
          <w:noProof w:val="0"/>
          <w:sz w:val="24"/>
          <w:szCs w:val="24"/>
          <w:lang w:val="en-GB"/>
        </w:rPr>
        <w:t>represents</w:t>
      </w:r>
      <w:r w:rsidRPr="0D88E096" w:rsidR="7E5EFD84">
        <w:rPr>
          <w:rFonts w:ascii="Times New Roman" w:hAnsi="Times New Roman" w:eastAsia="Times New Roman" w:cs="Times New Roman"/>
          <w:noProof w:val="0"/>
          <w:sz w:val="24"/>
          <w:szCs w:val="24"/>
          <w:lang w:val="en-GB"/>
        </w:rPr>
        <w:t xml:space="preserve"> a </w:t>
      </w:r>
      <w:bookmarkStart w:name="_Int_zkjAr4hi" w:id="1011934332"/>
      <w:r w:rsidRPr="0D88E096" w:rsidR="7E5EFD84">
        <w:rPr>
          <w:rFonts w:ascii="Times New Roman" w:hAnsi="Times New Roman" w:eastAsia="Times New Roman" w:cs="Times New Roman"/>
          <w:noProof w:val="0"/>
          <w:sz w:val="24"/>
          <w:szCs w:val="24"/>
          <w:lang w:val="en-GB"/>
        </w:rPr>
        <w:t>significant change</w:t>
      </w:r>
      <w:bookmarkEnd w:id="1011934332"/>
      <w:r w:rsidRPr="0D88E096" w:rsidR="7E5EFD84">
        <w:rPr>
          <w:rFonts w:ascii="Times New Roman" w:hAnsi="Times New Roman" w:eastAsia="Times New Roman" w:cs="Times New Roman"/>
          <w:noProof w:val="0"/>
          <w:sz w:val="24"/>
          <w:szCs w:val="24"/>
          <w:lang w:val="en-GB"/>
        </w:rPr>
        <w:t xml:space="preserve"> in how early childhood education promotes physical literacy, emphasising outdoor learning and playful pedagogy. By incorporating physical activity into the learning environment through outdoor play, the curriculum promotes the development of important gross motor skills, </w:t>
      </w:r>
      <w:r w:rsidRPr="0D88E096" w:rsidR="083D7229">
        <w:rPr>
          <w:rFonts w:ascii="Times New Roman" w:hAnsi="Times New Roman" w:eastAsia="Times New Roman" w:cs="Times New Roman"/>
          <w:noProof w:val="0"/>
          <w:sz w:val="24"/>
          <w:szCs w:val="24"/>
          <w:lang w:val="en-GB"/>
        </w:rPr>
        <w:t>coordination</w:t>
      </w:r>
      <w:r w:rsidRPr="0D88E096" w:rsidR="7E5EFD84">
        <w:rPr>
          <w:rFonts w:ascii="Times New Roman" w:hAnsi="Times New Roman" w:eastAsia="Times New Roman" w:cs="Times New Roman"/>
          <w:noProof w:val="0"/>
          <w:sz w:val="24"/>
          <w:szCs w:val="24"/>
          <w:lang w:val="en-GB"/>
        </w:rPr>
        <w:t xml:space="preserve"> and general physical fitness. This comprehensive approach, which prioritises health and well-being, is aligned with global trends that recognise the value of outdoor play in promoting children's physical, cognitive and emotional growth. The Foundation Phase, with its emphasis on active participation and inquiry, builds a solid foundation for lifelong physical literacy, aligned with current research on the critical importance of play in early childhood education.</w:t>
      </w:r>
      <w:r w:rsidRPr="0D88E096" w:rsidR="2598FE94">
        <w:rPr>
          <w:rFonts w:ascii="Times New Roman" w:hAnsi="Times New Roman" w:eastAsia="Times New Roman" w:cs="Times New Roman"/>
          <w:noProof w:val="0"/>
          <w:sz w:val="24"/>
          <w:szCs w:val="24"/>
          <w:lang w:val="en-GB"/>
        </w:rPr>
        <w:t xml:space="preserve"> </w:t>
      </w:r>
      <w:r w:rsidRPr="0D88E096" w:rsidR="47D70003">
        <w:rPr>
          <w:rFonts w:ascii="Times New Roman" w:hAnsi="Times New Roman" w:eastAsia="Times New Roman" w:cs="Times New Roman"/>
          <w:noProof w:val="0"/>
          <w:sz w:val="24"/>
          <w:szCs w:val="24"/>
          <w:lang w:val="en-GB"/>
        </w:rPr>
        <w:t xml:space="preserve">Despite these positive aspects, doubts persist </w:t>
      </w:r>
      <w:r w:rsidRPr="0D88E096" w:rsidR="47D70003">
        <w:rPr>
          <w:rFonts w:ascii="Times New Roman" w:hAnsi="Times New Roman" w:eastAsia="Times New Roman" w:cs="Times New Roman"/>
          <w:noProof w:val="0"/>
          <w:sz w:val="24"/>
          <w:szCs w:val="24"/>
          <w:lang w:val="en-GB"/>
        </w:rPr>
        <w:t>regarding</w:t>
      </w:r>
      <w:r w:rsidRPr="0D88E096" w:rsidR="47D70003">
        <w:rPr>
          <w:rFonts w:ascii="Times New Roman" w:hAnsi="Times New Roman" w:eastAsia="Times New Roman" w:cs="Times New Roman"/>
          <w:noProof w:val="0"/>
          <w:sz w:val="24"/>
          <w:szCs w:val="24"/>
          <w:lang w:val="en-GB"/>
        </w:rPr>
        <w:t xml:space="preserve"> the curriculum's ability to address Wales' </w:t>
      </w:r>
      <w:r w:rsidRPr="0D88E096" w:rsidR="2E128477">
        <w:rPr>
          <w:rFonts w:ascii="Times New Roman" w:hAnsi="Times New Roman" w:eastAsia="Times New Roman" w:cs="Times New Roman"/>
          <w:noProof w:val="0"/>
          <w:sz w:val="24"/>
          <w:szCs w:val="24"/>
          <w:lang w:val="en-GB"/>
        </w:rPr>
        <w:t>low</w:t>
      </w:r>
      <w:r w:rsidRPr="0D88E096" w:rsidR="47D70003">
        <w:rPr>
          <w:rFonts w:ascii="Times New Roman" w:hAnsi="Times New Roman" w:eastAsia="Times New Roman" w:cs="Times New Roman"/>
          <w:noProof w:val="0"/>
          <w:sz w:val="24"/>
          <w:szCs w:val="24"/>
          <w:lang w:val="en-GB"/>
        </w:rPr>
        <w:t xml:space="preserve"> global position in physical activity. </w:t>
      </w:r>
      <w:r w:rsidRPr="0D88E096" w:rsidR="47D70003">
        <w:rPr>
          <w:rFonts w:ascii="Times New Roman" w:hAnsi="Times New Roman" w:eastAsia="Times New Roman" w:cs="Times New Roman"/>
          <w:noProof w:val="0"/>
          <w:sz w:val="24"/>
          <w:szCs w:val="24"/>
          <w:lang w:val="en-GB"/>
        </w:rPr>
        <w:t>While outdoor learning is an important part of the curriculum, there are concerns about whether it is adequate to reverse trends in sedentary behaviour.</w:t>
      </w:r>
      <w:r w:rsidRPr="0D88E096" w:rsidR="47D70003">
        <w:rPr>
          <w:rFonts w:ascii="Times New Roman" w:hAnsi="Times New Roman" w:eastAsia="Times New Roman" w:cs="Times New Roman"/>
          <w:noProof w:val="0"/>
          <w:sz w:val="24"/>
          <w:szCs w:val="24"/>
          <w:lang w:val="en-GB"/>
        </w:rPr>
        <w:t xml:space="preserve"> Comparisons with nations such as New Zealand, which has effectively integrated outdoor play into its curriculum, </w:t>
      </w:r>
      <w:r w:rsidRPr="0D88E096" w:rsidR="47D70003">
        <w:rPr>
          <w:rFonts w:ascii="Times New Roman" w:hAnsi="Times New Roman" w:eastAsia="Times New Roman" w:cs="Times New Roman"/>
          <w:noProof w:val="0"/>
          <w:sz w:val="24"/>
          <w:szCs w:val="24"/>
          <w:lang w:val="en-GB"/>
        </w:rPr>
        <w:t>indicate</w:t>
      </w:r>
      <w:r w:rsidRPr="0D88E096" w:rsidR="47D70003">
        <w:rPr>
          <w:rFonts w:ascii="Times New Roman" w:hAnsi="Times New Roman" w:eastAsia="Times New Roman" w:cs="Times New Roman"/>
          <w:noProof w:val="0"/>
          <w:sz w:val="24"/>
          <w:szCs w:val="24"/>
          <w:lang w:val="en-GB"/>
        </w:rPr>
        <w:t xml:space="preserve"> that Wales may need to improve its policies to secure the long-term physical health of its children. </w:t>
      </w:r>
      <w:r w:rsidRPr="0D88E096" w:rsidR="477FE745">
        <w:rPr>
          <w:rFonts w:ascii="Times New Roman" w:hAnsi="Times New Roman" w:eastAsia="Times New Roman" w:cs="Times New Roman"/>
          <w:noProof w:val="0"/>
          <w:sz w:val="24"/>
          <w:szCs w:val="24"/>
          <w:lang w:val="en-GB"/>
        </w:rPr>
        <w:t>However, the Curriculum for Wales has tremendous promise for developing a well-rounded, physically literate generation. To fully recognise this potential, continuous emphasis on assuring access to outdoor learning experiences, professional development for educators</w:t>
      </w:r>
      <w:r w:rsidRPr="0D88E096" w:rsidR="477FE745">
        <w:rPr>
          <w:rFonts w:ascii="Times New Roman" w:hAnsi="Times New Roman" w:eastAsia="Times New Roman" w:cs="Times New Roman"/>
          <w:noProof w:val="0"/>
          <w:sz w:val="24"/>
          <w:szCs w:val="24"/>
          <w:lang w:val="en-GB"/>
        </w:rPr>
        <w:t xml:space="preserve"> and</w:t>
      </w:r>
      <w:r w:rsidRPr="0D88E096" w:rsidR="477FE745">
        <w:rPr>
          <w:rFonts w:ascii="Times New Roman" w:hAnsi="Times New Roman" w:eastAsia="Times New Roman" w:cs="Times New Roman"/>
          <w:noProof w:val="0"/>
          <w:sz w:val="24"/>
          <w:szCs w:val="24"/>
          <w:lang w:val="en-GB"/>
        </w:rPr>
        <w:t xml:space="preserve"> a larger national effort to combat physical inactivity will be </w:t>
      </w:r>
      <w:r w:rsidRPr="0D88E096" w:rsidR="477FE745">
        <w:rPr>
          <w:rFonts w:ascii="Times New Roman" w:hAnsi="Times New Roman" w:eastAsia="Times New Roman" w:cs="Times New Roman"/>
          <w:noProof w:val="0"/>
          <w:sz w:val="24"/>
          <w:szCs w:val="24"/>
          <w:lang w:val="en-GB"/>
        </w:rPr>
        <w:t>required</w:t>
      </w:r>
      <w:r w:rsidRPr="0D88E096" w:rsidR="477FE745">
        <w:rPr>
          <w:rFonts w:ascii="Times New Roman" w:hAnsi="Times New Roman" w:eastAsia="Times New Roman" w:cs="Times New Roman"/>
          <w:noProof w:val="0"/>
          <w:sz w:val="24"/>
          <w:szCs w:val="24"/>
          <w:lang w:val="en-GB"/>
        </w:rPr>
        <w:t xml:space="preserve">. Wales has the potential to </w:t>
      </w:r>
      <w:r w:rsidRPr="0D88E096" w:rsidR="477FE745">
        <w:rPr>
          <w:rFonts w:ascii="Times New Roman" w:hAnsi="Times New Roman" w:eastAsia="Times New Roman" w:cs="Times New Roman"/>
          <w:noProof w:val="0"/>
          <w:sz w:val="24"/>
          <w:szCs w:val="24"/>
          <w:lang w:val="en-GB"/>
        </w:rPr>
        <w:t>provide</w:t>
      </w:r>
      <w:r w:rsidRPr="0D88E096" w:rsidR="477FE745">
        <w:rPr>
          <w:rFonts w:ascii="Times New Roman" w:hAnsi="Times New Roman" w:eastAsia="Times New Roman" w:cs="Times New Roman"/>
          <w:noProof w:val="0"/>
          <w:sz w:val="24"/>
          <w:szCs w:val="24"/>
          <w:lang w:val="en-GB"/>
        </w:rPr>
        <w:t xml:space="preserve"> a strong example for the future of physical education and child development if given the necessary </w:t>
      </w:r>
      <w:r w:rsidRPr="0D88E096" w:rsidR="477FE745">
        <w:rPr>
          <w:rFonts w:ascii="Times New Roman" w:hAnsi="Times New Roman" w:eastAsia="Times New Roman" w:cs="Times New Roman"/>
          <w:noProof w:val="0"/>
          <w:sz w:val="24"/>
          <w:szCs w:val="24"/>
          <w:lang w:val="en-GB"/>
        </w:rPr>
        <w:t>assistance</w:t>
      </w:r>
      <w:r w:rsidRPr="0D88E096" w:rsidR="477FE745">
        <w:rPr>
          <w:rFonts w:ascii="Times New Roman" w:hAnsi="Times New Roman" w:eastAsia="Times New Roman" w:cs="Times New Roman"/>
          <w:noProof w:val="0"/>
          <w:sz w:val="24"/>
          <w:szCs w:val="24"/>
          <w:lang w:val="en-GB"/>
        </w:rPr>
        <w:t>.</w:t>
      </w:r>
    </w:p>
    <w:p w:rsidR="1BFF41D3" w:rsidP="7845F9F4" w:rsidRDefault="1BFF41D3" w14:paraId="36EAA354" w14:textId="0EFF505E">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0D88E096" wp14:paraId="46EB5AF7" wp14:textId="590D704C">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477FE7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Word Count: </w:t>
      </w:r>
      <w:r w:rsidRPr="0D88E096" w:rsidR="27779E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w:t>
      </w:r>
      <w:r w:rsidRPr="0D88E096" w:rsidR="5C027C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w:t>
      </w:r>
      <w:r w:rsidRPr="0D88E096" w:rsidR="04376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p>
    <w:p w:rsidR="7845F9F4" w:rsidP="7845F9F4" w:rsidRDefault="7845F9F4" w14:paraId="467E049C" w14:textId="0B09F0D1">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F704B64" wp14:paraId="06792266" wp14:textId="2A9859D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pPr>
      <w:r w:rsidRPr="0A9AEBA2" w:rsidR="29FD44E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Reference List</w:t>
      </w:r>
    </w:p>
    <w:p w:rsidR="761FD2DE" w:rsidP="0A9AEBA2" w:rsidRDefault="761FD2DE" w14:paraId="52DE0E61" w14:textId="4BD2C6E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Barton, J., &amp; Pretty, J. (2010). What is the Best Dose of Nature and Green Exercise for Improving Mental Health? Environmental Science &amp; Technology, 44(10), 3947-3955.</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61FD2DE" w:rsidP="0A9AEBA2" w:rsidRDefault="761FD2DE" w14:paraId="7D8D1C0A" w14:textId="0A538A5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Beames, S., Higgins, P., &amp; Nicol, R. (2012). Learning outside the classroom: Theory and guidelines for practice. Routledge.</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61FD2DE" w:rsidP="0A9AEBA2" w:rsidRDefault="761FD2DE" w14:paraId="60C4CE7E" w14:textId="595A1C4B">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Burdette, H. L., &amp; Whitaker, R. C. (2005). Resurrecting Free Play in Young Children. Archives of </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Pediatric</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Adolescent Medicine, 159(1), 46-50.</w:t>
      </w:r>
    </w:p>
    <w:p w:rsidR="761FD2DE" w:rsidP="0A9AEBA2" w:rsidRDefault="761FD2DE" w14:paraId="3B42AF84" w14:textId="0D0C18B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Chawla, L. (2007). Growing Up in an Urbanizing World. Human Ecology, 35(4), 593-604.</w:t>
      </w:r>
    </w:p>
    <w:p w:rsidR="761FD2DE" w:rsidP="0A9AEBA2" w:rsidRDefault="761FD2DE" w14:paraId="02778CAE" w14:textId="7EA24D44">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Cooper, A., &amp; Gray, T. (2015). Outdoor Learning in the Early Years: Management and Innovation. Routledge.</w:t>
      </w:r>
    </w:p>
    <w:p w:rsidR="761FD2DE" w:rsidP="0A9AEBA2" w:rsidRDefault="761FD2DE" w14:paraId="0A70B4AB" w14:textId="53E6B3B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Dyment, J. E., &amp; O'Connell, T. S. (2014). "The benefits of school-based outdoor education for children's social and emotional development." Canadian Journal of Environmental Education.</w:t>
      </w:r>
    </w:p>
    <w:p w:rsidR="761FD2DE" w:rsidP="0A9AEBA2" w:rsidRDefault="761FD2DE" w14:paraId="06CE5A9F" w14:textId="57F4E23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Fjørtoft, I. (2004). Landscape as a Playground for Children's Learning: The Impact of Outdoor Play Activities in Pre-Primary School Children. Early Childhood Education Journal, 29(2), 111-117.</w:t>
      </w:r>
    </w:p>
    <w:p w:rsidR="761FD2DE" w:rsidP="0A9AEBA2" w:rsidRDefault="761FD2DE" w14:paraId="3DD9D6AA" w14:textId="362D7CE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Gill, T. (2014). The benefits of outdoor learning. Learning through Landscapes.</w:t>
      </w:r>
    </w:p>
    <w:p w:rsidR="761FD2DE" w:rsidP="0A9AEBA2" w:rsidRDefault="761FD2DE" w14:paraId="47D4C394" w14:textId="49F44138">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Ginsburg, K. R. (2007). </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importance of play in promoting healthy child development and </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maintaining</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strong parent-child bonds. </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Pediatrics</w:t>
      </w: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119(1), 182-191.</w:t>
      </w:r>
    </w:p>
    <w:p w:rsidR="761FD2DE" w:rsidP="0D88E096" w:rsidRDefault="761FD2DE" w14:paraId="05A13CEE" w14:textId="0DE75281">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37E797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Actie Healthy Kids Global</w:t>
      </w:r>
      <w:r w:rsidRPr="0D88E096" w:rsidR="4D3572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w:t>
      </w:r>
      <w:r w:rsidRPr="0D88E096" w:rsidR="5DD090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Physical Activity for children and </w:t>
      </w:r>
      <w:r w:rsidRPr="0D88E096" w:rsidR="5DD090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adolescents</w:t>
      </w:r>
      <w:r w:rsidRPr="0D88E096" w:rsidR="5DD0907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D88E096" w:rsidR="25E68C1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0D88E096" w:rsidR="47868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Available at</w:t>
      </w:r>
      <w:r w:rsidRPr="0D88E096" w:rsidR="47868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D88E096" w:rsidR="37BECC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d1805399374b4a73">
        <w:r w:rsidRPr="0D88E096" w:rsidR="47868324">
          <w:rPr>
            <w:rStyle w:val="Hyperlink"/>
            <w:rFonts w:ascii="Times New Roman" w:hAnsi="Times New Roman" w:eastAsia="Times New Roman" w:cs="Times New Roman"/>
            <w:b w:val="0"/>
            <w:bCs w:val="0"/>
            <w:i w:val="0"/>
            <w:iCs w:val="0"/>
            <w:caps w:val="0"/>
            <w:smallCaps w:val="0"/>
            <w:noProof w:val="0"/>
            <w:sz w:val="24"/>
            <w:szCs w:val="24"/>
            <w:lang w:val="en-GB"/>
          </w:rPr>
          <w:t>https://www.activehealthykids.org/4-0/</w:t>
        </w:r>
      </w:hyperlink>
      <w:r w:rsidRPr="0D88E096" w:rsidR="100252F7">
        <w:rPr>
          <w:rFonts w:ascii="Times New Roman" w:hAnsi="Times New Roman" w:eastAsia="Times New Roman" w:cs="Times New Roman"/>
          <w:b w:val="0"/>
          <w:bCs w:val="0"/>
          <w:i w:val="0"/>
          <w:iCs w:val="0"/>
          <w:caps w:val="0"/>
          <w:smallCaps w:val="0"/>
          <w:noProof w:val="0"/>
          <w:sz w:val="24"/>
          <w:szCs w:val="24"/>
          <w:lang w:val="en-GB"/>
        </w:rPr>
        <w:t xml:space="preserve"> .</w:t>
      </w:r>
      <w:r w:rsidRPr="0D88E096" w:rsidR="47868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Assessed: </w:t>
      </w:r>
      <w:r w:rsidRPr="0D88E096" w:rsidR="3BDD6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November 10</w:t>
      </w:r>
      <w:r w:rsidRPr="0D88E096" w:rsidR="40277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w:t>
      </w:r>
      <w:r w:rsidRPr="0D88E096" w:rsidR="449B46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w:t>
      </w:r>
      <w:r w:rsidRPr="0D88E096" w:rsidR="40277D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61FD2DE" w:rsidP="0A9AEBA2" w:rsidRDefault="761FD2DE" w14:paraId="369FCC63" w14:textId="43EF1420">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 Wainwright, J. Goodway, M. Whitehead, et al. (2016) The Foundation Phase in Wales – a play-based curriculum that supports the development of physical literacy, Education 3-13, 44:5, 513-524,</w:t>
      </w:r>
    </w:p>
    <w:p w:rsidR="761FD2DE" w:rsidP="0A9AEBA2" w:rsidRDefault="761FD2DE" w14:paraId="4A845D73" w14:textId="0AEC8F7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Piaget, J. (1962). Play, Dreams and Imitation in Childhood. W.W. Norton &amp; Company.</w:t>
      </w:r>
    </w:p>
    <w:p w:rsidR="761FD2DE" w:rsidP="0A9AEBA2" w:rsidRDefault="761FD2DE" w14:paraId="44EAA489" w14:textId="1243027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A9AEBA2" w:rsidR="6E7FE9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Rickinson, M., Dillon, J., Teamey, K., Morris, M., Choi, M., &amp; Sanders, D. (2004). A review of research on outdoor learning. National Foundation for Educational Research.</w:t>
      </w:r>
    </w:p>
    <w:p w:rsidR="761FD2DE" w:rsidP="0A9AEBA2" w:rsidRDefault="761FD2DE" w14:paraId="0C47FC20" w14:textId="4595555D">
      <w:pPr>
        <w:pStyle w:val="Normal"/>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9AEBA2" w:rsidR="761FD2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Vygotsky, L. (1978). Mind in Society: The Development of Higher Psychological Processes. Harvard University Press.</w:t>
      </w:r>
    </w:p>
    <w:p w:rsidR="29FD44E4" w:rsidP="0D88E096" w:rsidRDefault="29FD44E4" w14:paraId="075C1AEC" w14:textId="2C240692">
      <w:pPr>
        <w:pStyle w:val="Normal"/>
        <w:suppressLineNumbers w:val="0"/>
        <w:bidi w:val="0"/>
        <w:spacing w:before="0" w:beforeAutospacing="off" w:after="16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29FD44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(2015) </w:t>
      </w:r>
      <w:r w:rsidRPr="0D88E096" w:rsidR="29FD44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Successful futures, A summary of Professor </w:t>
      </w:r>
      <w:r w:rsidRPr="0D88E096" w:rsidR="29FD44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Donalsons</w:t>
      </w:r>
      <w:r w:rsidRPr="0D88E096" w:rsidR="29FD44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review.</w:t>
      </w:r>
      <w:r w:rsidRPr="0D88E096" w:rsidR="2C7C96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1c617f12233461b">
        <w:r w:rsidRPr="0D88E096" w:rsidR="08AA78A2">
          <w:rPr>
            <w:rStyle w:val="Hyperlink"/>
            <w:rFonts w:ascii="Times New Roman" w:hAnsi="Times New Roman" w:eastAsia="Times New Roman" w:cs="Times New Roman"/>
            <w:b w:val="0"/>
            <w:bCs w:val="0"/>
            <w:i w:val="0"/>
            <w:iCs w:val="0"/>
            <w:caps w:val="0"/>
            <w:smallCaps w:val="0"/>
            <w:noProof w:val="0"/>
            <w:sz w:val="24"/>
            <w:szCs w:val="24"/>
            <w:lang w:val="en-GB"/>
          </w:rPr>
          <w:t>https://www.gov.wales/sites/default/files/publications/2018-03/succesful-futures-a-summary-of-professor-graham-donaldsons-report.pdf</w:t>
        </w:r>
      </w:hyperlink>
      <w:r w:rsidRPr="0D88E096" w:rsidR="08AA78A2">
        <w:rPr>
          <w:rFonts w:ascii="Times New Roman" w:hAnsi="Times New Roman" w:eastAsia="Times New Roman" w:cs="Times New Roman"/>
          <w:b w:val="0"/>
          <w:bCs w:val="0"/>
          <w:i w:val="0"/>
          <w:iCs w:val="0"/>
          <w:caps w:val="0"/>
          <w:smallCaps w:val="0"/>
          <w:noProof w:val="0"/>
          <w:sz w:val="24"/>
          <w:szCs w:val="24"/>
          <w:lang w:val="en-GB"/>
        </w:rPr>
        <w:t>. Accessed:</w:t>
      </w:r>
      <w:r w:rsidRPr="0D88E096" w:rsidR="2186A7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10, 2024.</w:t>
      </w:r>
    </w:p>
    <w:p xmlns:wp14="http://schemas.microsoft.com/office/word/2010/wordml" w:rsidP="0D88E096" wp14:paraId="7243C3C6" wp14:textId="316B564F">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88E096" w:rsidR="29FD44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(2023) </w:t>
      </w:r>
      <w:r w:rsidRPr="0D88E096" w:rsidR="29FD44E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Curriculum and assessment (Wales) act 2021.</w:t>
      </w:r>
      <w:r w:rsidRPr="0D88E096" w:rsidR="299557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f08360561eb04b8c">
        <w:r w:rsidRPr="0D88E096" w:rsidR="299557BA">
          <w:rPr>
            <w:rStyle w:val="Hyperlink"/>
            <w:rFonts w:ascii="Times New Roman" w:hAnsi="Times New Roman" w:eastAsia="Times New Roman" w:cs="Times New Roman"/>
            <w:b w:val="0"/>
            <w:bCs w:val="0"/>
            <w:i w:val="0"/>
            <w:iCs w:val="0"/>
            <w:caps w:val="0"/>
            <w:smallCaps w:val="0"/>
            <w:noProof w:val="0"/>
            <w:sz w:val="24"/>
            <w:szCs w:val="24"/>
            <w:lang w:val="en-GB"/>
          </w:rPr>
          <w:t>https://law.gov.wales/curriculum-and-assessment-wales-act-2021-0</w:t>
        </w:r>
      </w:hyperlink>
      <w:r w:rsidRPr="0D88E096" w:rsidR="299557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November 10, 2024.</w:t>
      </w:r>
    </w:p>
    <w:p xmlns:wp14="http://schemas.microsoft.com/office/word/2010/wordml" w:rsidP="0A9AEBA2" wp14:paraId="2C078E63" wp14:textId="04B80FA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A9AEBA2" w:rsidR="35D150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White, R. (2017). "The role of outdoor play in emotional and social development." Early Child Development and Care.</w:t>
      </w:r>
    </w:p>
    <w:sectPr>
      <w:pgSz w:w="12240" w:h="15840" w:orient="portrait"/>
      <w:pgMar w:top="1440" w:right="1440" w:bottom="1440" w:left="1440" w:header="720" w:footer="720" w:gutter="0"/>
      <w:cols w:space="720"/>
      <w:docGrid w:linePitch="360"/>
      <w:headerReference w:type="default" r:id="R377fb42758974fd6"/>
      <w:footerReference w:type="default" r:id="Rdd2375be243c493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9AEBA2" w:rsidTr="0A9AEBA2" w14:paraId="067951AA">
      <w:trPr>
        <w:trHeight w:val="300"/>
      </w:trPr>
      <w:tc>
        <w:tcPr>
          <w:tcW w:w="3120" w:type="dxa"/>
          <w:tcMar/>
        </w:tcPr>
        <w:p w:rsidR="0A9AEBA2" w:rsidP="0A9AEBA2" w:rsidRDefault="0A9AEBA2" w14:paraId="7A7851C6" w14:textId="2AE1A9AE">
          <w:pPr>
            <w:pStyle w:val="Header"/>
            <w:bidi w:val="0"/>
            <w:ind w:left="-115"/>
            <w:jc w:val="left"/>
          </w:pPr>
        </w:p>
      </w:tc>
      <w:tc>
        <w:tcPr>
          <w:tcW w:w="3120" w:type="dxa"/>
          <w:tcMar/>
        </w:tcPr>
        <w:p w:rsidR="0A9AEBA2" w:rsidP="0A9AEBA2" w:rsidRDefault="0A9AEBA2" w14:paraId="461B1AE5" w14:textId="3A00A64A">
          <w:pPr>
            <w:pStyle w:val="Header"/>
            <w:bidi w:val="0"/>
            <w:jc w:val="center"/>
          </w:pPr>
          <w:r>
            <w:fldChar w:fldCharType="begin"/>
          </w:r>
          <w:r>
            <w:instrText xml:space="preserve">PAGE</w:instrText>
          </w:r>
          <w:r>
            <w:fldChar w:fldCharType="separate"/>
          </w:r>
          <w:r>
            <w:fldChar w:fldCharType="end"/>
          </w:r>
        </w:p>
      </w:tc>
      <w:tc>
        <w:tcPr>
          <w:tcW w:w="3120" w:type="dxa"/>
          <w:tcMar/>
        </w:tcPr>
        <w:p w:rsidR="0A9AEBA2" w:rsidP="0A9AEBA2" w:rsidRDefault="0A9AEBA2" w14:paraId="087D828A" w14:textId="6C87BA2C">
          <w:pPr>
            <w:pStyle w:val="Header"/>
            <w:bidi w:val="0"/>
            <w:ind w:right="-115"/>
            <w:jc w:val="right"/>
          </w:pPr>
        </w:p>
      </w:tc>
    </w:tr>
  </w:tbl>
  <w:p w:rsidR="0A9AEBA2" w:rsidP="0A9AEBA2" w:rsidRDefault="0A9AEBA2" w14:paraId="0E14FA81" w14:textId="117B9F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A9AEBA2" w:rsidTr="0A9AEBA2" w14:paraId="257A7438">
      <w:trPr>
        <w:trHeight w:val="300"/>
      </w:trPr>
      <w:tc>
        <w:tcPr>
          <w:tcW w:w="3120" w:type="dxa"/>
          <w:tcMar/>
        </w:tcPr>
        <w:p w:rsidR="0A9AEBA2" w:rsidP="0A9AEBA2" w:rsidRDefault="0A9AEBA2" w14:paraId="7EBFCB1F" w14:textId="23ADC988">
          <w:pPr>
            <w:pStyle w:val="Header"/>
            <w:bidi w:val="0"/>
            <w:ind w:left="-115"/>
            <w:jc w:val="left"/>
          </w:pPr>
          <w:r w:rsidR="0A9AEBA2">
            <w:rPr/>
            <w:t>2305710</w:t>
          </w:r>
        </w:p>
      </w:tc>
      <w:tc>
        <w:tcPr>
          <w:tcW w:w="3120" w:type="dxa"/>
          <w:tcMar/>
        </w:tcPr>
        <w:p w:rsidR="0A9AEBA2" w:rsidP="0A9AEBA2" w:rsidRDefault="0A9AEBA2" w14:paraId="3DEFC1AF" w14:textId="2B02FBA4">
          <w:pPr>
            <w:pStyle w:val="Header"/>
            <w:bidi w:val="0"/>
            <w:jc w:val="center"/>
          </w:pPr>
        </w:p>
      </w:tc>
      <w:tc>
        <w:tcPr>
          <w:tcW w:w="3120" w:type="dxa"/>
          <w:tcMar/>
        </w:tcPr>
        <w:p w:rsidR="0A9AEBA2" w:rsidP="0A9AEBA2" w:rsidRDefault="0A9AEBA2" w14:paraId="33E21687" w14:textId="28EF4FD2">
          <w:pPr>
            <w:pStyle w:val="Header"/>
            <w:bidi w:val="0"/>
            <w:ind w:right="-115"/>
            <w:jc w:val="right"/>
          </w:pPr>
          <w:r w:rsidR="0A9AEBA2">
            <w:rPr/>
            <w:t>BMPE5005</w:t>
          </w:r>
        </w:p>
      </w:tc>
    </w:tr>
  </w:tbl>
  <w:p w:rsidR="0A9AEBA2" w:rsidP="0A9AEBA2" w:rsidRDefault="0A9AEBA2" w14:paraId="2565638C" w14:textId="4D8695A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iewJ3sNXuxPKh0" int2:id="qHOz5u0v">
      <int2:state int2:type="AugLoop_Text_Critique" int2:value="Rejected"/>
    </int2:textHash>
    <int2:textHash int2:hashCode="6IX2hyC0oRihLP" int2:id="MtvYp2uH">
      <int2:state int2:type="AugLoop_Text_Critique" int2:value="Rejected"/>
    </int2:textHash>
    <int2:textHash int2:hashCode="0zqz5neOL/ljzB" int2:id="GeWo68qi">
      <int2:state int2:type="AugLoop_Text_Critique" int2:value="Rejected"/>
    </int2:textHash>
    <int2:textHash int2:hashCode="hN6B5b8f/AaH/i" int2:id="JMz40fpa">
      <int2:state int2:type="AugLoop_Text_Critique" int2:value="Rejected"/>
    </int2:textHash>
    <int2:textHash int2:hashCode="IknMeE5XC/atct" int2:id="bgU16hIN">
      <int2:state int2:type="AugLoop_Text_Critique" int2:value="Rejected"/>
    </int2:textHash>
    <int2:textHash int2:hashCode="M+lQXRKULoJZo8" int2:id="J8nWWsIj">
      <int2:state int2:type="AugLoop_Text_Critique" int2:value="Rejected"/>
    </int2:textHash>
    <int2:textHash int2:hashCode="HQ3qWrRXWokonO" int2:id="7i1tHN2v">
      <int2:state int2:type="AugLoop_Text_Critique" int2:value="Rejected"/>
    </int2:textHash>
    <int2:textHash int2:hashCode="5ODAmkGejZr1T3" int2:id="l5DdE2s8">
      <int2:state int2:type="AugLoop_Text_Critique" int2:value="Rejected"/>
    </int2:textHash>
    <int2:textHash int2:hashCode="8+wXkcCV+G/AIk" int2:id="4iDx4e9j">
      <int2:state int2:type="AugLoop_Text_Critique" int2:value="Rejected"/>
    </int2:textHash>
    <int2:bookmark int2:bookmarkName="_Int_GUskk0NF" int2:invalidationBookmarkName="" int2:hashCode="mNC5KJsL9EFkXm" int2:id="kZltQIUj">
      <int2:state int2:type="AugLoop_Text_Critique" int2:value="Rejected"/>
    </int2:bookmark>
    <int2:bookmark int2:bookmarkName="_Int_zkjAr4hi" int2:invalidationBookmarkName="" int2:hashCode="eF745FqhjvHOZm" int2:id="utipnDdE">
      <int2:state int2:type="AugLoop_Text_Critique" int2:value="Rejected"/>
    </int2:bookmark>
    <int2:entireDocument int2:id="fjW8xi3X">
      <int2:extLst>
        <oel:ext uri="E302BA01-7950-474C-9AD3-286E660C40A8">
          <int2:similaritySummary int2:version="1" int2:runId="1731262682193" int2:tilesCheckedInThisRun="0" int2:totalNumOfTiles="26" int2:similarityAnnotationCount="1" int2:numWords="2246" int2:numFlaggedWords="18"/>
        </oel:ext>
      </int2:extLst>
    </int2:entireDocument>
  </int2:observations>
  <int2:intelligenceSettings/>
  <int2:onDemandWorkflows>
    <int2:onDemandWorkflow int2:type="SimilarityCheck" int2:paragraphVersions="4BCD704E-2248F70D 5D9B3254-1A1B202D 340BD06F-61B5601B 6AC21CF1-400E3F8B 23D63B1F-31AF8AE1 6DF5A14A-3EC0BD12 17260283-4B96631E 36EAA354-0EFF505E 46EB5AF7-597AA5BB 467E049C-0B09F0D1 06792266-2A9859D3 3584834F-6E448CEF 00EB8C62-43EF1420 261F9716-49F44138 53E8FF2E-54B2E8D7 0C47FC20-39B31516 28520E2A-001FCB07 08EDB93A-452F17DC 73D95ADC-0D0C18B0 448691A6-57F4E230 636E6287-62BF3BF3 68148D1D-7EA24D44 043ABB44-53E6B3B0 408DC91D-362D7CE0 779529FF-12430273 634F5E50-1C425ECC 6EAAA23D-07B720B0 7243C3C6-4BECAAAD 26F6720C-36D209B0 2C078E63-06769E7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637A33"/>
    <w:rsid w:val="0103EB0C"/>
    <w:rsid w:val="02E8ACE8"/>
    <w:rsid w:val="04208AE3"/>
    <w:rsid w:val="0437648D"/>
    <w:rsid w:val="045CED6F"/>
    <w:rsid w:val="063FCB90"/>
    <w:rsid w:val="065CF12A"/>
    <w:rsid w:val="06A718CA"/>
    <w:rsid w:val="06DC4FB0"/>
    <w:rsid w:val="07293849"/>
    <w:rsid w:val="075DD23B"/>
    <w:rsid w:val="083D7229"/>
    <w:rsid w:val="08AA78A2"/>
    <w:rsid w:val="09EA4937"/>
    <w:rsid w:val="0A50AAF3"/>
    <w:rsid w:val="0A9AEBA2"/>
    <w:rsid w:val="0D88E096"/>
    <w:rsid w:val="0F4F30BF"/>
    <w:rsid w:val="0F9519F9"/>
    <w:rsid w:val="100252F7"/>
    <w:rsid w:val="104EBD74"/>
    <w:rsid w:val="11833692"/>
    <w:rsid w:val="12FA5364"/>
    <w:rsid w:val="134DFB30"/>
    <w:rsid w:val="13B2371D"/>
    <w:rsid w:val="13E4B06E"/>
    <w:rsid w:val="1607E364"/>
    <w:rsid w:val="167B3ECE"/>
    <w:rsid w:val="16B8439A"/>
    <w:rsid w:val="176AE320"/>
    <w:rsid w:val="1BFF41D3"/>
    <w:rsid w:val="1C91840E"/>
    <w:rsid w:val="1EB7F196"/>
    <w:rsid w:val="1EE98B8D"/>
    <w:rsid w:val="1F637A33"/>
    <w:rsid w:val="1F704B64"/>
    <w:rsid w:val="1F8E2093"/>
    <w:rsid w:val="1FCC4F4C"/>
    <w:rsid w:val="20903F21"/>
    <w:rsid w:val="2186A7B0"/>
    <w:rsid w:val="2268CEB0"/>
    <w:rsid w:val="227F8149"/>
    <w:rsid w:val="242B78FB"/>
    <w:rsid w:val="2449B564"/>
    <w:rsid w:val="24F4F13C"/>
    <w:rsid w:val="2598FE94"/>
    <w:rsid w:val="25E68C15"/>
    <w:rsid w:val="27779E5D"/>
    <w:rsid w:val="27F6C1A4"/>
    <w:rsid w:val="284849EA"/>
    <w:rsid w:val="2946E4A8"/>
    <w:rsid w:val="299557BA"/>
    <w:rsid w:val="29FD44E4"/>
    <w:rsid w:val="2A1484F5"/>
    <w:rsid w:val="2C7C9602"/>
    <w:rsid w:val="2C87F592"/>
    <w:rsid w:val="2CA08A1C"/>
    <w:rsid w:val="2D93C961"/>
    <w:rsid w:val="2DFCEB8A"/>
    <w:rsid w:val="2E128477"/>
    <w:rsid w:val="2EA851BC"/>
    <w:rsid w:val="2FA19FBB"/>
    <w:rsid w:val="32C2195B"/>
    <w:rsid w:val="32E65A0A"/>
    <w:rsid w:val="3559618A"/>
    <w:rsid w:val="35D15096"/>
    <w:rsid w:val="36437CAB"/>
    <w:rsid w:val="36E5DE60"/>
    <w:rsid w:val="37BECC28"/>
    <w:rsid w:val="37C396B7"/>
    <w:rsid w:val="37E797F6"/>
    <w:rsid w:val="37EA611A"/>
    <w:rsid w:val="3887ECE0"/>
    <w:rsid w:val="391EA3E4"/>
    <w:rsid w:val="393073DC"/>
    <w:rsid w:val="399FFAB4"/>
    <w:rsid w:val="3A9C6728"/>
    <w:rsid w:val="3BDD639B"/>
    <w:rsid w:val="3C21D297"/>
    <w:rsid w:val="3F41A46F"/>
    <w:rsid w:val="3F4B2F9E"/>
    <w:rsid w:val="40277D9F"/>
    <w:rsid w:val="403A12C5"/>
    <w:rsid w:val="41DD49A5"/>
    <w:rsid w:val="449B46DE"/>
    <w:rsid w:val="44FBCFAC"/>
    <w:rsid w:val="457B971A"/>
    <w:rsid w:val="462910FE"/>
    <w:rsid w:val="477FE745"/>
    <w:rsid w:val="47868324"/>
    <w:rsid w:val="47B18868"/>
    <w:rsid w:val="47D70003"/>
    <w:rsid w:val="49EEAD53"/>
    <w:rsid w:val="4B75E9FF"/>
    <w:rsid w:val="4D3572E4"/>
    <w:rsid w:val="4D724058"/>
    <w:rsid w:val="4F437AB0"/>
    <w:rsid w:val="4FDBCF83"/>
    <w:rsid w:val="503D4043"/>
    <w:rsid w:val="5059B2DC"/>
    <w:rsid w:val="513AD3CB"/>
    <w:rsid w:val="51A7520F"/>
    <w:rsid w:val="51AC01B4"/>
    <w:rsid w:val="51D09039"/>
    <w:rsid w:val="5251D473"/>
    <w:rsid w:val="535EE116"/>
    <w:rsid w:val="547F362C"/>
    <w:rsid w:val="54B256E0"/>
    <w:rsid w:val="54C93B12"/>
    <w:rsid w:val="5648D26F"/>
    <w:rsid w:val="566F841D"/>
    <w:rsid w:val="5688F8ED"/>
    <w:rsid w:val="56A53895"/>
    <w:rsid w:val="56DB21E2"/>
    <w:rsid w:val="57E5BE74"/>
    <w:rsid w:val="59D1342A"/>
    <w:rsid w:val="59EB6726"/>
    <w:rsid w:val="5A7412B2"/>
    <w:rsid w:val="5A8E93B3"/>
    <w:rsid w:val="5AED25C9"/>
    <w:rsid w:val="5C027C43"/>
    <w:rsid w:val="5CD5A814"/>
    <w:rsid w:val="5DD09077"/>
    <w:rsid w:val="5F5C63F6"/>
    <w:rsid w:val="5F953014"/>
    <w:rsid w:val="62C93716"/>
    <w:rsid w:val="63FE339B"/>
    <w:rsid w:val="6623843C"/>
    <w:rsid w:val="6A45515D"/>
    <w:rsid w:val="6A93B5FC"/>
    <w:rsid w:val="6B8B2BFD"/>
    <w:rsid w:val="6BF98B3A"/>
    <w:rsid w:val="6C2669C2"/>
    <w:rsid w:val="6D4CB18E"/>
    <w:rsid w:val="6E7FE91E"/>
    <w:rsid w:val="6EEE4206"/>
    <w:rsid w:val="6EF119A4"/>
    <w:rsid w:val="70156A81"/>
    <w:rsid w:val="7093EDFE"/>
    <w:rsid w:val="754FE202"/>
    <w:rsid w:val="7576B4EB"/>
    <w:rsid w:val="761DB32A"/>
    <w:rsid w:val="761FD2DE"/>
    <w:rsid w:val="77D61FE5"/>
    <w:rsid w:val="7845F9F4"/>
    <w:rsid w:val="78D93E34"/>
    <w:rsid w:val="79F99633"/>
    <w:rsid w:val="7B641042"/>
    <w:rsid w:val="7D24B223"/>
    <w:rsid w:val="7E3317D5"/>
    <w:rsid w:val="7E5EFD84"/>
    <w:rsid w:val="7E6A9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37A33"/>
  <w15:chartTrackingRefBased/>
  <w15:docId w15:val="{7E7B9F51-73F1-4039-A819-2C3AC7EB9A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a3875a6f1df47c1" /><Relationship Type="http://schemas.openxmlformats.org/officeDocument/2006/relationships/header" Target="header.xml" Id="R377fb42758974fd6" /><Relationship Type="http://schemas.openxmlformats.org/officeDocument/2006/relationships/footer" Target="footer.xml" Id="Rdd2375be243c4938" /><Relationship Type="http://schemas.openxmlformats.org/officeDocument/2006/relationships/hyperlink" Target="https://www.activehealthykids.org/4-0/" TargetMode="External" Id="Rd1805399374b4a73" /><Relationship Type="http://schemas.openxmlformats.org/officeDocument/2006/relationships/hyperlink" Target="https://www.gov.wales/sites/default/files/publications/2018-03/succesful-futures-a-summary-of-professor-graham-donaldsons-report.pdf" TargetMode="External" Id="R41c617f12233461b" /><Relationship Type="http://schemas.openxmlformats.org/officeDocument/2006/relationships/hyperlink" Target="https://law.gov.wales/curriculum-and-assessment-wales-act-2021-0" TargetMode="External" Id="Rf08360561eb04b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2024-11-10T15:29:23.5920643Z</dcterms:created>
  <dcterms:modified xsi:type="dcterms:W3CDTF">2024-11-14T17:30:13.3625372Z</dcterms:modified>
  <dc:creator>Cellan Carter-Jones (2305710)</dc:creator>
  <lastModifiedBy>Cellan Carter-Jones (2305710)</lastModifiedBy>
</coreProperties>
</file>