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04D445" w14:textId="634C692D" w:rsidR="00C93CCA" w:rsidRDefault="007136ED" w:rsidP="00C93CCA">
      <w:pPr>
        <w:spacing w:before="600" w:line="360" w:lineRule="auto"/>
        <w:rPr>
          <w:rFonts w:ascii="Times New Roman" w:eastAsia="Times New Roman" w:hAnsi="Times New Roman" w:cs="Times New Roman"/>
          <w:sz w:val="24"/>
          <w:szCs w:val="24"/>
        </w:rPr>
      </w:pPr>
      <w:bookmarkStart w:id="0" w:name="_Hlk216557515"/>
      <w:bookmarkEnd w:id="0"/>
      <w:r w:rsidRPr="0048389D">
        <w:rPr>
          <w:noProof/>
        </w:rPr>
        <w:drawing>
          <wp:inline distT="0" distB="0" distL="0" distR="0" wp14:anchorId="056BD564" wp14:editId="14E62257">
            <wp:extent cx="2273300" cy="914400"/>
            <wp:effectExtent l="0" t="0" r="0" b="0"/>
            <wp:docPr id="1426454011" name="Picture 2" descr="UWTSD logo with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lun 4" descr="UWTSD logo with nam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277241" cy="915985"/>
                    </a:xfrm>
                    <a:prstGeom prst="rect">
                      <a:avLst/>
                    </a:prstGeom>
                    <a:noFill/>
                    <a:ln>
                      <a:noFill/>
                    </a:ln>
                  </pic:spPr>
                </pic:pic>
              </a:graphicData>
            </a:graphic>
          </wp:inline>
        </w:drawing>
      </w:r>
    </w:p>
    <w:p w14:paraId="27504A1D" w14:textId="77777777" w:rsidR="00C93CCA" w:rsidRDefault="00C93CCA" w:rsidP="00C93CCA">
      <w:pPr>
        <w:pStyle w:val="Title"/>
        <w:jc w:val="center"/>
        <w:rPr>
          <w:rFonts w:ascii="Times New Roman" w:eastAsia="Times New Roman" w:hAnsi="Times New Roman" w:cs="Times New Roman"/>
          <w:sz w:val="52"/>
          <w:szCs w:val="52"/>
        </w:rPr>
      </w:pPr>
      <w:r>
        <w:rPr>
          <w:rFonts w:ascii="Times New Roman" w:eastAsia="Times New Roman" w:hAnsi="Times New Roman" w:cs="Times New Roman"/>
          <w:sz w:val="52"/>
          <w:szCs w:val="52"/>
        </w:rPr>
        <w:t>UNIVERSITY OF WALES TRINITY SAINT DAVID</w:t>
      </w:r>
    </w:p>
    <w:p w14:paraId="4E37F581" w14:textId="77777777" w:rsidR="00C93CCA" w:rsidRDefault="00C93CCA" w:rsidP="00C93CCA">
      <w:pPr>
        <w:rPr>
          <w:rFonts w:ascii="Times New Roman" w:eastAsia="Times New Roman" w:hAnsi="Times New Roman" w:cs="Times New Roman"/>
          <w:sz w:val="20"/>
          <w:szCs w:val="20"/>
        </w:rPr>
      </w:pPr>
    </w:p>
    <w:p w14:paraId="53D22DD4" w14:textId="77777777" w:rsidR="00C93CCA" w:rsidRDefault="00C93CCA" w:rsidP="00C93CCA">
      <w:pPr>
        <w:pStyle w:val="Title"/>
        <w:jc w:val="center"/>
        <w:rPr>
          <w:rFonts w:ascii="Times New Roman" w:eastAsia="Times New Roman" w:hAnsi="Times New Roman" w:cs="Times New Roman"/>
          <w:sz w:val="52"/>
          <w:szCs w:val="52"/>
        </w:rPr>
      </w:pPr>
      <w:r>
        <w:rPr>
          <w:rFonts w:ascii="Times New Roman" w:eastAsia="Times New Roman" w:hAnsi="Times New Roman" w:cs="Times New Roman"/>
          <w:sz w:val="52"/>
          <w:szCs w:val="52"/>
        </w:rPr>
        <w:t>Master of Business Administration</w:t>
      </w:r>
    </w:p>
    <w:p w14:paraId="4135014C" w14:textId="77777777" w:rsidR="00C93CCA" w:rsidRDefault="00C93CCA" w:rsidP="00C93CCA">
      <w:pPr>
        <w:pStyle w:val="Title"/>
        <w:rPr>
          <w:rFonts w:ascii="Times New Roman" w:eastAsia="Times New Roman" w:hAnsi="Times New Roman" w:cs="Times New Roman"/>
          <w:sz w:val="52"/>
          <w:szCs w:val="52"/>
        </w:rPr>
      </w:pPr>
    </w:p>
    <w:p w14:paraId="2AE9A46D" w14:textId="77777777" w:rsidR="00C93CCA" w:rsidRDefault="00C93CCA" w:rsidP="00C93CCA">
      <w:pPr>
        <w:rPr>
          <w:rFonts w:ascii="Times New Roman" w:eastAsia="Times New Roman" w:hAnsi="Times New Roman" w:cs="Times New Roman"/>
          <w:sz w:val="20"/>
          <w:szCs w:val="20"/>
        </w:rPr>
      </w:pPr>
    </w:p>
    <w:p w14:paraId="6055C5FC" w14:textId="77777777" w:rsidR="00C93CCA" w:rsidRDefault="00C93CCA" w:rsidP="00C93CCA">
      <w:pPr>
        <w:pStyle w:val="Title"/>
        <w:jc w:val="center"/>
        <w:rPr>
          <w:rFonts w:ascii="Times New Roman" w:eastAsia="Times New Roman" w:hAnsi="Times New Roman" w:cs="Times New Roman"/>
          <w:sz w:val="52"/>
          <w:szCs w:val="52"/>
        </w:rPr>
      </w:pPr>
      <w:r>
        <w:rPr>
          <w:rFonts w:ascii="Times New Roman" w:eastAsia="Times New Roman" w:hAnsi="Times New Roman" w:cs="Times New Roman"/>
          <w:sz w:val="52"/>
          <w:szCs w:val="52"/>
        </w:rPr>
        <w:t>Strategic Management Analysis of Louis Vuitton:</w:t>
      </w:r>
    </w:p>
    <w:p w14:paraId="55992CF6" w14:textId="77777777" w:rsidR="00C93CCA" w:rsidRDefault="00C93CCA" w:rsidP="00C93CCA">
      <w:pPr>
        <w:pStyle w:val="Title"/>
        <w:jc w:val="center"/>
        <w:rPr>
          <w:rFonts w:ascii="Times New Roman" w:eastAsia="Times New Roman" w:hAnsi="Times New Roman" w:cs="Times New Roman"/>
          <w:sz w:val="52"/>
          <w:szCs w:val="52"/>
        </w:rPr>
      </w:pPr>
      <w:r>
        <w:rPr>
          <w:rFonts w:ascii="Times New Roman" w:eastAsia="Times New Roman" w:hAnsi="Times New Roman" w:cs="Times New Roman"/>
          <w:sz w:val="52"/>
          <w:szCs w:val="52"/>
        </w:rPr>
        <w:t>Sustaining Competitive Advantage in the Global Luxury Industry</w:t>
      </w:r>
    </w:p>
    <w:p w14:paraId="705EC017" w14:textId="77777777" w:rsidR="00C93CCA" w:rsidRDefault="00C93CCA" w:rsidP="00C93CCA">
      <w:pPr>
        <w:rPr>
          <w:rFonts w:ascii="Times New Roman" w:eastAsia="Times New Roman" w:hAnsi="Times New Roman" w:cs="Times New Roman"/>
          <w:sz w:val="24"/>
          <w:szCs w:val="24"/>
        </w:rPr>
      </w:pPr>
    </w:p>
    <w:tbl>
      <w:tblPr>
        <w:tblW w:w="90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000"/>
        <w:gridCol w:w="6026"/>
      </w:tblGrid>
      <w:tr w:rsidR="00C93CCA" w14:paraId="6C02C653" w14:textId="77777777" w:rsidTr="009F5770">
        <w:tc>
          <w:tcPr>
            <w:tcW w:w="3000" w:type="dxa"/>
          </w:tcPr>
          <w:p w14:paraId="7DFC33AE"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Programme:</w:t>
            </w:r>
          </w:p>
        </w:tc>
        <w:tc>
          <w:tcPr>
            <w:tcW w:w="6026" w:type="dxa"/>
          </w:tcPr>
          <w:p w14:paraId="4F5787D5"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Master of Business Administration</w:t>
            </w:r>
          </w:p>
        </w:tc>
      </w:tr>
      <w:tr w:rsidR="00C93CCA" w14:paraId="2FBB71AC" w14:textId="77777777" w:rsidTr="009F5770">
        <w:tc>
          <w:tcPr>
            <w:tcW w:w="3000" w:type="dxa"/>
          </w:tcPr>
          <w:p w14:paraId="417F5716"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Module:</w:t>
            </w:r>
          </w:p>
        </w:tc>
        <w:tc>
          <w:tcPr>
            <w:tcW w:w="6026" w:type="dxa"/>
          </w:tcPr>
          <w:p w14:paraId="4D3CC76D"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Strategic Management</w:t>
            </w:r>
          </w:p>
        </w:tc>
      </w:tr>
      <w:tr w:rsidR="00C93CCA" w14:paraId="64ED7810" w14:textId="77777777" w:rsidTr="009F5770">
        <w:tc>
          <w:tcPr>
            <w:tcW w:w="3000" w:type="dxa"/>
          </w:tcPr>
          <w:p w14:paraId="45049B7E"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Module Code:</w:t>
            </w:r>
          </w:p>
        </w:tc>
        <w:tc>
          <w:tcPr>
            <w:tcW w:w="6026" w:type="dxa"/>
          </w:tcPr>
          <w:p w14:paraId="5CCDF99A"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LCMB7003</w:t>
            </w:r>
          </w:p>
        </w:tc>
      </w:tr>
      <w:tr w:rsidR="00C93CCA" w14:paraId="44512B1D" w14:textId="77777777" w:rsidTr="009F5770">
        <w:tc>
          <w:tcPr>
            <w:tcW w:w="3000" w:type="dxa"/>
          </w:tcPr>
          <w:p w14:paraId="0523E5F7"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Lecturer:</w:t>
            </w:r>
          </w:p>
        </w:tc>
        <w:tc>
          <w:tcPr>
            <w:tcW w:w="6026" w:type="dxa"/>
          </w:tcPr>
          <w:p w14:paraId="4D39FAA3" w14:textId="23271C06" w:rsidR="00C93CCA" w:rsidRDefault="00C91710"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Dr. </w:t>
            </w:r>
            <w:r w:rsidR="00A5016F" w:rsidRPr="00A5016F">
              <w:rPr>
                <w:rFonts w:ascii="Times New Roman" w:eastAsia="Times New Roman" w:hAnsi="Times New Roman" w:cs="Times New Roman"/>
                <w:sz w:val="24"/>
                <w:szCs w:val="24"/>
              </w:rPr>
              <w:t>Andry Rakotovololon</w:t>
            </w:r>
            <w:r w:rsidR="000A6139">
              <w:rPr>
                <w:rFonts w:ascii="Times New Roman" w:eastAsia="Times New Roman" w:hAnsi="Times New Roman" w:cs="Times New Roman"/>
                <w:sz w:val="24"/>
                <w:szCs w:val="24"/>
              </w:rPr>
              <w:t>a</w:t>
            </w:r>
          </w:p>
        </w:tc>
      </w:tr>
      <w:tr w:rsidR="00C93CCA" w14:paraId="70B729E3" w14:textId="77777777" w:rsidTr="009F5770">
        <w:tc>
          <w:tcPr>
            <w:tcW w:w="3000" w:type="dxa"/>
          </w:tcPr>
          <w:p w14:paraId="78EFC096"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Student Name:</w:t>
            </w:r>
          </w:p>
        </w:tc>
        <w:tc>
          <w:tcPr>
            <w:tcW w:w="6026" w:type="dxa"/>
          </w:tcPr>
          <w:p w14:paraId="20BC3E85" w14:textId="432FCDD0" w:rsidR="00C93CCA" w:rsidRDefault="000A6139"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Cristian Stoleru</w:t>
            </w:r>
          </w:p>
        </w:tc>
      </w:tr>
      <w:tr w:rsidR="00C93CCA" w14:paraId="4D871FFC" w14:textId="77777777" w:rsidTr="009F5770">
        <w:tc>
          <w:tcPr>
            <w:tcW w:w="3000" w:type="dxa"/>
          </w:tcPr>
          <w:p w14:paraId="3DCEE4CC"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Student ID:</w:t>
            </w:r>
          </w:p>
        </w:tc>
        <w:tc>
          <w:tcPr>
            <w:tcW w:w="6026" w:type="dxa"/>
          </w:tcPr>
          <w:p w14:paraId="452C3F59" w14:textId="19B31FE5" w:rsidR="00C93CCA" w:rsidRDefault="000A6139"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2215119</w:t>
            </w:r>
          </w:p>
        </w:tc>
      </w:tr>
      <w:tr w:rsidR="00C93CCA" w14:paraId="72088E21" w14:textId="77777777" w:rsidTr="009F5770">
        <w:tc>
          <w:tcPr>
            <w:tcW w:w="3000" w:type="dxa"/>
          </w:tcPr>
          <w:p w14:paraId="53E2DA8A"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Word Count:</w:t>
            </w:r>
          </w:p>
        </w:tc>
        <w:tc>
          <w:tcPr>
            <w:tcW w:w="6026" w:type="dxa"/>
          </w:tcPr>
          <w:p w14:paraId="40E6D1B9"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Approximately 5,000 words</w:t>
            </w:r>
          </w:p>
        </w:tc>
      </w:tr>
      <w:tr w:rsidR="00C93CCA" w14:paraId="3A55C1B2" w14:textId="77777777" w:rsidTr="009F5770">
        <w:tc>
          <w:tcPr>
            <w:tcW w:w="3000" w:type="dxa"/>
          </w:tcPr>
          <w:p w14:paraId="4D4185B8"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Submission Date:</w:t>
            </w:r>
          </w:p>
        </w:tc>
        <w:tc>
          <w:tcPr>
            <w:tcW w:w="6026" w:type="dxa"/>
          </w:tcPr>
          <w:p w14:paraId="65B3B5E3" w14:textId="24750C19" w:rsidR="00C93CCA" w:rsidRDefault="00B9497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30 April</w:t>
            </w:r>
            <w:r w:rsidR="00C93CCA">
              <w:rPr>
                <w:rFonts w:ascii="Times New Roman" w:eastAsia="Times New Roman" w:hAnsi="Times New Roman" w:cs="Times New Roman"/>
                <w:sz w:val="24"/>
                <w:szCs w:val="24"/>
              </w:rPr>
              <w:t xml:space="preserve"> 2026</w:t>
            </w:r>
          </w:p>
        </w:tc>
      </w:tr>
    </w:tbl>
    <w:p w14:paraId="06F4A9A7" w14:textId="77777777" w:rsidR="00C93CCA" w:rsidRDefault="00C93CCA" w:rsidP="00C93CCA">
      <w:pPr>
        <w:spacing w:line="360" w:lineRule="auto"/>
        <w:rPr>
          <w:rFonts w:ascii="Times New Roman" w:eastAsia="Times New Roman" w:hAnsi="Times New Roman" w:cs="Times New Roman"/>
          <w:sz w:val="24"/>
          <w:szCs w:val="24"/>
        </w:rPr>
      </w:pPr>
      <w:r>
        <w:br w:type="page"/>
      </w:r>
    </w:p>
    <w:p w14:paraId="731D12ED" w14:textId="77777777" w:rsidR="00C93CCA" w:rsidRDefault="00C93CCA" w:rsidP="00C93CCA">
      <w:pPr>
        <w:keepNext/>
        <w:keepLines/>
        <w:pBdr>
          <w:top w:val="nil"/>
          <w:left w:val="nil"/>
          <w:bottom w:val="single" w:sz="4" w:space="1" w:color="595959"/>
          <w:right w:val="nil"/>
          <w:between w:val="nil"/>
        </w:pBdr>
        <w:spacing w:before="360"/>
        <w:ind w:left="432" w:hanging="432"/>
        <w:rPr>
          <w:rFonts w:ascii="Times New Roman" w:eastAsia="Times New Roman" w:hAnsi="Times New Roman" w:cs="Times New Roman"/>
          <w:b/>
          <w:bCs/>
          <w:smallCaps/>
          <w:color w:val="000000"/>
          <w:sz w:val="40"/>
          <w:szCs w:val="40"/>
        </w:rPr>
      </w:pPr>
      <w:r>
        <w:rPr>
          <w:rFonts w:ascii="Times New Roman" w:eastAsia="Times New Roman" w:hAnsi="Times New Roman" w:cs="Times New Roman"/>
          <w:b/>
          <w:bCs/>
          <w:smallCaps/>
          <w:color w:val="000000"/>
          <w:sz w:val="40"/>
          <w:szCs w:val="40"/>
        </w:rPr>
        <w:lastRenderedPageBreak/>
        <w:t>Table of Contents</w:t>
      </w:r>
    </w:p>
    <w:sdt>
      <w:sdtPr>
        <w:id w:val="-1832336643"/>
        <w:docPartObj>
          <w:docPartGallery w:val="Table of Contents"/>
          <w:docPartUnique/>
        </w:docPartObj>
      </w:sdtPr>
      <w:sdtEndPr/>
      <w:sdtContent>
        <w:p w14:paraId="3D6C1532" w14:textId="77777777" w:rsidR="00C93CCA" w:rsidRDefault="00C93CCA" w:rsidP="00C93CCA">
          <w:pPr>
            <w:pBdr>
              <w:top w:val="nil"/>
              <w:left w:val="nil"/>
              <w:bottom w:val="nil"/>
              <w:right w:val="nil"/>
              <w:between w:val="nil"/>
            </w:pBdr>
            <w:tabs>
              <w:tab w:val="left" w:pos="480"/>
              <w:tab w:val="right" w:leader="dot" w:pos="9016"/>
            </w:tabs>
            <w:spacing w:after="100"/>
            <w:rPr>
              <w:rFonts w:ascii="Times New Roman" w:eastAsia="Times New Roman" w:hAnsi="Times New Roman" w:cs="Times New Roman"/>
              <w:noProof/>
              <w:color w:val="000000"/>
              <w:sz w:val="28"/>
              <w:szCs w:val="28"/>
            </w:rPr>
          </w:pPr>
          <w:r>
            <w:fldChar w:fldCharType="begin"/>
          </w:r>
          <w:r>
            <w:instrText xml:space="preserve"> TOC \h \u \z \t "Heading 1,1,Heading 2,2,Heading 3,3,"</w:instrText>
          </w:r>
          <w:r>
            <w:fldChar w:fldCharType="separate"/>
          </w:r>
          <w:hyperlink w:anchor="_960gkoeqel8u">
            <w:r>
              <w:rPr>
                <w:rFonts w:ascii="Times New Roman" w:eastAsia="Times New Roman" w:hAnsi="Times New Roman" w:cs="Times New Roman"/>
                <w:noProof/>
                <w:color w:val="000000"/>
                <w:sz w:val="24"/>
                <w:szCs w:val="24"/>
              </w:rPr>
              <w:t>1</w:t>
            </w:r>
          </w:hyperlink>
          <w:hyperlink w:anchor="_960gkoeqel8u">
            <w:r>
              <w:rPr>
                <w:rFonts w:ascii="Times New Roman" w:eastAsia="Times New Roman" w:hAnsi="Times New Roman" w:cs="Times New Roman"/>
                <w:noProof/>
                <w:color w:val="000000"/>
                <w:sz w:val="28"/>
                <w:szCs w:val="28"/>
              </w:rPr>
              <w:tab/>
            </w:r>
          </w:hyperlink>
          <w:r>
            <w:rPr>
              <w:noProof/>
            </w:rPr>
            <w:fldChar w:fldCharType="begin"/>
          </w:r>
          <w:r>
            <w:rPr>
              <w:noProof/>
            </w:rPr>
            <w:instrText xml:space="preserve"> PAGEREF _960gkoeqel8u \h </w:instrText>
          </w:r>
          <w:r>
            <w:rPr>
              <w:noProof/>
            </w:rPr>
          </w:r>
          <w:r>
            <w:rPr>
              <w:noProof/>
            </w:rPr>
            <w:fldChar w:fldCharType="separate"/>
          </w:r>
          <w:r>
            <w:rPr>
              <w:rFonts w:ascii="Times New Roman" w:eastAsia="Times New Roman" w:hAnsi="Times New Roman" w:cs="Times New Roman"/>
              <w:noProof/>
              <w:color w:val="000000"/>
              <w:sz w:val="24"/>
              <w:szCs w:val="24"/>
            </w:rPr>
            <w:t>SECTION 1: STRATEGIC ANALYSIS</w:t>
          </w:r>
          <w:r>
            <w:rPr>
              <w:rFonts w:ascii="Times New Roman" w:eastAsia="Times New Roman" w:hAnsi="Times New Roman" w:cs="Times New Roman"/>
              <w:noProof/>
              <w:color w:val="000000"/>
              <w:sz w:val="24"/>
              <w:szCs w:val="24"/>
            </w:rPr>
            <w:tab/>
            <w:t>3</w:t>
          </w:r>
          <w:r>
            <w:rPr>
              <w:noProof/>
            </w:rPr>
            <w:fldChar w:fldCharType="end"/>
          </w:r>
        </w:p>
        <w:p w14:paraId="7675E5D2" w14:textId="77777777" w:rsidR="00C93CCA" w:rsidRDefault="00C93CCA" w:rsidP="00C93CCA">
          <w:pPr>
            <w:pBdr>
              <w:top w:val="nil"/>
              <w:left w:val="nil"/>
              <w:bottom w:val="nil"/>
              <w:right w:val="nil"/>
              <w:between w:val="nil"/>
            </w:pBdr>
            <w:tabs>
              <w:tab w:val="left" w:pos="960"/>
              <w:tab w:val="right" w:leader="dot" w:pos="9016"/>
            </w:tabs>
            <w:spacing w:after="100"/>
            <w:ind w:left="240"/>
            <w:rPr>
              <w:rFonts w:ascii="Times New Roman" w:eastAsia="Times New Roman" w:hAnsi="Times New Roman" w:cs="Times New Roman"/>
              <w:noProof/>
              <w:color w:val="000000"/>
              <w:sz w:val="28"/>
              <w:szCs w:val="28"/>
            </w:rPr>
          </w:pPr>
          <w:hyperlink w:anchor="_1j50hujguscq">
            <w:r>
              <w:rPr>
                <w:rFonts w:ascii="Times New Roman" w:eastAsia="Times New Roman" w:hAnsi="Times New Roman" w:cs="Times New Roman"/>
                <w:noProof/>
                <w:color w:val="000000"/>
                <w:sz w:val="24"/>
                <w:szCs w:val="24"/>
              </w:rPr>
              <w:t>1.1</w:t>
            </w:r>
          </w:hyperlink>
          <w:hyperlink w:anchor="_1j50hujguscq">
            <w:r>
              <w:rPr>
                <w:rFonts w:ascii="Times New Roman" w:eastAsia="Times New Roman" w:hAnsi="Times New Roman" w:cs="Times New Roman"/>
                <w:noProof/>
                <w:color w:val="000000"/>
                <w:sz w:val="28"/>
                <w:szCs w:val="28"/>
              </w:rPr>
              <w:tab/>
            </w:r>
          </w:hyperlink>
          <w:r>
            <w:rPr>
              <w:noProof/>
            </w:rPr>
            <w:fldChar w:fldCharType="begin"/>
          </w:r>
          <w:r>
            <w:rPr>
              <w:noProof/>
            </w:rPr>
            <w:instrText xml:space="preserve"> PAGEREF _1j50hujguscq \h </w:instrText>
          </w:r>
          <w:r>
            <w:rPr>
              <w:noProof/>
            </w:rPr>
          </w:r>
          <w:r>
            <w:rPr>
              <w:noProof/>
            </w:rPr>
            <w:fldChar w:fldCharType="separate"/>
          </w:r>
          <w:r>
            <w:rPr>
              <w:rFonts w:ascii="Times New Roman" w:eastAsia="Times New Roman" w:hAnsi="Times New Roman" w:cs="Times New Roman"/>
              <w:noProof/>
              <w:color w:val="000000"/>
              <w:sz w:val="24"/>
              <w:szCs w:val="24"/>
            </w:rPr>
            <w:t>Organisational Context and Overview</w:t>
          </w:r>
          <w:r>
            <w:rPr>
              <w:rFonts w:ascii="Times New Roman" w:eastAsia="Times New Roman" w:hAnsi="Times New Roman" w:cs="Times New Roman"/>
              <w:noProof/>
              <w:color w:val="000000"/>
              <w:sz w:val="24"/>
              <w:szCs w:val="24"/>
            </w:rPr>
            <w:tab/>
            <w:t>3</w:t>
          </w:r>
          <w:r>
            <w:rPr>
              <w:noProof/>
            </w:rPr>
            <w:fldChar w:fldCharType="end"/>
          </w:r>
        </w:p>
        <w:p w14:paraId="23FE8E25" w14:textId="77777777" w:rsidR="00C93CCA" w:rsidRDefault="00C93CCA" w:rsidP="00C93CCA">
          <w:pPr>
            <w:pBdr>
              <w:top w:val="nil"/>
              <w:left w:val="nil"/>
              <w:bottom w:val="nil"/>
              <w:right w:val="nil"/>
              <w:between w:val="nil"/>
            </w:pBdr>
            <w:tabs>
              <w:tab w:val="left" w:pos="480"/>
              <w:tab w:val="right" w:leader="dot" w:pos="9016"/>
            </w:tabs>
            <w:spacing w:after="100"/>
            <w:rPr>
              <w:rFonts w:ascii="Times New Roman" w:eastAsia="Times New Roman" w:hAnsi="Times New Roman" w:cs="Times New Roman"/>
              <w:noProof/>
              <w:color w:val="000000"/>
              <w:sz w:val="28"/>
              <w:szCs w:val="28"/>
            </w:rPr>
          </w:pPr>
          <w:hyperlink w:anchor="_slwzug4s7i3n">
            <w:r>
              <w:rPr>
                <w:rFonts w:ascii="Times New Roman" w:eastAsia="Times New Roman" w:hAnsi="Times New Roman" w:cs="Times New Roman"/>
                <w:noProof/>
                <w:color w:val="000000"/>
                <w:sz w:val="24"/>
                <w:szCs w:val="24"/>
              </w:rPr>
              <w:t>2</w:t>
            </w:r>
          </w:hyperlink>
          <w:hyperlink w:anchor="_slwzug4s7i3n">
            <w:r>
              <w:rPr>
                <w:rFonts w:ascii="Times New Roman" w:eastAsia="Times New Roman" w:hAnsi="Times New Roman" w:cs="Times New Roman"/>
                <w:noProof/>
                <w:color w:val="000000"/>
                <w:sz w:val="28"/>
                <w:szCs w:val="28"/>
              </w:rPr>
              <w:tab/>
            </w:r>
          </w:hyperlink>
          <w:r>
            <w:rPr>
              <w:noProof/>
            </w:rPr>
            <w:fldChar w:fldCharType="begin"/>
          </w:r>
          <w:r>
            <w:rPr>
              <w:noProof/>
            </w:rPr>
            <w:instrText xml:space="preserve"> PAGEREF _slwzug4s7i3n \h </w:instrText>
          </w:r>
          <w:r>
            <w:rPr>
              <w:noProof/>
            </w:rPr>
          </w:r>
          <w:r>
            <w:rPr>
              <w:noProof/>
            </w:rPr>
            <w:fldChar w:fldCharType="separate"/>
          </w:r>
          <w:r>
            <w:rPr>
              <w:rFonts w:ascii="Times New Roman" w:eastAsia="Times New Roman" w:hAnsi="Times New Roman" w:cs="Times New Roman"/>
              <w:noProof/>
              <w:color w:val="000000"/>
              <w:sz w:val="24"/>
              <w:szCs w:val="24"/>
            </w:rPr>
            <w:t>External and Internal Environment Analysis</w:t>
          </w:r>
          <w:r>
            <w:rPr>
              <w:rFonts w:ascii="Times New Roman" w:eastAsia="Times New Roman" w:hAnsi="Times New Roman" w:cs="Times New Roman"/>
              <w:noProof/>
              <w:color w:val="000000"/>
              <w:sz w:val="24"/>
              <w:szCs w:val="24"/>
            </w:rPr>
            <w:tab/>
            <w:t>4</w:t>
          </w:r>
          <w:r>
            <w:rPr>
              <w:noProof/>
            </w:rPr>
            <w:fldChar w:fldCharType="end"/>
          </w:r>
        </w:p>
        <w:p w14:paraId="779FE7CC" w14:textId="77777777" w:rsidR="00C93CCA" w:rsidRDefault="00C93CCA" w:rsidP="00C93CCA">
          <w:pPr>
            <w:pBdr>
              <w:top w:val="nil"/>
              <w:left w:val="nil"/>
              <w:bottom w:val="nil"/>
              <w:right w:val="nil"/>
              <w:between w:val="nil"/>
            </w:pBdr>
            <w:tabs>
              <w:tab w:val="left" w:pos="960"/>
              <w:tab w:val="right" w:leader="dot" w:pos="9016"/>
            </w:tabs>
            <w:spacing w:after="100"/>
            <w:ind w:left="240"/>
            <w:rPr>
              <w:rFonts w:ascii="Times New Roman" w:eastAsia="Times New Roman" w:hAnsi="Times New Roman" w:cs="Times New Roman"/>
              <w:noProof/>
              <w:color w:val="000000"/>
              <w:sz w:val="28"/>
              <w:szCs w:val="28"/>
            </w:rPr>
          </w:pPr>
          <w:hyperlink w:anchor="_r433ue6fcfz9">
            <w:r>
              <w:rPr>
                <w:rFonts w:ascii="Times New Roman" w:eastAsia="Times New Roman" w:hAnsi="Times New Roman" w:cs="Times New Roman"/>
                <w:noProof/>
                <w:color w:val="000000"/>
                <w:sz w:val="24"/>
                <w:szCs w:val="24"/>
              </w:rPr>
              <w:t>2.1</w:t>
            </w:r>
          </w:hyperlink>
          <w:hyperlink w:anchor="_r433ue6fcfz9">
            <w:r>
              <w:rPr>
                <w:rFonts w:ascii="Times New Roman" w:eastAsia="Times New Roman" w:hAnsi="Times New Roman" w:cs="Times New Roman"/>
                <w:noProof/>
                <w:color w:val="000000"/>
                <w:sz w:val="28"/>
                <w:szCs w:val="28"/>
              </w:rPr>
              <w:tab/>
            </w:r>
          </w:hyperlink>
          <w:r>
            <w:rPr>
              <w:noProof/>
            </w:rPr>
            <w:fldChar w:fldCharType="begin"/>
          </w:r>
          <w:r>
            <w:rPr>
              <w:noProof/>
            </w:rPr>
            <w:instrText xml:space="preserve"> PAGEREF _r433ue6fcfz9 \h </w:instrText>
          </w:r>
          <w:r>
            <w:rPr>
              <w:noProof/>
            </w:rPr>
          </w:r>
          <w:r>
            <w:rPr>
              <w:noProof/>
            </w:rPr>
            <w:fldChar w:fldCharType="separate"/>
          </w:r>
          <w:r>
            <w:rPr>
              <w:rFonts w:ascii="Times New Roman" w:eastAsia="Times New Roman" w:hAnsi="Times New Roman" w:cs="Times New Roman"/>
              <w:noProof/>
              <w:color w:val="000000"/>
              <w:sz w:val="24"/>
              <w:szCs w:val="24"/>
            </w:rPr>
            <w:t>PESTEL Analysis</w:t>
          </w:r>
          <w:r>
            <w:rPr>
              <w:rFonts w:ascii="Times New Roman" w:eastAsia="Times New Roman" w:hAnsi="Times New Roman" w:cs="Times New Roman"/>
              <w:noProof/>
              <w:color w:val="000000"/>
              <w:sz w:val="24"/>
              <w:szCs w:val="24"/>
            </w:rPr>
            <w:tab/>
            <w:t>4</w:t>
          </w:r>
          <w:r>
            <w:rPr>
              <w:noProof/>
            </w:rPr>
            <w:fldChar w:fldCharType="end"/>
          </w:r>
        </w:p>
        <w:p w14:paraId="4C8C6C74" w14:textId="77777777" w:rsidR="00C93CCA" w:rsidRDefault="00C93CCA" w:rsidP="00C93CCA">
          <w:pPr>
            <w:pBdr>
              <w:top w:val="nil"/>
              <w:left w:val="nil"/>
              <w:bottom w:val="nil"/>
              <w:right w:val="nil"/>
              <w:between w:val="nil"/>
            </w:pBdr>
            <w:tabs>
              <w:tab w:val="left" w:pos="960"/>
              <w:tab w:val="right" w:leader="dot" w:pos="9016"/>
            </w:tabs>
            <w:spacing w:after="100"/>
            <w:ind w:left="240"/>
            <w:rPr>
              <w:rFonts w:ascii="Times New Roman" w:eastAsia="Times New Roman" w:hAnsi="Times New Roman" w:cs="Times New Roman"/>
              <w:noProof/>
              <w:color w:val="000000"/>
              <w:sz w:val="28"/>
              <w:szCs w:val="28"/>
            </w:rPr>
          </w:pPr>
          <w:hyperlink w:anchor="_vpcckems5wif">
            <w:r>
              <w:rPr>
                <w:rFonts w:ascii="Times New Roman" w:eastAsia="Times New Roman" w:hAnsi="Times New Roman" w:cs="Times New Roman"/>
                <w:noProof/>
                <w:color w:val="000000"/>
                <w:sz w:val="24"/>
                <w:szCs w:val="24"/>
              </w:rPr>
              <w:t>2.2</w:t>
            </w:r>
          </w:hyperlink>
          <w:hyperlink w:anchor="_vpcckems5wif">
            <w:r>
              <w:rPr>
                <w:rFonts w:ascii="Times New Roman" w:eastAsia="Times New Roman" w:hAnsi="Times New Roman" w:cs="Times New Roman"/>
                <w:noProof/>
                <w:color w:val="000000"/>
                <w:sz w:val="28"/>
                <w:szCs w:val="28"/>
              </w:rPr>
              <w:tab/>
            </w:r>
          </w:hyperlink>
          <w:r>
            <w:rPr>
              <w:noProof/>
            </w:rPr>
            <w:fldChar w:fldCharType="begin"/>
          </w:r>
          <w:r>
            <w:rPr>
              <w:noProof/>
            </w:rPr>
            <w:instrText xml:space="preserve"> PAGEREF _vpcckems5wif \h </w:instrText>
          </w:r>
          <w:r>
            <w:rPr>
              <w:noProof/>
            </w:rPr>
          </w:r>
          <w:r>
            <w:rPr>
              <w:noProof/>
            </w:rPr>
            <w:fldChar w:fldCharType="separate"/>
          </w:r>
          <w:r>
            <w:rPr>
              <w:rFonts w:ascii="Times New Roman" w:eastAsia="Times New Roman" w:hAnsi="Times New Roman" w:cs="Times New Roman"/>
              <w:noProof/>
              <w:color w:val="000000"/>
              <w:sz w:val="24"/>
              <w:szCs w:val="24"/>
            </w:rPr>
            <w:t>Critical Success Factors and Strategic Challenges</w:t>
          </w:r>
          <w:r>
            <w:rPr>
              <w:rFonts w:ascii="Times New Roman" w:eastAsia="Times New Roman" w:hAnsi="Times New Roman" w:cs="Times New Roman"/>
              <w:noProof/>
              <w:color w:val="000000"/>
              <w:sz w:val="24"/>
              <w:szCs w:val="24"/>
            </w:rPr>
            <w:tab/>
            <w:t>5</w:t>
          </w:r>
          <w:r>
            <w:rPr>
              <w:noProof/>
            </w:rPr>
            <w:fldChar w:fldCharType="end"/>
          </w:r>
        </w:p>
        <w:p w14:paraId="422974FC" w14:textId="77777777" w:rsidR="00C93CCA" w:rsidRDefault="00C93CCA" w:rsidP="00C93CCA">
          <w:pPr>
            <w:pBdr>
              <w:top w:val="nil"/>
              <w:left w:val="nil"/>
              <w:bottom w:val="nil"/>
              <w:right w:val="nil"/>
              <w:between w:val="nil"/>
            </w:pBdr>
            <w:tabs>
              <w:tab w:val="left" w:pos="960"/>
              <w:tab w:val="right" w:leader="dot" w:pos="9016"/>
            </w:tabs>
            <w:spacing w:after="100"/>
            <w:ind w:left="240"/>
            <w:rPr>
              <w:rFonts w:ascii="Times New Roman" w:eastAsia="Times New Roman" w:hAnsi="Times New Roman" w:cs="Times New Roman"/>
              <w:noProof/>
              <w:color w:val="000000"/>
              <w:sz w:val="28"/>
              <w:szCs w:val="28"/>
            </w:rPr>
          </w:pPr>
          <w:hyperlink w:anchor="_ef6n55i4hbqk">
            <w:r>
              <w:rPr>
                <w:rFonts w:ascii="Times New Roman" w:eastAsia="Times New Roman" w:hAnsi="Times New Roman" w:cs="Times New Roman"/>
                <w:noProof/>
                <w:color w:val="000000"/>
                <w:sz w:val="24"/>
                <w:szCs w:val="24"/>
              </w:rPr>
              <w:t>2.3</w:t>
            </w:r>
          </w:hyperlink>
          <w:hyperlink w:anchor="_ef6n55i4hbqk">
            <w:r>
              <w:rPr>
                <w:rFonts w:ascii="Times New Roman" w:eastAsia="Times New Roman" w:hAnsi="Times New Roman" w:cs="Times New Roman"/>
                <w:noProof/>
                <w:color w:val="000000"/>
                <w:sz w:val="28"/>
                <w:szCs w:val="28"/>
              </w:rPr>
              <w:tab/>
            </w:r>
          </w:hyperlink>
          <w:r>
            <w:rPr>
              <w:noProof/>
            </w:rPr>
            <w:fldChar w:fldCharType="begin"/>
          </w:r>
          <w:r>
            <w:rPr>
              <w:noProof/>
            </w:rPr>
            <w:instrText xml:space="preserve"> PAGEREF _ef6n55i4hbqk \h </w:instrText>
          </w:r>
          <w:r>
            <w:rPr>
              <w:noProof/>
            </w:rPr>
          </w:r>
          <w:r>
            <w:rPr>
              <w:noProof/>
            </w:rPr>
            <w:fldChar w:fldCharType="separate"/>
          </w:r>
          <w:r>
            <w:rPr>
              <w:rFonts w:ascii="Times New Roman" w:eastAsia="Times New Roman" w:hAnsi="Times New Roman" w:cs="Times New Roman"/>
              <w:noProof/>
              <w:color w:val="000000"/>
              <w:sz w:val="24"/>
              <w:szCs w:val="24"/>
            </w:rPr>
            <w:t>Internal Environment Analysis: Resources, Capabilities, and Core Competencies</w:t>
          </w:r>
          <w:r>
            <w:rPr>
              <w:rFonts w:ascii="Times New Roman" w:eastAsia="Times New Roman" w:hAnsi="Times New Roman" w:cs="Times New Roman"/>
              <w:noProof/>
              <w:color w:val="000000"/>
              <w:sz w:val="24"/>
              <w:szCs w:val="24"/>
            </w:rPr>
            <w:tab/>
            <w:t>5</w:t>
          </w:r>
          <w:r>
            <w:rPr>
              <w:noProof/>
            </w:rPr>
            <w:fldChar w:fldCharType="end"/>
          </w:r>
        </w:p>
        <w:p w14:paraId="4B79AF07" w14:textId="77777777" w:rsidR="00C93CCA" w:rsidRDefault="00C93CCA" w:rsidP="00C93CCA">
          <w:pPr>
            <w:pBdr>
              <w:top w:val="nil"/>
              <w:left w:val="nil"/>
              <w:bottom w:val="nil"/>
              <w:right w:val="nil"/>
              <w:between w:val="nil"/>
            </w:pBdr>
            <w:tabs>
              <w:tab w:val="left" w:pos="960"/>
              <w:tab w:val="right" w:leader="dot" w:pos="9016"/>
            </w:tabs>
            <w:spacing w:after="100"/>
            <w:ind w:left="240"/>
            <w:rPr>
              <w:rFonts w:ascii="Times New Roman" w:eastAsia="Times New Roman" w:hAnsi="Times New Roman" w:cs="Times New Roman"/>
              <w:noProof/>
              <w:color w:val="000000"/>
              <w:sz w:val="28"/>
              <w:szCs w:val="28"/>
            </w:rPr>
          </w:pPr>
          <w:hyperlink w:anchor="_9l50v36mfbx0">
            <w:r>
              <w:rPr>
                <w:rFonts w:ascii="Times New Roman" w:eastAsia="Times New Roman" w:hAnsi="Times New Roman" w:cs="Times New Roman"/>
                <w:noProof/>
                <w:color w:val="000000"/>
                <w:sz w:val="24"/>
                <w:szCs w:val="24"/>
              </w:rPr>
              <w:t>2.4</w:t>
            </w:r>
          </w:hyperlink>
          <w:hyperlink w:anchor="_9l50v36mfbx0">
            <w:r>
              <w:rPr>
                <w:rFonts w:ascii="Times New Roman" w:eastAsia="Times New Roman" w:hAnsi="Times New Roman" w:cs="Times New Roman"/>
                <w:noProof/>
                <w:color w:val="000000"/>
                <w:sz w:val="28"/>
                <w:szCs w:val="28"/>
              </w:rPr>
              <w:tab/>
            </w:r>
          </w:hyperlink>
          <w:r>
            <w:rPr>
              <w:noProof/>
            </w:rPr>
            <w:fldChar w:fldCharType="begin"/>
          </w:r>
          <w:r>
            <w:rPr>
              <w:noProof/>
            </w:rPr>
            <w:instrText xml:space="preserve"> PAGEREF _9l50v36mfbx0 \h </w:instrText>
          </w:r>
          <w:r>
            <w:rPr>
              <w:noProof/>
            </w:rPr>
          </w:r>
          <w:r>
            <w:rPr>
              <w:noProof/>
            </w:rPr>
            <w:fldChar w:fldCharType="separate"/>
          </w:r>
          <w:r>
            <w:rPr>
              <w:rFonts w:ascii="Times New Roman" w:eastAsia="Times New Roman" w:hAnsi="Times New Roman" w:cs="Times New Roman"/>
              <w:noProof/>
              <w:color w:val="000000"/>
              <w:sz w:val="24"/>
              <w:szCs w:val="24"/>
            </w:rPr>
            <w:t>VRIO Framework Analysis</w:t>
          </w:r>
          <w:r>
            <w:rPr>
              <w:rFonts w:ascii="Times New Roman" w:eastAsia="Times New Roman" w:hAnsi="Times New Roman" w:cs="Times New Roman"/>
              <w:noProof/>
              <w:color w:val="000000"/>
              <w:sz w:val="24"/>
              <w:szCs w:val="24"/>
            </w:rPr>
            <w:tab/>
            <w:t>6</w:t>
          </w:r>
          <w:r>
            <w:rPr>
              <w:noProof/>
            </w:rPr>
            <w:fldChar w:fldCharType="end"/>
          </w:r>
        </w:p>
        <w:p w14:paraId="163C8453" w14:textId="77777777" w:rsidR="00C93CCA" w:rsidRDefault="00C93CCA" w:rsidP="00C93CCA">
          <w:pPr>
            <w:pBdr>
              <w:top w:val="nil"/>
              <w:left w:val="nil"/>
              <w:bottom w:val="nil"/>
              <w:right w:val="nil"/>
              <w:between w:val="nil"/>
            </w:pBdr>
            <w:tabs>
              <w:tab w:val="left" w:pos="960"/>
              <w:tab w:val="right" w:leader="dot" w:pos="9016"/>
            </w:tabs>
            <w:spacing w:after="100"/>
            <w:ind w:left="240"/>
            <w:rPr>
              <w:rFonts w:ascii="Times New Roman" w:eastAsia="Times New Roman" w:hAnsi="Times New Roman" w:cs="Times New Roman"/>
              <w:noProof/>
              <w:color w:val="000000"/>
              <w:sz w:val="28"/>
              <w:szCs w:val="28"/>
            </w:rPr>
          </w:pPr>
          <w:hyperlink w:anchor="_8v7neazq2z6">
            <w:r>
              <w:rPr>
                <w:rFonts w:ascii="Times New Roman" w:eastAsia="Times New Roman" w:hAnsi="Times New Roman" w:cs="Times New Roman"/>
                <w:noProof/>
                <w:color w:val="000000"/>
                <w:sz w:val="24"/>
                <w:szCs w:val="24"/>
              </w:rPr>
              <w:t>2.5</w:t>
            </w:r>
          </w:hyperlink>
          <w:hyperlink w:anchor="_8v7neazq2z6">
            <w:r>
              <w:rPr>
                <w:rFonts w:ascii="Times New Roman" w:eastAsia="Times New Roman" w:hAnsi="Times New Roman" w:cs="Times New Roman"/>
                <w:noProof/>
                <w:color w:val="000000"/>
                <w:sz w:val="28"/>
                <w:szCs w:val="28"/>
              </w:rPr>
              <w:tab/>
            </w:r>
          </w:hyperlink>
          <w:r>
            <w:rPr>
              <w:noProof/>
            </w:rPr>
            <w:fldChar w:fldCharType="begin"/>
          </w:r>
          <w:r>
            <w:rPr>
              <w:noProof/>
            </w:rPr>
            <w:instrText xml:space="preserve"> PAGEREF _8v7neazq2z6 \h </w:instrText>
          </w:r>
          <w:r>
            <w:rPr>
              <w:noProof/>
            </w:rPr>
          </w:r>
          <w:r>
            <w:rPr>
              <w:noProof/>
            </w:rPr>
            <w:fldChar w:fldCharType="separate"/>
          </w:r>
          <w:r>
            <w:rPr>
              <w:rFonts w:ascii="Times New Roman" w:eastAsia="Times New Roman" w:hAnsi="Times New Roman" w:cs="Times New Roman"/>
              <w:noProof/>
              <w:color w:val="000000"/>
              <w:sz w:val="24"/>
              <w:szCs w:val="24"/>
            </w:rPr>
            <w:t>How Internal Strengths Contribute to Competitive Advantage</w:t>
          </w:r>
          <w:r>
            <w:rPr>
              <w:rFonts w:ascii="Times New Roman" w:eastAsia="Times New Roman" w:hAnsi="Times New Roman" w:cs="Times New Roman"/>
              <w:noProof/>
              <w:color w:val="000000"/>
              <w:sz w:val="24"/>
              <w:szCs w:val="24"/>
            </w:rPr>
            <w:tab/>
            <w:t>7</w:t>
          </w:r>
          <w:r>
            <w:rPr>
              <w:noProof/>
            </w:rPr>
            <w:fldChar w:fldCharType="end"/>
          </w:r>
        </w:p>
        <w:p w14:paraId="2AAD2365" w14:textId="77777777" w:rsidR="00C93CCA" w:rsidRDefault="00C93CCA" w:rsidP="00C93CCA">
          <w:pPr>
            <w:pBdr>
              <w:top w:val="nil"/>
              <w:left w:val="nil"/>
              <w:bottom w:val="nil"/>
              <w:right w:val="nil"/>
              <w:between w:val="nil"/>
            </w:pBdr>
            <w:tabs>
              <w:tab w:val="left" w:pos="480"/>
              <w:tab w:val="right" w:leader="dot" w:pos="9016"/>
            </w:tabs>
            <w:spacing w:after="100"/>
            <w:rPr>
              <w:rFonts w:ascii="Times New Roman" w:eastAsia="Times New Roman" w:hAnsi="Times New Roman" w:cs="Times New Roman"/>
              <w:noProof/>
              <w:color w:val="000000"/>
              <w:sz w:val="28"/>
              <w:szCs w:val="28"/>
            </w:rPr>
          </w:pPr>
          <w:hyperlink w:anchor="_l39cv34vag4">
            <w:r>
              <w:rPr>
                <w:rFonts w:ascii="Times New Roman" w:eastAsia="Times New Roman" w:hAnsi="Times New Roman" w:cs="Times New Roman"/>
                <w:noProof/>
                <w:color w:val="000000"/>
                <w:sz w:val="24"/>
                <w:szCs w:val="24"/>
              </w:rPr>
              <w:t>3</w:t>
            </w:r>
          </w:hyperlink>
          <w:hyperlink w:anchor="_l39cv34vag4">
            <w:r>
              <w:rPr>
                <w:rFonts w:ascii="Times New Roman" w:eastAsia="Times New Roman" w:hAnsi="Times New Roman" w:cs="Times New Roman"/>
                <w:noProof/>
                <w:color w:val="000000"/>
                <w:sz w:val="28"/>
                <w:szCs w:val="28"/>
              </w:rPr>
              <w:tab/>
            </w:r>
          </w:hyperlink>
          <w:r>
            <w:rPr>
              <w:noProof/>
            </w:rPr>
            <w:fldChar w:fldCharType="begin"/>
          </w:r>
          <w:r>
            <w:rPr>
              <w:noProof/>
            </w:rPr>
            <w:instrText xml:space="preserve"> PAGEREF _l39cv34vag4 \h </w:instrText>
          </w:r>
          <w:r>
            <w:rPr>
              <w:noProof/>
            </w:rPr>
          </w:r>
          <w:r>
            <w:rPr>
              <w:noProof/>
            </w:rPr>
            <w:fldChar w:fldCharType="separate"/>
          </w:r>
          <w:r>
            <w:rPr>
              <w:rFonts w:ascii="Times New Roman" w:eastAsia="Times New Roman" w:hAnsi="Times New Roman" w:cs="Times New Roman"/>
              <w:noProof/>
              <w:color w:val="000000"/>
              <w:sz w:val="24"/>
              <w:szCs w:val="24"/>
            </w:rPr>
            <w:t>CSR and Sustainability Objectives</w:t>
          </w:r>
          <w:r>
            <w:rPr>
              <w:rFonts w:ascii="Times New Roman" w:eastAsia="Times New Roman" w:hAnsi="Times New Roman" w:cs="Times New Roman"/>
              <w:noProof/>
              <w:color w:val="000000"/>
              <w:sz w:val="24"/>
              <w:szCs w:val="24"/>
            </w:rPr>
            <w:tab/>
            <w:t>7</w:t>
          </w:r>
          <w:r>
            <w:rPr>
              <w:noProof/>
            </w:rPr>
            <w:fldChar w:fldCharType="end"/>
          </w:r>
        </w:p>
        <w:p w14:paraId="4F3398DB" w14:textId="77777777" w:rsidR="00C93CCA" w:rsidRDefault="00C93CCA" w:rsidP="00C93CCA">
          <w:pPr>
            <w:pBdr>
              <w:top w:val="nil"/>
              <w:left w:val="nil"/>
              <w:bottom w:val="nil"/>
              <w:right w:val="nil"/>
              <w:between w:val="nil"/>
            </w:pBdr>
            <w:tabs>
              <w:tab w:val="left" w:pos="480"/>
              <w:tab w:val="right" w:leader="dot" w:pos="9016"/>
            </w:tabs>
            <w:spacing w:after="100"/>
            <w:rPr>
              <w:rFonts w:ascii="Times New Roman" w:eastAsia="Times New Roman" w:hAnsi="Times New Roman" w:cs="Times New Roman"/>
              <w:noProof/>
              <w:color w:val="000000"/>
              <w:sz w:val="28"/>
              <w:szCs w:val="28"/>
            </w:rPr>
          </w:pPr>
          <w:hyperlink w:anchor="_t87rpv3mbhi3">
            <w:r>
              <w:rPr>
                <w:rFonts w:ascii="Times New Roman" w:eastAsia="Times New Roman" w:hAnsi="Times New Roman" w:cs="Times New Roman"/>
                <w:noProof/>
                <w:color w:val="000000"/>
                <w:sz w:val="24"/>
                <w:szCs w:val="24"/>
              </w:rPr>
              <w:t>4</w:t>
            </w:r>
          </w:hyperlink>
          <w:hyperlink w:anchor="_t87rpv3mbhi3">
            <w:r>
              <w:rPr>
                <w:rFonts w:ascii="Times New Roman" w:eastAsia="Times New Roman" w:hAnsi="Times New Roman" w:cs="Times New Roman"/>
                <w:noProof/>
                <w:color w:val="000000"/>
                <w:sz w:val="28"/>
                <w:szCs w:val="28"/>
              </w:rPr>
              <w:tab/>
            </w:r>
          </w:hyperlink>
          <w:r>
            <w:rPr>
              <w:noProof/>
            </w:rPr>
            <w:fldChar w:fldCharType="begin"/>
          </w:r>
          <w:r>
            <w:rPr>
              <w:noProof/>
            </w:rPr>
            <w:instrText xml:space="preserve"> PAGEREF _t87rpv3mbhi3 \h </w:instrText>
          </w:r>
          <w:r>
            <w:rPr>
              <w:noProof/>
            </w:rPr>
          </w:r>
          <w:r>
            <w:rPr>
              <w:noProof/>
            </w:rPr>
            <w:fldChar w:fldCharType="separate"/>
          </w:r>
          <w:r>
            <w:rPr>
              <w:rFonts w:ascii="Times New Roman" w:eastAsia="Times New Roman" w:hAnsi="Times New Roman" w:cs="Times New Roman"/>
              <w:noProof/>
              <w:color w:val="000000"/>
              <w:sz w:val="24"/>
              <w:szCs w:val="24"/>
            </w:rPr>
            <w:t>Comprehensive and Holistic View: Balanced Scorecard</w:t>
          </w:r>
          <w:r>
            <w:rPr>
              <w:rFonts w:ascii="Times New Roman" w:eastAsia="Times New Roman" w:hAnsi="Times New Roman" w:cs="Times New Roman"/>
              <w:noProof/>
              <w:color w:val="000000"/>
              <w:sz w:val="24"/>
              <w:szCs w:val="24"/>
            </w:rPr>
            <w:tab/>
            <w:t>8</w:t>
          </w:r>
          <w:r>
            <w:rPr>
              <w:noProof/>
            </w:rPr>
            <w:fldChar w:fldCharType="end"/>
          </w:r>
        </w:p>
        <w:p w14:paraId="097BE81F" w14:textId="77777777" w:rsidR="00C93CCA" w:rsidRDefault="00C93CCA" w:rsidP="00C93CCA">
          <w:pPr>
            <w:pBdr>
              <w:top w:val="nil"/>
              <w:left w:val="nil"/>
              <w:bottom w:val="nil"/>
              <w:right w:val="nil"/>
              <w:between w:val="nil"/>
            </w:pBdr>
            <w:tabs>
              <w:tab w:val="left" w:pos="480"/>
              <w:tab w:val="right" w:leader="dot" w:pos="9016"/>
            </w:tabs>
            <w:spacing w:after="100"/>
            <w:rPr>
              <w:rFonts w:ascii="Times New Roman" w:eastAsia="Times New Roman" w:hAnsi="Times New Roman" w:cs="Times New Roman"/>
              <w:noProof/>
              <w:color w:val="000000"/>
              <w:sz w:val="28"/>
              <w:szCs w:val="28"/>
            </w:rPr>
          </w:pPr>
          <w:hyperlink w:anchor="_owytpvcoz9it">
            <w:r>
              <w:rPr>
                <w:rFonts w:ascii="Times New Roman" w:eastAsia="Times New Roman" w:hAnsi="Times New Roman" w:cs="Times New Roman"/>
                <w:noProof/>
                <w:color w:val="000000"/>
                <w:sz w:val="24"/>
                <w:szCs w:val="24"/>
              </w:rPr>
              <w:t>5</w:t>
            </w:r>
          </w:hyperlink>
          <w:hyperlink w:anchor="_owytpvcoz9it">
            <w:r>
              <w:rPr>
                <w:rFonts w:ascii="Times New Roman" w:eastAsia="Times New Roman" w:hAnsi="Times New Roman" w:cs="Times New Roman"/>
                <w:noProof/>
                <w:color w:val="000000"/>
                <w:sz w:val="28"/>
                <w:szCs w:val="28"/>
              </w:rPr>
              <w:tab/>
            </w:r>
          </w:hyperlink>
          <w:r>
            <w:rPr>
              <w:noProof/>
            </w:rPr>
            <w:fldChar w:fldCharType="begin"/>
          </w:r>
          <w:r>
            <w:rPr>
              <w:noProof/>
            </w:rPr>
            <w:instrText xml:space="preserve"> PAGEREF _owytpvcoz9it \h </w:instrText>
          </w:r>
          <w:r>
            <w:rPr>
              <w:noProof/>
            </w:rPr>
          </w:r>
          <w:r>
            <w:rPr>
              <w:noProof/>
            </w:rPr>
            <w:fldChar w:fldCharType="separate"/>
          </w:r>
          <w:r>
            <w:rPr>
              <w:rFonts w:ascii="Times New Roman" w:eastAsia="Times New Roman" w:hAnsi="Times New Roman" w:cs="Times New Roman"/>
              <w:noProof/>
              <w:color w:val="000000"/>
              <w:sz w:val="24"/>
              <w:szCs w:val="24"/>
            </w:rPr>
            <w:t>Strategic Choices and Implementation</w:t>
          </w:r>
          <w:r>
            <w:rPr>
              <w:rFonts w:ascii="Times New Roman" w:eastAsia="Times New Roman" w:hAnsi="Times New Roman" w:cs="Times New Roman"/>
              <w:noProof/>
              <w:color w:val="000000"/>
              <w:sz w:val="24"/>
              <w:szCs w:val="24"/>
            </w:rPr>
            <w:tab/>
            <w:t>10</w:t>
          </w:r>
          <w:r>
            <w:rPr>
              <w:noProof/>
            </w:rPr>
            <w:fldChar w:fldCharType="end"/>
          </w:r>
        </w:p>
        <w:p w14:paraId="7184A994" w14:textId="77777777" w:rsidR="00C93CCA" w:rsidRDefault="00C93CCA" w:rsidP="00C93CCA">
          <w:pPr>
            <w:pBdr>
              <w:top w:val="nil"/>
              <w:left w:val="nil"/>
              <w:bottom w:val="nil"/>
              <w:right w:val="nil"/>
              <w:between w:val="nil"/>
            </w:pBdr>
            <w:tabs>
              <w:tab w:val="left" w:pos="960"/>
              <w:tab w:val="right" w:leader="dot" w:pos="9016"/>
            </w:tabs>
            <w:spacing w:after="100"/>
            <w:ind w:left="240"/>
            <w:rPr>
              <w:rFonts w:ascii="Times New Roman" w:eastAsia="Times New Roman" w:hAnsi="Times New Roman" w:cs="Times New Roman"/>
              <w:noProof/>
              <w:color w:val="000000"/>
              <w:sz w:val="28"/>
              <w:szCs w:val="28"/>
            </w:rPr>
          </w:pPr>
          <w:hyperlink w:anchor="_z9a8mtbvw8l5">
            <w:r>
              <w:rPr>
                <w:rFonts w:ascii="Times New Roman" w:eastAsia="Times New Roman" w:hAnsi="Times New Roman" w:cs="Times New Roman"/>
                <w:noProof/>
                <w:color w:val="000000"/>
                <w:sz w:val="24"/>
                <w:szCs w:val="24"/>
              </w:rPr>
              <w:t>5.1</w:t>
            </w:r>
          </w:hyperlink>
          <w:hyperlink w:anchor="_z9a8mtbvw8l5">
            <w:r>
              <w:rPr>
                <w:rFonts w:ascii="Times New Roman" w:eastAsia="Times New Roman" w:hAnsi="Times New Roman" w:cs="Times New Roman"/>
                <w:noProof/>
                <w:color w:val="000000"/>
                <w:sz w:val="28"/>
                <w:szCs w:val="28"/>
              </w:rPr>
              <w:tab/>
            </w:r>
          </w:hyperlink>
          <w:r>
            <w:rPr>
              <w:noProof/>
            </w:rPr>
            <w:fldChar w:fldCharType="begin"/>
          </w:r>
          <w:r>
            <w:rPr>
              <w:noProof/>
            </w:rPr>
            <w:instrText xml:space="preserve"> PAGEREF _z9a8mtbvw8l5 \h </w:instrText>
          </w:r>
          <w:r>
            <w:rPr>
              <w:noProof/>
            </w:rPr>
          </w:r>
          <w:r>
            <w:rPr>
              <w:noProof/>
            </w:rPr>
            <w:fldChar w:fldCharType="separate"/>
          </w:r>
          <w:r>
            <w:rPr>
              <w:rFonts w:ascii="Times New Roman" w:eastAsia="Times New Roman" w:hAnsi="Times New Roman" w:cs="Times New Roman"/>
              <w:noProof/>
              <w:color w:val="000000"/>
              <w:sz w:val="24"/>
              <w:szCs w:val="24"/>
            </w:rPr>
            <w:t>Business-Level and Corporate-Level Strategic Options</w:t>
          </w:r>
          <w:r>
            <w:rPr>
              <w:rFonts w:ascii="Times New Roman" w:eastAsia="Times New Roman" w:hAnsi="Times New Roman" w:cs="Times New Roman"/>
              <w:noProof/>
              <w:color w:val="000000"/>
              <w:sz w:val="24"/>
              <w:szCs w:val="24"/>
            </w:rPr>
            <w:tab/>
            <w:t>10</w:t>
          </w:r>
          <w:r>
            <w:rPr>
              <w:noProof/>
            </w:rPr>
            <w:fldChar w:fldCharType="end"/>
          </w:r>
        </w:p>
        <w:p w14:paraId="096A7513" w14:textId="77777777" w:rsidR="00C93CCA" w:rsidRDefault="00C93CCA" w:rsidP="00C93CCA">
          <w:pPr>
            <w:pBdr>
              <w:top w:val="nil"/>
              <w:left w:val="nil"/>
              <w:bottom w:val="nil"/>
              <w:right w:val="nil"/>
              <w:between w:val="nil"/>
            </w:pBdr>
            <w:tabs>
              <w:tab w:val="left" w:pos="960"/>
              <w:tab w:val="right" w:leader="dot" w:pos="9016"/>
            </w:tabs>
            <w:spacing w:after="100"/>
            <w:ind w:left="240"/>
            <w:rPr>
              <w:rFonts w:ascii="Times New Roman" w:eastAsia="Times New Roman" w:hAnsi="Times New Roman" w:cs="Times New Roman"/>
              <w:noProof/>
              <w:color w:val="000000"/>
              <w:sz w:val="28"/>
              <w:szCs w:val="28"/>
            </w:rPr>
          </w:pPr>
          <w:hyperlink w:anchor="_too9rn45fski">
            <w:r>
              <w:rPr>
                <w:rFonts w:ascii="Times New Roman" w:eastAsia="Times New Roman" w:hAnsi="Times New Roman" w:cs="Times New Roman"/>
                <w:noProof/>
                <w:color w:val="000000"/>
                <w:sz w:val="24"/>
                <w:szCs w:val="24"/>
              </w:rPr>
              <w:t>5.2</w:t>
            </w:r>
          </w:hyperlink>
          <w:hyperlink w:anchor="_too9rn45fski">
            <w:r>
              <w:rPr>
                <w:rFonts w:ascii="Times New Roman" w:eastAsia="Times New Roman" w:hAnsi="Times New Roman" w:cs="Times New Roman"/>
                <w:noProof/>
                <w:color w:val="000000"/>
                <w:sz w:val="28"/>
                <w:szCs w:val="28"/>
              </w:rPr>
              <w:tab/>
            </w:r>
          </w:hyperlink>
          <w:r>
            <w:rPr>
              <w:noProof/>
            </w:rPr>
            <w:fldChar w:fldCharType="begin"/>
          </w:r>
          <w:r>
            <w:rPr>
              <w:noProof/>
            </w:rPr>
            <w:instrText xml:space="preserve"> PAGEREF _too9rn45fski \h </w:instrText>
          </w:r>
          <w:r>
            <w:rPr>
              <w:noProof/>
            </w:rPr>
          </w:r>
          <w:r>
            <w:rPr>
              <w:noProof/>
            </w:rPr>
            <w:fldChar w:fldCharType="separate"/>
          </w:r>
          <w:r>
            <w:rPr>
              <w:rFonts w:ascii="Times New Roman" w:eastAsia="Times New Roman" w:hAnsi="Times New Roman" w:cs="Times New Roman"/>
              <w:noProof/>
              <w:color w:val="000000"/>
              <w:sz w:val="24"/>
              <w:szCs w:val="24"/>
            </w:rPr>
            <w:t>Change Management and Strategic Implementation</w:t>
          </w:r>
          <w:r>
            <w:rPr>
              <w:rFonts w:ascii="Times New Roman" w:eastAsia="Times New Roman" w:hAnsi="Times New Roman" w:cs="Times New Roman"/>
              <w:noProof/>
              <w:color w:val="000000"/>
              <w:sz w:val="24"/>
              <w:szCs w:val="24"/>
            </w:rPr>
            <w:tab/>
            <w:t>11</w:t>
          </w:r>
          <w:r>
            <w:rPr>
              <w:noProof/>
            </w:rPr>
            <w:fldChar w:fldCharType="end"/>
          </w:r>
        </w:p>
        <w:p w14:paraId="541A195E" w14:textId="77777777" w:rsidR="00C93CCA" w:rsidRDefault="00C93CCA" w:rsidP="00C93CCA">
          <w:pPr>
            <w:pBdr>
              <w:top w:val="nil"/>
              <w:left w:val="nil"/>
              <w:bottom w:val="nil"/>
              <w:right w:val="nil"/>
              <w:between w:val="nil"/>
            </w:pBdr>
            <w:tabs>
              <w:tab w:val="left" w:pos="480"/>
              <w:tab w:val="right" w:leader="dot" w:pos="9016"/>
            </w:tabs>
            <w:spacing w:after="100"/>
            <w:rPr>
              <w:rFonts w:ascii="Times New Roman" w:eastAsia="Times New Roman" w:hAnsi="Times New Roman" w:cs="Times New Roman"/>
              <w:noProof/>
              <w:color w:val="000000"/>
              <w:sz w:val="28"/>
              <w:szCs w:val="28"/>
            </w:rPr>
          </w:pPr>
          <w:hyperlink w:anchor="_if9jfo9mf01x">
            <w:r>
              <w:rPr>
                <w:rFonts w:ascii="Times New Roman" w:eastAsia="Times New Roman" w:hAnsi="Times New Roman" w:cs="Times New Roman"/>
                <w:noProof/>
                <w:color w:val="000000"/>
                <w:sz w:val="24"/>
                <w:szCs w:val="24"/>
              </w:rPr>
              <w:t>6</w:t>
            </w:r>
          </w:hyperlink>
          <w:hyperlink w:anchor="_if9jfo9mf01x">
            <w:r>
              <w:rPr>
                <w:rFonts w:ascii="Times New Roman" w:eastAsia="Times New Roman" w:hAnsi="Times New Roman" w:cs="Times New Roman"/>
                <w:noProof/>
                <w:color w:val="000000"/>
                <w:sz w:val="28"/>
                <w:szCs w:val="28"/>
              </w:rPr>
              <w:tab/>
            </w:r>
          </w:hyperlink>
          <w:r>
            <w:rPr>
              <w:noProof/>
            </w:rPr>
            <w:fldChar w:fldCharType="begin"/>
          </w:r>
          <w:r>
            <w:rPr>
              <w:noProof/>
            </w:rPr>
            <w:instrText xml:space="preserve"> PAGEREF _if9jfo9mf01x \h </w:instrText>
          </w:r>
          <w:r>
            <w:rPr>
              <w:noProof/>
            </w:rPr>
          </w:r>
          <w:r>
            <w:rPr>
              <w:noProof/>
            </w:rPr>
            <w:fldChar w:fldCharType="separate"/>
          </w:r>
          <w:r>
            <w:rPr>
              <w:rFonts w:ascii="Times New Roman" w:eastAsia="Times New Roman" w:hAnsi="Times New Roman" w:cs="Times New Roman"/>
              <w:noProof/>
              <w:color w:val="000000"/>
              <w:sz w:val="24"/>
              <w:szCs w:val="24"/>
            </w:rPr>
            <w:t>Strategic Evaluation and Recommendations</w:t>
          </w:r>
          <w:r>
            <w:rPr>
              <w:rFonts w:ascii="Times New Roman" w:eastAsia="Times New Roman" w:hAnsi="Times New Roman" w:cs="Times New Roman"/>
              <w:noProof/>
              <w:color w:val="000000"/>
              <w:sz w:val="24"/>
              <w:szCs w:val="24"/>
            </w:rPr>
            <w:tab/>
            <w:t>11</w:t>
          </w:r>
          <w:r>
            <w:rPr>
              <w:noProof/>
            </w:rPr>
            <w:fldChar w:fldCharType="end"/>
          </w:r>
        </w:p>
        <w:p w14:paraId="084BFF39" w14:textId="77777777" w:rsidR="00C93CCA" w:rsidRDefault="00C93CCA" w:rsidP="00C93CCA">
          <w:pPr>
            <w:pBdr>
              <w:top w:val="nil"/>
              <w:left w:val="nil"/>
              <w:bottom w:val="nil"/>
              <w:right w:val="nil"/>
              <w:between w:val="nil"/>
            </w:pBdr>
            <w:tabs>
              <w:tab w:val="left" w:pos="960"/>
              <w:tab w:val="right" w:leader="dot" w:pos="9016"/>
            </w:tabs>
            <w:spacing w:after="100"/>
            <w:ind w:left="240"/>
            <w:rPr>
              <w:rFonts w:ascii="Times New Roman" w:eastAsia="Times New Roman" w:hAnsi="Times New Roman" w:cs="Times New Roman"/>
              <w:noProof/>
              <w:color w:val="000000"/>
              <w:sz w:val="28"/>
              <w:szCs w:val="28"/>
            </w:rPr>
          </w:pPr>
          <w:hyperlink w:anchor="_vijfbvbobpmo">
            <w:r>
              <w:rPr>
                <w:rFonts w:ascii="Times New Roman" w:eastAsia="Times New Roman" w:hAnsi="Times New Roman" w:cs="Times New Roman"/>
                <w:noProof/>
                <w:color w:val="000000"/>
                <w:sz w:val="24"/>
                <w:szCs w:val="24"/>
              </w:rPr>
              <w:t>6.1</w:t>
            </w:r>
          </w:hyperlink>
          <w:hyperlink w:anchor="_vijfbvbobpmo">
            <w:r>
              <w:rPr>
                <w:rFonts w:ascii="Times New Roman" w:eastAsia="Times New Roman" w:hAnsi="Times New Roman" w:cs="Times New Roman"/>
                <w:noProof/>
                <w:color w:val="000000"/>
                <w:sz w:val="28"/>
                <w:szCs w:val="28"/>
              </w:rPr>
              <w:tab/>
            </w:r>
          </w:hyperlink>
          <w:r>
            <w:rPr>
              <w:noProof/>
            </w:rPr>
            <w:fldChar w:fldCharType="begin"/>
          </w:r>
          <w:r>
            <w:rPr>
              <w:noProof/>
            </w:rPr>
            <w:instrText xml:space="preserve"> PAGEREF _vijfbvbobpmo \h </w:instrText>
          </w:r>
          <w:r>
            <w:rPr>
              <w:noProof/>
            </w:rPr>
          </w:r>
          <w:r>
            <w:rPr>
              <w:noProof/>
            </w:rPr>
            <w:fldChar w:fldCharType="separate"/>
          </w:r>
          <w:r>
            <w:rPr>
              <w:rFonts w:ascii="Times New Roman" w:eastAsia="Times New Roman" w:hAnsi="Times New Roman" w:cs="Times New Roman"/>
              <w:noProof/>
              <w:color w:val="000000"/>
              <w:sz w:val="24"/>
              <w:szCs w:val="24"/>
            </w:rPr>
            <w:t>SWOT Analysis</w:t>
          </w:r>
          <w:r>
            <w:rPr>
              <w:rFonts w:ascii="Times New Roman" w:eastAsia="Times New Roman" w:hAnsi="Times New Roman" w:cs="Times New Roman"/>
              <w:noProof/>
              <w:color w:val="000000"/>
              <w:sz w:val="24"/>
              <w:szCs w:val="24"/>
            </w:rPr>
            <w:tab/>
            <w:t>11</w:t>
          </w:r>
          <w:r>
            <w:rPr>
              <w:noProof/>
            </w:rPr>
            <w:fldChar w:fldCharType="end"/>
          </w:r>
        </w:p>
        <w:p w14:paraId="668AD98A" w14:textId="77777777" w:rsidR="00C93CCA" w:rsidRDefault="00C93CCA" w:rsidP="00C93CCA">
          <w:pPr>
            <w:pBdr>
              <w:top w:val="nil"/>
              <w:left w:val="nil"/>
              <w:bottom w:val="nil"/>
              <w:right w:val="nil"/>
              <w:between w:val="nil"/>
            </w:pBdr>
            <w:tabs>
              <w:tab w:val="left" w:pos="960"/>
              <w:tab w:val="right" w:leader="dot" w:pos="9016"/>
            </w:tabs>
            <w:spacing w:after="100"/>
            <w:ind w:left="240"/>
            <w:rPr>
              <w:rFonts w:ascii="Times New Roman" w:eastAsia="Times New Roman" w:hAnsi="Times New Roman" w:cs="Times New Roman"/>
              <w:noProof/>
              <w:color w:val="000000"/>
              <w:sz w:val="28"/>
              <w:szCs w:val="28"/>
            </w:rPr>
          </w:pPr>
          <w:hyperlink w:anchor="_cfyop3g65bz2">
            <w:r>
              <w:rPr>
                <w:rFonts w:ascii="Times New Roman" w:eastAsia="Times New Roman" w:hAnsi="Times New Roman" w:cs="Times New Roman"/>
                <w:noProof/>
                <w:color w:val="000000"/>
                <w:sz w:val="24"/>
                <w:szCs w:val="24"/>
              </w:rPr>
              <w:t>6.2</w:t>
            </w:r>
          </w:hyperlink>
          <w:hyperlink w:anchor="_cfyop3g65bz2">
            <w:r>
              <w:rPr>
                <w:rFonts w:ascii="Times New Roman" w:eastAsia="Times New Roman" w:hAnsi="Times New Roman" w:cs="Times New Roman"/>
                <w:noProof/>
                <w:color w:val="000000"/>
                <w:sz w:val="28"/>
                <w:szCs w:val="28"/>
              </w:rPr>
              <w:tab/>
            </w:r>
          </w:hyperlink>
          <w:r>
            <w:rPr>
              <w:noProof/>
            </w:rPr>
            <w:fldChar w:fldCharType="begin"/>
          </w:r>
          <w:r>
            <w:rPr>
              <w:noProof/>
            </w:rPr>
            <w:instrText xml:space="preserve"> PAGEREF _cfyop3g65bz2 \h </w:instrText>
          </w:r>
          <w:r>
            <w:rPr>
              <w:noProof/>
            </w:rPr>
          </w:r>
          <w:r>
            <w:rPr>
              <w:noProof/>
            </w:rPr>
            <w:fldChar w:fldCharType="separate"/>
          </w:r>
          <w:r>
            <w:rPr>
              <w:rFonts w:ascii="Times New Roman" w:eastAsia="Times New Roman" w:hAnsi="Times New Roman" w:cs="Times New Roman"/>
              <w:noProof/>
              <w:color w:val="000000"/>
              <w:sz w:val="24"/>
              <w:szCs w:val="24"/>
            </w:rPr>
            <w:t>Ansoff Matrix Analysis</w:t>
          </w:r>
          <w:r>
            <w:rPr>
              <w:rFonts w:ascii="Times New Roman" w:eastAsia="Times New Roman" w:hAnsi="Times New Roman" w:cs="Times New Roman"/>
              <w:noProof/>
              <w:color w:val="000000"/>
              <w:sz w:val="24"/>
              <w:szCs w:val="24"/>
            </w:rPr>
            <w:tab/>
            <w:t>12</w:t>
          </w:r>
          <w:r>
            <w:rPr>
              <w:noProof/>
            </w:rPr>
            <w:fldChar w:fldCharType="end"/>
          </w:r>
        </w:p>
        <w:p w14:paraId="77C866EF" w14:textId="77777777" w:rsidR="00C93CCA" w:rsidRDefault="00C93CCA" w:rsidP="00C93CCA">
          <w:pPr>
            <w:pBdr>
              <w:top w:val="nil"/>
              <w:left w:val="nil"/>
              <w:bottom w:val="nil"/>
              <w:right w:val="nil"/>
              <w:between w:val="nil"/>
            </w:pBdr>
            <w:tabs>
              <w:tab w:val="left" w:pos="960"/>
              <w:tab w:val="right" w:leader="dot" w:pos="9016"/>
            </w:tabs>
            <w:spacing w:after="100"/>
            <w:ind w:left="240"/>
            <w:rPr>
              <w:rFonts w:ascii="Times New Roman" w:eastAsia="Times New Roman" w:hAnsi="Times New Roman" w:cs="Times New Roman"/>
              <w:noProof/>
              <w:color w:val="000000"/>
              <w:sz w:val="28"/>
              <w:szCs w:val="28"/>
            </w:rPr>
          </w:pPr>
          <w:hyperlink w:anchor="_o7if5s6m97d">
            <w:r>
              <w:rPr>
                <w:rFonts w:ascii="Times New Roman" w:eastAsia="Times New Roman" w:hAnsi="Times New Roman" w:cs="Times New Roman"/>
                <w:noProof/>
                <w:color w:val="000000"/>
                <w:sz w:val="24"/>
                <w:szCs w:val="24"/>
              </w:rPr>
              <w:t>6.3</w:t>
            </w:r>
          </w:hyperlink>
          <w:hyperlink w:anchor="_o7if5s6m97d">
            <w:r>
              <w:rPr>
                <w:rFonts w:ascii="Times New Roman" w:eastAsia="Times New Roman" w:hAnsi="Times New Roman" w:cs="Times New Roman"/>
                <w:noProof/>
                <w:color w:val="000000"/>
                <w:sz w:val="28"/>
                <w:szCs w:val="28"/>
              </w:rPr>
              <w:tab/>
            </w:r>
          </w:hyperlink>
          <w:r>
            <w:rPr>
              <w:noProof/>
            </w:rPr>
            <w:fldChar w:fldCharType="begin"/>
          </w:r>
          <w:r>
            <w:rPr>
              <w:noProof/>
            </w:rPr>
            <w:instrText xml:space="preserve"> PAGEREF _o7if5s6m97d \h </w:instrText>
          </w:r>
          <w:r>
            <w:rPr>
              <w:noProof/>
            </w:rPr>
          </w:r>
          <w:r>
            <w:rPr>
              <w:noProof/>
            </w:rPr>
            <w:fldChar w:fldCharType="separate"/>
          </w:r>
          <w:r>
            <w:rPr>
              <w:rFonts w:ascii="Times New Roman" w:eastAsia="Times New Roman" w:hAnsi="Times New Roman" w:cs="Times New Roman"/>
              <w:noProof/>
              <w:color w:val="000000"/>
              <w:sz w:val="24"/>
              <w:szCs w:val="24"/>
            </w:rPr>
            <w:t>BCG Matrix Analysis</w:t>
          </w:r>
          <w:r>
            <w:rPr>
              <w:rFonts w:ascii="Times New Roman" w:eastAsia="Times New Roman" w:hAnsi="Times New Roman" w:cs="Times New Roman"/>
              <w:noProof/>
              <w:color w:val="000000"/>
              <w:sz w:val="24"/>
              <w:szCs w:val="24"/>
            </w:rPr>
            <w:tab/>
            <w:t>13</w:t>
          </w:r>
          <w:r>
            <w:rPr>
              <w:noProof/>
            </w:rPr>
            <w:fldChar w:fldCharType="end"/>
          </w:r>
        </w:p>
        <w:p w14:paraId="5E21DCED" w14:textId="77777777" w:rsidR="00C93CCA" w:rsidRDefault="00C93CCA" w:rsidP="00C93CCA">
          <w:pPr>
            <w:pBdr>
              <w:top w:val="nil"/>
              <w:left w:val="nil"/>
              <w:bottom w:val="nil"/>
              <w:right w:val="nil"/>
              <w:between w:val="nil"/>
            </w:pBdr>
            <w:tabs>
              <w:tab w:val="left" w:pos="960"/>
              <w:tab w:val="right" w:leader="dot" w:pos="9016"/>
            </w:tabs>
            <w:spacing w:after="100"/>
            <w:ind w:left="240"/>
            <w:rPr>
              <w:rFonts w:ascii="Times New Roman" w:eastAsia="Times New Roman" w:hAnsi="Times New Roman" w:cs="Times New Roman"/>
              <w:noProof/>
              <w:color w:val="000000"/>
              <w:sz w:val="28"/>
              <w:szCs w:val="28"/>
            </w:rPr>
          </w:pPr>
          <w:hyperlink w:anchor="_pcb1bewpvj1x">
            <w:r>
              <w:rPr>
                <w:rFonts w:ascii="Times New Roman" w:eastAsia="Times New Roman" w:hAnsi="Times New Roman" w:cs="Times New Roman"/>
                <w:noProof/>
                <w:color w:val="000000"/>
                <w:sz w:val="24"/>
                <w:szCs w:val="24"/>
              </w:rPr>
              <w:t>6.4</w:t>
            </w:r>
          </w:hyperlink>
          <w:hyperlink w:anchor="_pcb1bewpvj1x">
            <w:r>
              <w:rPr>
                <w:rFonts w:ascii="Times New Roman" w:eastAsia="Times New Roman" w:hAnsi="Times New Roman" w:cs="Times New Roman"/>
                <w:noProof/>
                <w:color w:val="000000"/>
                <w:sz w:val="28"/>
                <w:szCs w:val="28"/>
              </w:rPr>
              <w:tab/>
            </w:r>
          </w:hyperlink>
          <w:r>
            <w:rPr>
              <w:noProof/>
            </w:rPr>
            <w:fldChar w:fldCharType="begin"/>
          </w:r>
          <w:r>
            <w:rPr>
              <w:noProof/>
            </w:rPr>
            <w:instrText xml:space="preserve"> PAGEREF _pcb1bewpvj1x \h </w:instrText>
          </w:r>
          <w:r>
            <w:rPr>
              <w:noProof/>
            </w:rPr>
          </w:r>
          <w:r>
            <w:rPr>
              <w:noProof/>
            </w:rPr>
            <w:fldChar w:fldCharType="separate"/>
          </w:r>
          <w:r>
            <w:rPr>
              <w:rFonts w:ascii="Times New Roman" w:eastAsia="Times New Roman" w:hAnsi="Times New Roman" w:cs="Times New Roman"/>
              <w:noProof/>
              <w:color w:val="000000"/>
              <w:sz w:val="24"/>
              <w:szCs w:val="24"/>
            </w:rPr>
            <w:t>Strategic Recom</w:t>
          </w:r>
          <w:r>
            <w:rPr>
              <w:rFonts w:ascii="Times New Roman" w:eastAsia="Times New Roman" w:hAnsi="Times New Roman" w:cs="Times New Roman"/>
              <w:noProof/>
              <w:color w:val="000000"/>
              <w:sz w:val="24"/>
              <w:szCs w:val="24"/>
            </w:rPr>
            <w:t>m</w:t>
          </w:r>
          <w:r>
            <w:rPr>
              <w:rFonts w:ascii="Times New Roman" w:eastAsia="Times New Roman" w:hAnsi="Times New Roman" w:cs="Times New Roman"/>
              <w:noProof/>
              <w:color w:val="000000"/>
              <w:sz w:val="24"/>
              <w:szCs w:val="24"/>
            </w:rPr>
            <w:t>endations</w:t>
          </w:r>
          <w:r>
            <w:rPr>
              <w:rFonts w:ascii="Times New Roman" w:eastAsia="Times New Roman" w:hAnsi="Times New Roman" w:cs="Times New Roman"/>
              <w:noProof/>
              <w:color w:val="000000"/>
              <w:sz w:val="24"/>
              <w:szCs w:val="24"/>
            </w:rPr>
            <w:tab/>
            <w:t>13</w:t>
          </w:r>
          <w:r>
            <w:rPr>
              <w:noProof/>
            </w:rPr>
            <w:fldChar w:fldCharType="end"/>
          </w:r>
        </w:p>
        <w:p w14:paraId="542564E9" w14:textId="77777777" w:rsidR="00C93CCA" w:rsidRDefault="00C93CCA" w:rsidP="00C93CCA">
          <w:pPr>
            <w:pBdr>
              <w:top w:val="nil"/>
              <w:left w:val="nil"/>
              <w:bottom w:val="nil"/>
              <w:right w:val="nil"/>
              <w:between w:val="nil"/>
            </w:pBdr>
            <w:tabs>
              <w:tab w:val="left" w:pos="480"/>
              <w:tab w:val="right" w:leader="dot" w:pos="9016"/>
            </w:tabs>
            <w:spacing w:after="100"/>
            <w:rPr>
              <w:rFonts w:ascii="Times New Roman" w:eastAsia="Times New Roman" w:hAnsi="Times New Roman" w:cs="Times New Roman"/>
              <w:noProof/>
              <w:color w:val="000000"/>
              <w:sz w:val="28"/>
              <w:szCs w:val="28"/>
            </w:rPr>
          </w:pPr>
          <w:hyperlink w:anchor="_m1jedvh5fdt6">
            <w:r>
              <w:rPr>
                <w:rFonts w:ascii="Times New Roman" w:eastAsia="Times New Roman" w:hAnsi="Times New Roman" w:cs="Times New Roman"/>
                <w:noProof/>
                <w:color w:val="000000"/>
                <w:sz w:val="24"/>
                <w:szCs w:val="24"/>
              </w:rPr>
              <w:t>7</w:t>
            </w:r>
          </w:hyperlink>
          <w:hyperlink w:anchor="_m1jedvh5fdt6">
            <w:r>
              <w:rPr>
                <w:rFonts w:ascii="Times New Roman" w:eastAsia="Times New Roman" w:hAnsi="Times New Roman" w:cs="Times New Roman"/>
                <w:noProof/>
                <w:color w:val="000000"/>
                <w:sz w:val="28"/>
                <w:szCs w:val="28"/>
              </w:rPr>
              <w:tab/>
            </w:r>
          </w:hyperlink>
          <w:r>
            <w:rPr>
              <w:noProof/>
            </w:rPr>
            <w:fldChar w:fldCharType="begin"/>
          </w:r>
          <w:r>
            <w:rPr>
              <w:noProof/>
            </w:rPr>
            <w:instrText xml:space="preserve"> PAGEREF _m1jedvh5fdt6 \h </w:instrText>
          </w:r>
          <w:r>
            <w:rPr>
              <w:noProof/>
            </w:rPr>
          </w:r>
          <w:r>
            <w:rPr>
              <w:noProof/>
            </w:rPr>
            <w:fldChar w:fldCharType="separate"/>
          </w:r>
          <w:r>
            <w:rPr>
              <w:rFonts w:ascii="Times New Roman" w:eastAsia="Times New Roman" w:hAnsi="Times New Roman" w:cs="Times New Roman"/>
              <w:noProof/>
              <w:color w:val="000000"/>
              <w:sz w:val="24"/>
              <w:szCs w:val="24"/>
            </w:rPr>
            <w:t>SECTION 2: REFLECTIVE ACCOUNT</w:t>
          </w:r>
          <w:r>
            <w:rPr>
              <w:rFonts w:ascii="Times New Roman" w:eastAsia="Times New Roman" w:hAnsi="Times New Roman" w:cs="Times New Roman"/>
              <w:noProof/>
              <w:color w:val="000000"/>
              <w:sz w:val="24"/>
              <w:szCs w:val="24"/>
            </w:rPr>
            <w:tab/>
            <w:t>15</w:t>
          </w:r>
          <w:r>
            <w:rPr>
              <w:noProof/>
            </w:rPr>
            <w:fldChar w:fldCharType="end"/>
          </w:r>
        </w:p>
        <w:p w14:paraId="399D1F4E" w14:textId="77777777" w:rsidR="00C93CCA" w:rsidRDefault="00C93CCA" w:rsidP="00C93CCA">
          <w:pPr>
            <w:pBdr>
              <w:top w:val="nil"/>
              <w:left w:val="nil"/>
              <w:bottom w:val="nil"/>
              <w:right w:val="nil"/>
              <w:between w:val="nil"/>
            </w:pBdr>
            <w:tabs>
              <w:tab w:val="left" w:pos="960"/>
              <w:tab w:val="right" w:leader="dot" w:pos="9016"/>
            </w:tabs>
            <w:spacing w:after="100"/>
            <w:ind w:left="240"/>
            <w:rPr>
              <w:rFonts w:ascii="Times New Roman" w:eastAsia="Times New Roman" w:hAnsi="Times New Roman" w:cs="Times New Roman"/>
              <w:noProof/>
              <w:color w:val="000000"/>
              <w:sz w:val="28"/>
              <w:szCs w:val="28"/>
            </w:rPr>
          </w:pPr>
          <w:hyperlink w:anchor="_c6eoaz7abfl4">
            <w:r>
              <w:rPr>
                <w:rFonts w:ascii="Times New Roman" w:eastAsia="Times New Roman" w:hAnsi="Times New Roman" w:cs="Times New Roman"/>
                <w:noProof/>
                <w:color w:val="000000"/>
                <w:sz w:val="24"/>
                <w:szCs w:val="24"/>
              </w:rPr>
              <w:t>7.1</w:t>
            </w:r>
          </w:hyperlink>
          <w:hyperlink w:anchor="_c6eoaz7abfl4">
            <w:r>
              <w:rPr>
                <w:rFonts w:ascii="Times New Roman" w:eastAsia="Times New Roman" w:hAnsi="Times New Roman" w:cs="Times New Roman"/>
                <w:noProof/>
                <w:color w:val="000000"/>
                <w:sz w:val="28"/>
                <w:szCs w:val="28"/>
              </w:rPr>
              <w:tab/>
            </w:r>
          </w:hyperlink>
          <w:r>
            <w:rPr>
              <w:noProof/>
            </w:rPr>
            <w:fldChar w:fldCharType="begin"/>
          </w:r>
          <w:r>
            <w:rPr>
              <w:noProof/>
            </w:rPr>
            <w:instrText xml:space="preserve"> PAGEREF _c6eoaz7abfl4 \h </w:instrText>
          </w:r>
          <w:r>
            <w:rPr>
              <w:noProof/>
            </w:rPr>
          </w:r>
          <w:r>
            <w:rPr>
              <w:noProof/>
            </w:rPr>
            <w:fldChar w:fldCharType="separate"/>
          </w:r>
          <w:r>
            <w:rPr>
              <w:rFonts w:ascii="Times New Roman" w:eastAsia="Times New Roman" w:hAnsi="Times New Roman" w:cs="Times New Roman"/>
              <w:noProof/>
              <w:color w:val="000000"/>
              <w:sz w:val="24"/>
              <w:szCs w:val="24"/>
            </w:rPr>
            <w:t>Reflective Account Using Gibbs' Reflective Cycle</w:t>
          </w:r>
          <w:r>
            <w:rPr>
              <w:rFonts w:ascii="Times New Roman" w:eastAsia="Times New Roman" w:hAnsi="Times New Roman" w:cs="Times New Roman"/>
              <w:noProof/>
              <w:color w:val="000000"/>
              <w:sz w:val="24"/>
              <w:szCs w:val="24"/>
            </w:rPr>
            <w:tab/>
            <w:t>15</w:t>
          </w:r>
          <w:r>
            <w:rPr>
              <w:noProof/>
            </w:rPr>
            <w:fldChar w:fldCharType="end"/>
          </w:r>
        </w:p>
        <w:p w14:paraId="5BC6B2F3" w14:textId="77777777" w:rsidR="00C93CCA" w:rsidRDefault="00C93CCA" w:rsidP="00C93CCA">
          <w:pPr>
            <w:pBdr>
              <w:top w:val="nil"/>
              <w:left w:val="nil"/>
              <w:bottom w:val="nil"/>
              <w:right w:val="nil"/>
              <w:between w:val="nil"/>
            </w:pBdr>
            <w:tabs>
              <w:tab w:val="left" w:pos="960"/>
              <w:tab w:val="right" w:leader="dot" w:pos="9016"/>
            </w:tabs>
            <w:spacing w:after="100"/>
            <w:ind w:left="240"/>
            <w:rPr>
              <w:rFonts w:ascii="Times New Roman" w:eastAsia="Times New Roman" w:hAnsi="Times New Roman" w:cs="Times New Roman"/>
              <w:noProof/>
              <w:color w:val="000000"/>
              <w:sz w:val="28"/>
              <w:szCs w:val="28"/>
            </w:rPr>
          </w:pPr>
          <w:hyperlink w:anchor="_nard5wxg9xac">
            <w:r>
              <w:rPr>
                <w:rFonts w:ascii="Times New Roman" w:eastAsia="Times New Roman" w:hAnsi="Times New Roman" w:cs="Times New Roman"/>
                <w:noProof/>
                <w:color w:val="000000"/>
                <w:sz w:val="24"/>
                <w:szCs w:val="24"/>
              </w:rPr>
              <w:t>7.2</w:t>
            </w:r>
          </w:hyperlink>
          <w:hyperlink w:anchor="_nard5wxg9xac">
            <w:r>
              <w:rPr>
                <w:rFonts w:ascii="Times New Roman" w:eastAsia="Times New Roman" w:hAnsi="Times New Roman" w:cs="Times New Roman"/>
                <w:noProof/>
                <w:color w:val="000000"/>
                <w:sz w:val="28"/>
                <w:szCs w:val="28"/>
              </w:rPr>
              <w:tab/>
            </w:r>
          </w:hyperlink>
          <w:r>
            <w:rPr>
              <w:noProof/>
            </w:rPr>
            <w:fldChar w:fldCharType="begin"/>
          </w:r>
          <w:r>
            <w:rPr>
              <w:noProof/>
            </w:rPr>
            <w:instrText xml:space="preserve"> PAGEREF _nard5wxg9xac \h </w:instrText>
          </w:r>
          <w:r>
            <w:rPr>
              <w:noProof/>
            </w:rPr>
          </w:r>
          <w:r>
            <w:rPr>
              <w:noProof/>
            </w:rPr>
            <w:fldChar w:fldCharType="separate"/>
          </w:r>
          <w:r>
            <w:rPr>
              <w:rFonts w:ascii="Times New Roman" w:eastAsia="Times New Roman" w:hAnsi="Times New Roman" w:cs="Times New Roman"/>
              <w:noProof/>
              <w:color w:val="000000"/>
              <w:sz w:val="24"/>
              <w:szCs w:val="24"/>
            </w:rPr>
            <w:t>Description</w:t>
          </w:r>
          <w:r>
            <w:rPr>
              <w:rFonts w:ascii="Times New Roman" w:eastAsia="Times New Roman" w:hAnsi="Times New Roman" w:cs="Times New Roman"/>
              <w:noProof/>
              <w:color w:val="000000"/>
              <w:sz w:val="24"/>
              <w:szCs w:val="24"/>
            </w:rPr>
            <w:tab/>
            <w:t>15</w:t>
          </w:r>
          <w:r>
            <w:rPr>
              <w:noProof/>
            </w:rPr>
            <w:fldChar w:fldCharType="end"/>
          </w:r>
        </w:p>
        <w:p w14:paraId="70CBF648" w14:textId="77777777" w:rsidR="00C93CCA" w:rsidRDefault="00C93CCA" w:rsidP="00C93CCA">
          <w:pPr>
            <w:pBdr>
              <w:top w:val="nil"/>
              <w:left w:val="nil"/>
              <w:bottom w:val="nil"/>
              <w:right w:val="nil"/>
              <w:between w:val="nil"/>
            </w:pBdr>
            <w:tabs>
              <w:tab w:val="left" w:pos="960"/>
              <w:tab w:val="right" w:leader="dot" w:pos="9016"/>
            </w:tabs>
            <w:spacing w:after="100"/>
            <w:ind w:left="240"/>
            <w:rPr>
              <w:rFonts w:ascii="Times New Roman" w:eastAsia="Times New Roman" w:hAnsi="Times New Roman" w:cs="Times New Roman"/>
              <w:noProof/>
              <w:color w:val="000000"/>
              <w:sz w:val="28"/>
              <w:szCs w:val="28"/>
            </w:rPr>
          </w:pPr>
          <w:hyperlink w:anchor="_1rywpx4a3k1f">
            <w:r>
              <w:rPr>
                <w:rFonts w:ascii="Times New Roman" w:eastAsia="Times New Roman" w:hAnsi="Times New Roman" w:cs="Times New Roman"/>
                <w:noProof/>
                <w:color w:val="000000"/>
                <w:sz w:val="24"/>
                <w:szCs w:val="24"/>
              </w:rPr>
              <w:t>7.3</w:t>
            </w:r>
          </w:hyperlink>
          <w:hyperlink w:anchor="_1rywpx4a3k1f">
            <w:r>
              <w:rPr>
                <w:rFonts w:ascii="Times New Roman" w:eastAsia="Times New Roman" w:hAnsi="Times New Roman" w:cs="Times New Roman"/>
                <w:noProof/>
                <w:color w:val="000000"/>
                <w:sz w:val="28"/>
                <w:szCs w:val="28"/>
              </w:rPr>
              <w:tab/>
            </w:r>
          </w:hyperlink>
          <w:r>
            <w:rPr>
              <w:noProof/>
            </w:rPr>
            <w:fldChar w:fldCharType="begin"/>
          </w:r>
          <w:r>
            <w:rPr>
              <w:noProof/>
            </w:rPr>
            <w:instrText xml:space="preserve"> PAGEREF _1rywpx4a3k1f \h </w:instrText>
          </w:r>
          <w:r>
            <w:rPr>
              <w:noProof/>
            </w:rPr>
          </w:r>
          <w:r>
            <w:rPr>
              <w:noProof/>
            </w:rPr>
            <w:fldChar w:fldCharType="separate"/>
          </w:r>
          <w:r>
            <w:rPr>
              <w:rFonts w:ascii="Times New Roman" w:eastAsia="Times New Roman" w:hAnsi="Times New Roman" w:cs="Times New Roman"/>
              <w:noProof/>
              <w:color w:val="000000"/>
              <w:sz w:val="24"/>
              <w:szCs w:val="24"/>
            </w:rPr>
            <w:t>Feelings</w:t>
          </w:r>
          <w:r>
            <w:rPr>
              <w:rFonts w:ascii="Times New Roman" w:eastAsia="Times New Roman" w:hAnsi="Times New Roman" w:cs="Times New Roman"/>
              <w:noProof/>
              <w:color w:val="000000"/>
              <w:sz w:val="24"/>
              <w:szCs w:val="24"/>
            </w:rPr>
            <w:tab/>
            <w:t>15</w:t>
          </w:r>
          <w:r>
            <w:rPr>
              <w:noProof/>
            </w:rPr>
            <w:fldChar w:fldCharType="end"/>
          </w:r>
        </w:p>
        <w:p w14:paraId="5BB41879" w14:textId="77777777" w:rsidR="00C93CCA" w:rsidRDefault="00C93CCA" w:rsidP="00C93CCA">
          <w:pPr>
            <w:pBdr>
              <w:top w:val="nil"/>
              <w:left w:val="nil"/>
              <w:bottom w:val="nil"/>
              <w:right w:val="nil"/>
              <w:between w:val="nil"/>
            </w:pBdr>
            <w:tabs>
              <w:tab w:val="left" w:pos="960"/>
              <w:tab w:val="right" w:leader="dot" w:pos="9016"/>
            </w:tabs>
            <w:spacing w:after="100"/>
            <w:ind w:left="240"/>
            <w:rPr>
              <w:rFonts w:ascii="Times New Roman" w:eastAsia="Times New Roman" w:hAnsi="Times New Roman" w:cs="Times New Roman"/>
              <w:noProof/>
              <w:color w:val="000000"/>
              <w:sz w:val="28"/>
              <w:szCs w:val="28"/>
            </w:rPr>
          </w:pPr>
          <w:hyperlink w:anchor="_t2l6zioj6vdo">
            <w:r>
              <w:rPr>
                <w:rFonts w:ascii="Times New Roman" w:eastAsia="Times New Roman" w:hAnsi="Times New Roman" w:cs="Times New Roman"/>
                <w:noProof/>
                <w:color w:val="000000"/>
                <w:sz w:val="24"/>
                <w:szCs w:val="24"/>
              </w:rPr>
              <w:t>7.4</w:t>
            </w:r>
          </w:hyperlink>
          <w:hyperlink w:anchor="_t2l6zioj6vdo">
            <w:r>
              <w:rPr>
                <w:rFonts w:ascii="Times New Roman" w:eastAsia="Times New Roman" w:hAnsi="Times New Roman" w:cs="Times New Roman"/>
                <w:noProof/>
                <w:color w:val="000000"/>
                <w:sz w:val="28"/>
                <w:szCs w:val="28"/>
              </w:rPr>
              <w:tab/>
            </w:r>
          </w:hyperlink>
          <w:r>
            <w:rPr>
              <w:noProof/>
            </w:rPr>
            <w:fldChar w:fldCharType="begin"/>
          </w:r>
          <w:r>
            <w:rPr>
              <w:noProof/>
            </w:rPr>
            <w:instrText xml:space="preserve"> PAGEREF _t2l6zioj6vdo \h </w:instrText>
          </w:r>
          <w:r>
            <w:rPr>
              <w:noProof/>
            </w:rPr>
          </w:r>
          <w:r>
            <w:rPr>
              <w:noProof/>
            </w:rPr>
            <w:fldChar w:fldCharType="separate"/>
          </w:r>
          <w:r>
            <w:rPr>
              <w:rFonts w:ascii="Times New Roman" w:eastAsia="Times New Roman" w:hAnsi="Times New Roman" w:cs="Times New Roman"/>
              <w:noProof/>
              <w:color w:val="000000"/>
              <w:sz w:val="24"/>
              <w:szCs w:val="24"/>
            </w:rPr>
            <w:t>Evaluation</w:t>
          </w:r>
          <w:r>
            <w:rPr>
              <w:rFonts w:ascii="Times New Roman" w:eastAsia="Times New Roman" w:hAnsi="Times New Roman" w:cs="Times New Roman"/>
              <w:noProof/>
              <w:color w:val="000000"/>
              <w:sz w:val="24"/>
              <w:szCs w:val="24"/>
            </w:rPr>
            <w:tab/>
            <w:t>16</w:t>
          </w:r>
          <w:r>
            <w:rPr>
              <w:noProof/>
            </w:rPr>
            <w:fldChar w:fldCharType="end"/>
          </w:r>
        </w:p>
        <w:p w14:paraId="271BBE96" w14:textId="77777777" w:rsidR="00C93CCA" w:rsidRDefault="00C93CCA" w:rsidP="00C93CCA">
          <w:pPr>
            <w:pBdr>
              <w:top w:val="nil"/>
              <w:left w:val="nil"/>
              <w:bottom w:val="nil"/>
              <w:right w:val="nil"/>
              <w:between w:val="nil"/>
            </w:pBdr>
            <w:tabs>
              <w:tab w:val="left" w:pos="960"/>
              <w:tab w:val="right" w:leader="dot" w:pos="9016"/>
            </w:tabs>
            <w:spacing w:after="100"/>
            <w:ind w:left="240"/>
            <w:rPr>
              <w:rFonts w:ascii="Times New Roman" w:eastAsia="Times New Roman" w:hAnsi="Times New Roman" w:cs="Times New Roman"/>
              <w:noProof/>
              <w:color w:val="000000"/>
              <w:sz w:val="28"/>
              <w:szCs w:val="28"/>
            </w:rPr>
          </w:pPr>
          <w:hyperlink w:anchor="_6odwhmk2z48z">
            <w:r>
              <w:rPr>
                <w:rFonts w:ascii="Times New Roman" w:eastAsia="Times New Roman" w:hAnsi="Times New Roman" w:cs="Times New Roman"/>
                <w:noProof/>
                <w:color w:val="000000"/>
                <w:sz w:val="24"/>
                <w:szCs w:val="24"/>
              </w:rPr>
              <w:t>7.5</w:t>
            </w:r>
          </w:hyperlink>
          <w:hyperlink w:anchor="_6odwhmk2z48z">
            <w:r>
              <w:rPr>
                <w:rFonts w:ascii="Times New Roman" w:eastAsia="Times New Roman" w:hAnsi="Times New Roman" w:cs="Times New Roman"/>
                <w:noProof/>
                <w:color w:val="000000"/>
                <w:sz w:val="28"/>
                <w:szCs w:val="28"/>
              </w:rPr>
              <w:tab/>
            </w:r>
          </w:hyperlink>
          <w:r>
            <w:rPr>
              <w:noProof/>
            </w:rPr>
            <w:fldChar w:fldCharType="begin"/>
          </w:r>
          <w:r>
            <w:rPr>
              <w:noProof/>
            </w:rPr>
            <w:instrText xml:space="preserve"> PAGEREF _6odwhmk2z48z \h </w:instrText>
          </w:r>
          <w:r>
            <w:rPr>
              <w:noProof/>
            </w:rPr>
          </w:r>
          <w:r>
            <w:rPr>
              <w:noProof/>
            </w:rPr>
            <w:fldChar w:fldCharType="separate"/>
          </w:r>
          <w:r>
            <w:rPr>
              <w:rFonts w:ascii="Times New Roman" w:eastAsia="Times New Roman" w:hAnsi="Times New Roman" w:cs="Times New Roman"/>
              <w:noProof/>
              <w:color w:val="000000"/>
              <w:sz w:val="24"/>
              <w:szCs w:val="24"/>
            </w:rPr>
            <w:t>Analysis</w:t>
          </w:r>
          <w:r>
            <w:rPr>
              <w:rFonts w:ascii="Times New Roman" w:eastAsia="Times New Roman" w:hAnsi="Times New Roman" w:cs="Times New Roman"/>
              <w:noProof/>
              <w:color w:val="000000"/>
              <w:sz w:val="24"/>
              <w:szCs w:val="24"/>
            </w:rPr>
            <w:tab/>
            <w:t>16</w:t>
          </w:r>
          <w:r>
            <w:rPr>
              <w:noProof/>
            </w:rPr>
            <w:fldChar w:fldCharType="end"/>
          </w:r>
        </w:p>
        <w:p w14:paraId="6E6B5828" w14:textId="77777777" w:rsidR="00C93CCA" w:rsidRDefault="00C93CCA" w:rsidP="00C93CCA">
          <w:pPr>
            <w:pBdr>
              <w:top w:val="nil"/>
              <w:left w:val="nil"/>
              <w:bottom w:val="nil"/>
              <w:right w:val="nil"/>
              <w:between w:val="nil"/>
            </w:pBdr>
            <w:tabs>
              <w:tab w:val="left" w:pos="960"/>
              <w:tab w:val="right" w:leader="dot" w:pos="9016"/>
            </w:tabs>
            <w:spacing w:after="100"/>
            <w:ind w:left="240"/>
            <w:rPr>
              <w:rFonts w:ascii="Times New Roman" w:eastAsia="Times New Roman" w:hAnsi="Times New Roman" w:cs="Times New Roman"/>
              <w:noProof/>
              <w:color w:val="000000"/>
              <w:sz w:val="28"/>
              <w:szCs w:val="28"/>
            </w:rPr>
          </w:pPr>
          <w:hyperlink w:anchor="_hwqi9yn9cgop">
            <w:r>
              <w:rPr>
                <w:rFonts w:ascii="Times New Roman" w:eastAsia="Times New Roman" w:hAnsi="Times New Roman" w:cs="Times New Roman"/>
                <w:noProof/>
                <w:color w:val="000000"/>
                <w:sz w:val="24"/>
                <w:szCs w:val="24"/>
              </w:rPr>
              <w:t>7.6</w:t>
            </w:r>
          </w:hyperlink>
          <w:hyperlink w:anchor="_hwqi9yn9cgop">
            <w:r>
              <w:rPr>
                <w:rFonts w:ascii="Times New Roman" w:eastAsia="Times New Roman" w:hAnsi="Times New Roman" w:cs="Times New Roman"/>
                <w:noProof/>
                <w:color w:val="000000"/>
                <w:sz w:val="28"/>
                <w:szCs w:val="28"/>
              </w:rPr>
              <w:tab/>
            </w:r>
          </w:hyperlink>
          <w:r>
            <w:rPr>
              <w:noProof/>
            </w:rPr>
            <w:fldChar w:fldCharType="begin"/>
          </w:r>
          <w:r>
            <w:rPr>
              <w:noProof/>
            </w:rPr>
            <w:instrText xml:space="preserve"> PAGEREF _hwqi9yn9cgop \h </w:instrText>
          </w:r>
          <w:r>
            <w:rPr>
              <w:noProof/>
            </w:rPr>
          </w:r>
          <w:r>
            <w:rPr>
              <w:noProof/>
            </w:rPr>
            <w:fldChar w:fldCharType="separate"/>
          </w:r>
          <w:r>
            <w:rPr>
              <w:rFonts w:ascii="Times New Roman" w:eastAsia="Times New Roman" w:hAnsi="Times New Roman" w:cs="Times New Roman"/>
              <w:noProof/>
              <w:color w:val="000000"/>
              <w:sz w:val="24"/>
              <w:szCs w:val="24"/>
            </w:rPr>
            <w:t>Conclusion</w:t>
          </w:r>
          <w:r>
            <w:rPr>
              <w:rFonts w:ascii="Times New Roman" w:eastAsia="Times New Roman" w:hAnsi="Times New Roman" w:cs="Times New Roman"/>
              <w:noProof/>
              <w:color w:val="000000"/>
              <w:sz w:val="24"/>
              <w:szCs w:val="24"/>
            </w:rPr>
            <w:tab/>
            <w:t>17</w:t>
          </w:r>
          <w:r>
            <w:rPr>
              <w:noProof/>
            </w:rPr>
            <w:fldChar w:fldCharType="end"/>
          </w:r>
        </w:p>
        <w:p w14:paraId="2721E44E" w14:textId="77777777" w:rsidR="00C93CCA" w:rsidRDefault="00C93CCA" w:rsidP="00C93CCA">
          <w:pPr>
            <w:pBdr>
              <w:top w:val="nil"/>
              <w:left w:val="nil"/>
              <w:bottom w:val="nil"/>
              <w:right w:val="nil"/>
              <w:between w:val="nil"/>
            </w:pBdr>
            <w:tabs>
              <w:tab w:val="left" w:pos="960"/>
              <w:tab w:val="right" w:leader="dot" w:pos="9016"/>
            </w:tabs>
            <w:spacing w:after="100"/>
            <w:ind w:left="240"/>
            <w:rPr>
              <w:rFonts w:ascii="Times New Roman" w:eastAsia="Times New Roman" w:hAnsi="Times New Roman" w:cs="Times New Roman"/>
              <w:noProof/>
              <w:color w:val="000000"/>
              <w:sz w:val="28"/>
              <w:szCs w:val="28"/>
            </w:rPr>
          </w:pPr>
          <w:hyperlink w:anchor="_gpv7rbgip8vb">
            <w:r>
              <w:rPr>
                <w:rFonts w:ascii="Times New Roman" w:eastAsia="Times New Roman" w:hAnsi="Times New Roman" w:cs="Times New Roman"/>
                <w:noProof/>
                <w:color w:val="000000"/>
                <w:sz w:val="24"/>
                <w:szCs w:val="24"/>
              </w:rPr>
              <w:t>7.7</w:t>
            </w:r>
          </w:hyperlink>
          <w:hyperlink w:anchor="_gpv7rbgip8vb">
            <w:r>
              <w:rPr>
                <w:rFonts w:ascii="Times New Roman" w:eastAsia="Times New Roman" w:hAnsi="Times New Roman" w:cs="Times New Roman"/>
                <w:noProof/>
                <w:color w:val="000000"/>
                <w:sz w:val="28"/>
                <w:szCs w:val="28"/>
              </w:rPr>
              <w:tab/>
            </w:r>
          </w:hyperlink>
          <w:r>
            <w:rPr>
              <w:noProof/>
            </w:rPr>
            <w:fldChar w:fldCharType="begin"/>
          </w:r>
          <w:r>
            <w:rPr>
              <w:noProof/>
            </w:rPr>
            <w:instrText xml:space="preserve"> PAGEREF _gpv7rbgip8vb \h </w:instrText>
          </w:r>
          <w:r>
            <w:rPr>
              <w:noProof/>
            </w:rPr>
          </w:r>
          <w:r>
            <w:rPr>
              <w:noProof/>
            </w:rPr>
            <w:fldChar w:fldCharType="separate"/>
          </w:r>
          <w:r>
            <w:rPr>
              <w:rFonts w:ascii="Times New Roman" w:eastAsia="Times New Roman" w:hAnsi="Times New Roman" w:cs="Times New Roman"/>
              <w:noProof/>
              <w:color w:val="000000"/>
              <w:sz w:val="24"/>
              <w:szCs w:val="24"/>
            </w:rPr>
            <w:t>Action Plan</w:t>
          </w:r>
          <w:r>
            <w:rPr>
              <w:rFonts w:ascii="Times New Roman" w:eastAsia="Times New Roman" w:hAnsi="Times New Roman" w:cs="Times New Roman"/>
              <w:noProof/>
              <w:color w:val="000000"/>
              <w:sz w:val="24"/>
              <w:szCs w:val="24"/>
            </w:rPr>
            <w:tab/>
            <w:t>17</w:t>
          </w:r>
          <w:r>
            <w:rPr>
              <w:noProof/>
            </w:rPr>
            <w:fldChar w:fldCharType="end"/>
          </w:r>
        </w:p>
        <w:p w14:paraId="5A403BDB" w14:textId="77777777" w:rsidR="00C93CCA" w:rsidRDefault="00C93CCA" w:rsidP="00C93CCA">
          <w:pPr>
            <w:pBdr>
              <w:top w:val="nil"/>
              <w:left w:val="nil"/>
              <w:bottom w:val="nil"/>
              <w:right w:val="nil"/>
              <w:between w:val="nil"/>
            </w:pBdr>
            <w:tabs>
              <w:tab w:val="left" w:pos="480"/>
              <w:tab w:val="right" w:leader="dot" w:pos="9016"/>
            </w:tabs>
            <w:spacing w:after="100"/>
            <w:rPr>
              <w:rFonts w:ascii="Times New Roman" w:eastAsia="Times New Roman" w:hAnsi="Times New Roman" w:cs="Times New Roman"/>
              <w:noProof/>
              <w:color w:val="000000"/>
              <w:sz w:val="28"/>
              <w:szCs w:val="28"/>
            </w:rPr>
          </w:pPr>
          <w:hyperlink w:anchor="_mwxea18zx1zp">
            <w:r>
              <w:rPr>
                <w:rFonts w:ascii="Times New Roman" w:eastAsia="Times New Roman" w:hAnsi="Times New Roman" w:cs="Times New Roman"/>
                <w:noProof/>
                <w:color w:val="000000"/>
                <w:sz w:val="24"/>
                <w:szCs w:val="24"/>
              </w:rPr>
              <w:t>8</w:t>
            </w:r>
          </w:hyperlink>
          <w:hyperlink w:anchor="_mwxea18zx1zp">
            <w:r>
              <w:rPr>
                <w:rFonts w:ascii="Times New Roman" w:eastAsia="Times New Roman" w:hAnsi="Times New Roman" w:cs="Times New Roman"/>
                <w:noProof/>
                <w:color w:val="000000"/>
                <w:sz w:val="28"/>
                <w:szCs w:val="28"/>
              </w:rPr>
              <w:tab/>
            </w:r>
          </w:hyperlink>
          <w:r>
            <w:rPr>
              <w:noProof/>
            </w:rPr>
            <w:fldChar w:fldCharType="begin"/>
          </w:r>
          <w:r>
            <w:rPr>
              <w:noProof/>
            </w:rPr>
            <w:instrText xml:space="preserve"> PAGEREF _mwxea18zx1zp \h </w:instrText>
          </w:r>
          <w:r>
            <w:rPr>
              <w:noProof/>
            </w:rPr>
          </w:r>
          <w:r>
            <w:rPr>
              <w:noProof/>
            </w:rPr>
            <w:fldChar w:fldCharType="separate"/>
          </w:r>
          <w:r>
            <w:rPr>
              <w:rFonts w:ascii="Times New Roman" w:eastAsia="Times New Roman" w:hAnsi="Times New Roman" w:cs="Times New Roman"/>
              <w:noProof/>
              <w:color w:val="000000"/>
              <w:sz w:val="24"/>
              <w:szCs w:val="24"/>
            </w:rPr>
            <w:t>Reference List</w:t>
          </w:r>
          <w:r>
            <w:rPr>
              <w:rFonts w:ascii="Times New Roman" w:eastAsia="Times New Roman" w:hAnsi="Times New Roman" w:cs="Times New Roman"/>
              <w:noProof/>
              <w:color w:val="000000"/>
              <w:sz w:val="24"/>
              <w:szCs w:val="24"/>
            </w:rPr>
            <w:tab/>
            <w:t>19</w:t>
          </w:r>
          <w:r>
            <w:rPr>
              <w:noProof/>
            </w:rPr>
            <w:fldChar w:fldCharType="end"/>
          </w:r>
        </w:p>
        <w:p w14:paraId="6D453140" w14:textId="77777777" w:rsidR="00C93CCA" w:rsidRDefault="00C93CCA" w:rsidP="00C93CCA">
          <w:pPr>
            <w:rPr>
              <w:rFonts w:ascii="Times New Roman" w:eastAsia="Times New Roman" w:hAnsi="Times New Roman" w:cs="Times New Roman"/>
              <w:sz w:val="24"/>
              <w:szCs w:val="24"/>
            </w:rPr>
          </w:pPr>
          <w:r>
            <w:fldChar w:fldCharType="end"/>
          </w:r>
        </w:p>
      </w:sdtContent>
    </w:sdt>
    <w:p w14:paraId="127F4549" w14:textId="77777777" w:rsidR="00C93CCA" w:rsidRDefault="00C93CCA" w:rsidP="00C93CCA">
      <w:pPr>
        <w:spacing w:before="200" w:after="200" w:line="360" w:lineRule="auto"/>
        <w:jc w:val="center"/>
        <w:rPr>
          <w:rFonts w:ascii="Times New Roman" w:eastAsia="Times New Roman" w:hAnsi="Times New Roman" w:cs="Times New Roman"/>
          <w:sz w:val="24"/>
          <w:szCs w:val="24"/>
        </w:rPr>
      </w:pPr>
    </w:p>
    <w:p w14:paraId="3791BDB0" w14:textId="77777777" w:rsidR="00C93CCA" w:rsidRDefault="00C93CCA" w:rsidP="00C93CCA">
      <w:pPr>
        <w:spacing w:before="200" w:after="200" w:line="360" w:lineRule="auto"/>
        <w:jc w:val="center"/>
        <w:rPr>
          <w:rFonts w:ascii="Times New Roman" w:eastAsia="Times New Roman" w:hAnsi="Times New Roman" w:cs="Times New Roman"/>
          <w:sz w:val="24"/>
          <w:szCs w:val="24"/>
        </w:rPr>
      </w:pPr>
    </w:p>
    <w:p w14:paraId="6D26DD4E" w14:textId="77777777" w:rsidR="00C93CCA" w:rsidRDefault="00C93CCA" w:rsidP="00C93CCA">
      <w:pPr>
        <w:pStyle w:val="Heading1"/>
        <w:numPr>
          <w:ilvl w:val="0"/>
          <w:numId w:val="1"/>
        </w:numPr>
        <w:spacing w:line="360" w:lineRule="auto"/>
        <w:rPr>
          <w:rFonts w:ascii="Times New Roman" w:eastAsia="Times New Roman" w:hAnsi="Times New Roman" w:cs="Times New Roman"/>
        </w:rPr>
      </w:pPr>
      <w:bookmarkStart w:id="1" w:name="_960gkoeqel8u" w:colFirst="0" w:colLast="0"/>
      <w:bookmarkEnd w:id="1"/>
      <w:r>
        <w:rPr>
          <w:rFonts w:ascii="Times New Roman" w:eastAsia="Times New Roman" w:hAnsi="Times New Roman" w:cs="Times New Roman"/>
        </w:rPr>
        <w:lastRenderedPageBreak/>
        <w:t>SECTION 1: STRATEGIC ANALYSIS</w:t>
      </w:r>
    </w:p>
    <w:p w14:paraId="0704E769" w14:textId="77777777" w:rsidR="00C93CCA" w:rsidRDefault="00C93CCA" w:rsidP="00C93CCA">
      <w:pPr>
        <w:spacing w:before="40" w:after="40" w:line="360" w:lineRule="auto"/>
        <w:rPr>
          <w:rFonts w:ascii="Times New Roman" w:eastAsia="Times New Roman" w:hAnsi="Times New Roman" w:cs="Times New Roman"/>
          <w:sz w:val="24"/>
          <w:szCs w:val="24"/>
        </w:rPr>
      </w:pPr>
    </w:p>
    <w:p w14:paraId="622E542D" w14:textId="77777777" w:rsidR="00C93CCA" w:rsidRDefault="00C93CCA" w:rsidP="00C93CCA">
      <w:pPr>
        <w:pStyle w:val="Heading2"/>
        <w:numPr>
          <w:ilvl w:val="1"/>
          <w:numId w:val="1"/>
        </w:numPr>
        <w:spacing w:line="360" w:lineRule="auto"/>
        <w:rPr>
          <w:rFonts w:ascii="Times New Roman" w:eastAsia="Times New Roman" w:hAnsi="Times New Roman" w:cs="Times New Roman"/>
        </w:rPr>
      </w:pPr>
      <w:bookmarkStart w:id="2" w:name="_1j50hujguscq" w:colFirst="0" w:colLast="0"/>
      <w:bookmarkEnd w:id="2"/>
      <w:r>
        <w:rPr>
          <w:rFonts w:ascii="Times New Roman" w:eastAsia="Times New Roman" w:hAnsi="Times New Roman" w:cs="Times New Roman"/>
        </w:rPr>
        <w:t>Organisational Context and Overview</w:t>
      </w:r>
    </w:p>
    <w:p w14:paraId="2660228F" w14:textId="285B5A14" w:rsidR="00C93CCA" w:rsidRDefault="00C93CCA" w:rsidP="0031532A">
      <w:pPr>
        <w:spacing w:before="80" w:after="80" w:line="360" w:lineRule="auto"/>
        <w:ind w:firstLine="57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Louis Vuitton Moet Hennessy (under the umbrella of its flagship brand Louis Vuitton) is by far the most luxurious and commercially successful player in the global luxury goods market. The brand was founded in Paris in 1854 by the eponymous designer Louis Vuitton, who at that time earned his name through the design and production of flat-topped traveling trunks, specifically made to suit the new railway-based traveling culture of the nineteenth century Europe (Kapferer and Bastien, 2012). By later decades, the brand has expanded into products such as handbags, small leather goods, ready-to-wear clothes, footwear, watches, </w:t>
      </w:r>
      <w:r w:rsidR="0031532A">
        <w:rPr>
          <w:rFonts w:ascii="Times New Roman" w:eastAsia="Times New Roman" w:hAnsi="Times New Roman" w:cs="Times New Roman"/>
          <w:sz w:val="24"/>
          <w:szCs w:val="24"/>
        </w:rPr>
        <w:t>jewelry</w:t>
      </w:r>
      <w:r>
        <w:rPr>
          <w:rFonts w:ascii="Times New Roman" w:eastAsia="Times New Roman" w:hAnsi="Times New Roman" w:cs="Times New Roman"/>
          <w:sz w:val="24"/>
          <w:szCs w:val="24"/>
        </w:rPr>
        <w:t xml:space="preserve"> and fragrances and no longer remained a niche manufacturer of luggage but became a holistic luxury lifestyle house.</w:t>
      </w:r>
    </w:p>
    <w:p w14:paraId="511A841E" w14:textId="77777777" w:rsidR="00C93CCA" w:rsidRDefault="00C93CCA" w:rsidP="0031532A">
      <w:pPr>
        <w:spacing w:before="80" w:after="80" w:line="360" w:lineRule="auto"/>
        <w:ind w:firstLine="57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1987, Louis Vuitton and Moet Hennessy came together to become LVMH Moet Hennessy Louis Vuitton SE, the largest luxury conglomerate in the world. Louis Vuitton is positioned as the flagship brand and largest revenue generator in this category with an estimated one-third of the total LVMH revenues. By 2023, LVMH had a total of about EUR 86.2 billion in revenues, thus being the leading luxury group in the world (LVMH Annual Report, 2023).</w:t>
      </w:r>
    </w:p>
    <w:p w14:paraId="014B4746" w14:textId="77777777" w:rsidR="00C93CCA" w:rsidRDefault="00C93CCA" w:rsidP="00C93CCA">
      <w:pPr>
        <w:spacing w:before="80" w:after="8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 LVMH Revenue Breakdown by Region (2023)</w:t>
      </w:r>
    </w:p>
    <w:p w14:paraId="3FF9E9C6" w14:textId="77777777" w:rsidR="00C93CCA" w:rsidRDefault="00C93CCA" w:rsidP="00C93CCA">
      <w:pPr>
        <w:spacing w:before="80" w:after="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16F4B267" wp14:editId="446CC626">
            <wp:extent cx="3453623" cy="230241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3453623" cy="2302415"/>
                    </a:xfrm>
                    <a:prstGeom prst="rect">
                      <a:avLst/>
                    </a:prstGeom>
                    <a:ln/>
                  </pic:spPr>
                </pic:pic>
              </a:graphicData>
            </a:graphic>
          </wp:inline>
        </w:drawing>
      </w:r>
    </w:p>
    <w:p w14:paraId="718A2440" w14:textId="539B7E24" w:rsidR="00C93CCA" w:rsidRDefault="00C93CCA" w:rsidP="00C93CCA">
      <w:pPr>
        <w:spacing w:before="80" w:after="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31532A">
        <w:rPr>
          <w:rFonts w:ascii="Times New Roman" w:eastAsia="Times New Roman" w:hAnsi="Times New Roman" w:cs="Times New Roman"/>
          <w:sz w:val="24"/>
          <w:szCs w:val="24"/>
        </w:rPr>
        <w:tab/>
      </w:r>
      <w:r>
        <w:rPr>
          <w:rFonts w:ascii="Times New Roman" w:eastAsia="Times New Roman" w:hAnsi="Times New Roman" w:cs="Times New Roman"/>
          <w:sz w:val="24"/>
          <w:szCs w:val="24"/>
        </w:rPr>
        <w:t>The mission of Louis Vuitton can be defined in terms of its perennial focus on craftsmanship, creativity, and exclusivity, and its vision focuses on continuing the art of travelling and the French spirit of savoir-faire through all product lines.</w:t>
      </w:r>
    </w:p>
    <w:p w14:paraId="5B9D8FF4" w14:textId="77777777" w:rsidR="00C93CCA" w:rsidRDefault="00C93CCA" w:rsidP="0031532A">
      <w:pPr>
        <w:spacing w:before="80" w:after="80" w:line="360" w:lineRule="auto"/>
        <w:ind w:firstLine="43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brand's business model has a vertically integrated framework that values design, manufacture, retail and brand management. Louis Vuitton, unlike most of its luxury counterparts, exercises tight control over its distribution channels since all its products go through its own distribution channels, which consists of 460 over-the-counter stores all over the world, avoiding any use of wholesale and department stores (Chevalier and Mazzalova, 2021). This model can safeguard brand equity as well as guarantee constantly superior customer experience. The major rivals are Gucci (Kering), Hermes, Chanel, Prada, and Burberry that are competing in the same sphere of the luxury market regarding the number of high-net-worth consumers. Louis Vuitton's market position, However, Louis Vuitton leads the pack in the market concerning brand recognition, annual revenues, and retail space across the globe.</w:t>
      </w:r>
    </w:p>
    <w:p w14:paraId="46A86246" w14:textId="77777777" w:rsidR="00C93CCA" w:rsidRDefault="00C93CCA" w:rsidP="00C93CCA">
      <w:pPr>
        <w:spacing w:before="40" w:after="40" w:line="360" w:lineRule="auto"/>
        <w:rPr>
          <w:rFonts w:ascii="Times New Roman" w:eastAsia="Times New Roman" w:hAnsi="Times New Roman" w:cs="Times New Roman"/>
          <w:sz w:val="24"/>
          <w:szCs w:val="24"/>
        </w:rPr>
      </w:pPr>
    </w:p>
    <w:p w14:paraId="44CF0114" w14:textId="77777777" w:rsidR="00C93CCA" w:rsidRDefault="00C93CCA" w:rsidP="00C93CCA">
      <w:pPr>
        <w:pStyle w:val="Heading1"/>
        <w:numPr>
          <w:ilvl w:val="0"/>
          <w:numId w:val="1"/>
        </w:numPr>
        <w:rPr>
          <w:rFonts w:ascii="Times New Roman" w:eastAsia="Times New Roman" w:hAnsi="Times New Roman" w:cs="Times New Roman"/>
        </w:rPr>
      </w:pPr>
      <w:bookmarkStart w:id="3" w:name="_slwzug4s7i3n" w:colFirst="0" w:colLast="0"/>
      <w:bookmarkEnd w:id="3"/>
      <w:r>
        <w:rPr>
          <w:rFonts w:ascii="Times New Roman" w:eastAsia="Times New Roman" w:hAnsi="Times New Roman" w:cs="Times New Roman"/>
        </w:rPr>
        <w:t>External and Internal Environment Analysis</w:t>
      </w:r>
    </w:p>
    <w:p w14:paraId="54693A73" w14:textId="77777777" w:rsidR="00C93CCA" w:rsidRDefault="00C93CCA" w:rsidP="00C93CCA">
      <w:pPr>
        <w:pStyle w:val="Heading2"/>
        <w:numPr>
          <w:ilvl w:val="1"/>
          <w:numId w:val="1"/>
        </w:numPr>
        <w:rPr>
          <w:rFonts w:ascii="Times New Roman" w:eastAsia="Times New Roman" w:hAnsi="Times New Roman" w:cs="Times New Roman"/>
        </w:rPr>
      </w:pPr>
      <w:bookmarkStart w:id="4" w:name="_r433ue6fcfz9" w:colFirst="0" w:colLast="0"/>
      <w:bookmarkEnd w:id="4"/>
      <w:r>
        <w:rPr>
          <w:rFonts w:ascii="Times New Roman" w:eastAsia="Times New Roman" w:hAnsi="Times New Roman" w:cs="Times New Roman"/>
        </w:rPr>
        <w:t>PESTEL Analysis</w:t>
      </w:r>
    </w:p>
    <w:p w14:paraId="63F433FA" w14:textId="77777777" w:rsidR="00C93CCA" w:rsidRDefault="00C93CCA" w:rsidP="0031532A">
      <w:pPr>
        <w:spacing w:before="80" w:after="80" w:line="360" w:lineRule="auto"/>
        <w:ind w:firstLine="57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PESTEL model provides systematic prism, based on which the macro-environmental conditions, upon whose impact Louis Vuitton takes its strategic decisions, can be examined critically (Johnson, Whittington and Scholes, 2020).</w:t>
      </w:r>
    </w:p>
    <w:p w14:paraId="2A7AF4BC" w14:textId="77777777" w:rsidR="00C93CCA" w:rsidRDefault="00C93CCA" w:rsidP="00C93CCA">
      <w:pPr>
        <w:spacing w:before="80" w:after="8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2: PESTEL Summary Infographic</w:t>
      </w:r>
    </w:p>
    <w:p w14:paraId="4A0B8DE3" w14:textId="77777777" w:rsidR="00C93CCA" w:rsidRDefault="00C93CCA" w:rsidP="00C93CCA">
      <w:pPr>
        <w:spacing w:before="80" w:after="8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0" distB="0" distL="0" distR="0" wp14:anchorId="1BFA8A81" wp14:editId="75A04383">
            <wp:extent cx="3184052" cy="2379749"/>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3184052" cy="2379749"/>
                    </a:xfrm>
                    <a:prstGeom prst="rect">
                      <a:avLst/>
                    </a:prstGeom>
                    <a:ln/>
                  </pic:spPr>
                </pic:pic>
              </a:graphicData>
            </a:graphic>
          </wp:inline>
        </w:drawing>
      </w:r>
    </w:p>
    <w:p w14:paraId="384F2325" w14:textId="77777777" w:rsidR="00C93CCA" w:rsidRDefault="00C93CCA" w:rsidP="0031532A">
      <w:pPr>
        <w:spacing w:before="80" w:after="8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Political issues are also very important to the international activities of Louis Vuitton. Cost structures and pricing strategies are directly influenced by trade tensions, tariffs regimes and import duties in major markets like the United States, China and the European Union. The brand itself is also vulnerable to the fluctuation of geopolitics since a disproportionate portion </w:t>
      </w:r>
      <w:r>
        <w:rPr>
          <w:rFonts w:ascii="Times New Roman" w:eastAsia="Times New Roman" w:hAnsi="Times New Roman" w:cs="Times New Roman"/>
          <w:sz w:val="24"/>
          <w:szCs w:val="24"/>
        </w:rPr>
        <w:lastRenderedPageBreak/>
        <w:t>of revenues is based on the Chinese consumer base, estimated at around 35 percent of the luxury expenditures worldwide (Bain &amp; Company, 2023). Chinese regulatory reforms such as prohibition of luxury spending and anti-corruption efforts have traditionally kept a lid on demand in the Chinese market.</w:t>
      </w:r>
    </w:p>
    <w:p w14:paraId="4F040893" w14:textId="77777777" w:rsidR="00C93CCA" w:rsidRDefault="00C93CCA" w:rsidP="0031532A">
      <w:pPr>
        <w:spacing w:before="80" w:after="8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Economically, Louis Vuitton has demonstrated considerable resilience to macroeconomic downturns. The ultra-high-net-worth consumer has the tendency of not being price elastic in the luxury demand, but aspirational purchasers are subject to economic cycles. Inflation and interest rate growth in Western markets in 2022-2023 posed headwinds to aspirational luxury demand, and the post-pandemic revenge spending boom that in 2021 had boosted revenues started to normalise in 2024 (McKinsey &amp; Company, 2023). Another financial challenge would be currency fluctuations in which LVMH reports using Euros but earn revenues in various currencies.</w:t>
      </w:r>
    </w:p>
    <w:p w14:paraId="68C9C9D7" w14:textId="77777777" w:rsidR="00C93CCA" w:rsidRDefault="00C93CCA" w:rsidP="0031532A">
      <w:pPr>
        <w:spacing w:before="80" w:after="8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socio-cultural factors in the fashion industry, such as consumer preference to authenticity, heritage and craftsmanship still favour the luxury brands with long histories like Louis Vuitton. The increased significance of younger generations, especially the Millennials and the Generation z has forced the brand to balance its tradition with modernization as is depicted by the high-profile partnership with celebrities, musicians, and some of the cultural icons. The emergence of social media as an instrument of aspirational consumption has, ironically, not only increased the level of brand desirability but also raised new risks of counterfeiting (Heine, 2012).</w:t>
      </w:r>
    </w:p>
    <w:p w14:paraId="2051202A" w14:textId="77777777" w:rsidR="00C93CCA" w:rsidRDefault="00C93CCA" w:rsidP="0031532A">
      <w:pPr>
        <w:spacing w:before="80" w:after="8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Technologically, the luxury sector faces both opportunity and disruption. The brand has already made a significant investment in digital commerce, augmented reality try-on features, and non-fungible token (NFT) authentication via its 'Aura Blockchain Consortium' venture in partnership with other luxury houses meant to combat copycat-making and to authenticate product provenance (LVMH Annual Report, 2022). The brand's engagement with the metaverse and gaming collaborations signals an attempt to capture digital-native luxury consumers, although the commercial returns on such ventures remain uncertain.</w:t>
      </w:r>
    </w:p>
    <w:p w14:paraId="634BA3AD" w14:textId="77777777" w:rsidR="00C93CCA" w:rsidRDefault="00C93CCA" w:rsidP="0031532A">
      <w:pPr>
        <w:spacing w:before="80" w:after="8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Environmentally, sustainability has emerged as a critical strategic variable. LVMH has pledged to emit half of the current greenhouse gas emissions by 2030, use 100% renewable energy, and do away with single-use plastics throughout its operation under its LIFE 360 environmental programme (LVMH Sustainability Report, 2023). The pressure on responsible sourcing of leather, exotic skins, and other materials is increasing, and failing to meet reputational risks where environmental commitments are viewed to be ineffective.</w:t>
      </w:r>
    </w:p>
    <w:p w14:paraId="67D31B6E" w14:textId="77777777" w:rsidR="00C93CCA" w:rsidRDefault="00C93CCA" w:rsidP="0031532A">
      <w:pPr>
        <w:spacing w:before="80" w:after="80" w:line="360" w:lineRule="auto"/>
        <w:ind w:firstLine="57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Legally, Intellectual property protection has been a continued challenge. Louis Vuitton has done considerable anti-counterfeiting lawsuits on a global level, incurring colossal costs in relating trademarks. Additionally, the relocation of data protection regulations such as the GDPR in Europe or related regulations in the United States and Asia expose the digital marketing and consumer data practices of the brand to aspects of compliance.</w:t>
      </w:r>
    </w:p>
    <w:p w14:paraId="28D04745" w14:textId="77777777" w:rsidR="00C93CCA" w:rsidRDefault="00C93CCA" w:rsidP="00C93CCA">
      <w:pPr>
        <w:pStyle w:val="Heading2"/>
        <w:numPr>
          <w:ilvl w:val="1"/>
          <w:numId w:val="1"/>
        </w:numPr>
        <w:rPr>
          <w:rFonts w:ascii="Times New Roman" w:eastAsia="Times New Roman" w:hAnsi="Times New Roman" w:cs="Times New Roman"/>
        </w:rPr>
      </w:pPr>
      <w:bookmarkStart w:id="5" w:name="_vpcckems5wif" w:colFirst="0" w:colLast="0"/>
      <w:bookmarkEnd w:id="5"/>
      <w:r>
        <w:rPr>
          <w:rFonts w:ascii="Times New Roman" w:eastAsia="Times New Roman" w:hAnsi="Times New Roman" w:cs="Times New Roman"/>
        </w:rPr>
        <w:t>Critical Success Factors and Strategic Challenges</w:t>
      </w:r>
    </w:p>
    <w:p w14:paraId="594AE2A7" w14:textId="77777777" w:rsidR="00C93CCA" w:rsidRDefault="00C93CCA" w:rsidP="0031532A">
      <w:pPr>
        <w:spacing w:before="80" w:after="80" w:line="360" w:lineRule="auto"/>
        <w:ind w:firstLine="57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Based on the PESTEL analysis, some critical success factors are identified. First, brand desirability and exclusivity should, under no circumstances, be compromised: any dilution of the brand through excessive exposure or improper product extensions could adversely impact premium brand positioning. Second, but not the least, innovation but not losing heritage is the secret of remaining relevant in the new generations. Third, the necessity to geographically diversify outside of China and Europe as a risk mitigation strategy is growing.</w:t>
      </w:r>
    </w:p>
    <w:p w14:paraId="28E6108A" w14:textId="77777777" w:rsidR="00C93CCA" w:rsidRDefault="00C93CCA" w:rsidP="00C93CCA">
      <w:pPr>
        <w:spacing w:before="80" w:after="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Strategically, the brand is grappling with some issues, such as the normalisation of the post-pandemic luxurious demand, the growing regulation of sustainability claims (greenwashing) and the growing influence of digital platforms, which can challenge the traditional channels of distributing luxury and communicating.</w:t>
      </w:r>
    </w:p>
    <w:p w14:paraId="1D1538E1" w14:textId="77777777" w:rsidR="00C93CCA" w:rsidRDefault="00C93CCA" w:rsidP="00C93CCA">
      <w:pPr>
        <w:pStyle w:val="Heading2"/>
        <w:numPr>
          <w:ilvl w:val="1"/>
          <w:numId w:val="1"/>
        </w:numPr>
        <w:rPr>
          <w:rFonts w:ascii="Times New Roman" w:eastAsia="Times New Roman" w:hAnsi="Times New Roman" w:cs="Times New Roman"/>
        </w:rPr>
      </w:pPr>
      <w:bookmarkStart w:id="6" w:name="_ef6n55i4hbqk" w:colFirst="0" w:colLast="0"/>
      <w:bookmarkEnd w:id="6"/>
      <w:r>
        <w:rPr>
          <w:rFonts w:ascii="Times New Roman" w:eastAsia="Times New Roman" w:hAnsi="Times New Roman" w:cs="Times New Roman"/>
        </w:rPr>
        <w:t>Internal Environment Analysis: Resources, Capabilities, and Core Competencies</w:t>
      </w:r>
    </w:p>
    <w:p w14:paraId="5233D2CC" w14:textId="77777777" w:rsidR="00C93CCA" w:rsidRDefault="00C93CCA" w:rsidP="0031532A">
      <w:pPr>
        <w:spacing w:before="80" w:after="80" w:line="360" w:lineRule="auto"/>
        <w:ind w:firstLine="57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extremely potent resource base is the feature of the internal environment of Louis Vuitton. Its physical assets are the global store network of more than 460 retail outlets, the latest atelier are clustered in France, Spain and the United States and the financial resources expected on the balance sheet of LVMH. Among intangible resources, there are the Louis Vuitton brand itself, which is constantly among the top ten most valuable brands in the world based on Interbrand ratings, proprietary design skills, accrued craft knowledge, and the relationships established with customers due to personalised in-store services (Interbrand, 2023).</w:t>
      </w:r>
    </w:p>
    <w:p w14:paraId="292ACBC1" w14:textId="77777777" w:rsidR="00C93CCA" w:rsidRDefault="00C93CCA" w:rsidP="0031532A">
      <w:pPr>
        <w:spacing w:before="80" w:after="80" w:line="360" w:lineRule="auto"/>
        <w:ind w:firstLine="57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core competencies lie on the capacity of the brand to combine artisanal craftsmanship with commercial scale, its brand narration skills, and its command of the complete value chain, design to retail. The creative direction of the label, most recently under the leadership of Nicolas Ghesquiere in womenswear and Pharrell Williams in menswear, displays the ability of the label to acquire artists of the world caliber and turn their artistic vision into commercially successful collections.</w:t>
      </w:r>
    </w:p>
    <w:p w14:paraId="69D77750" w14:textId="77777777" w:rsidR="00C93CCA" w:rsidRDefault="00C93CCA" w:rsidP="00C93CCA">
      <w:pPr>
        <w:pStyle w:val="Heading2"/>
        <w:numPr>
          <w:ilvl w:val="1"/>
          <w:numId w:val="1"/>
        </w:numPr>
        <w:rPr>
          <w:rFonts w:ascii="Times New Roman" w:eastAsia="Times New Roman" w:hAnsi="Times New Roman" w:cs="Times New Roman"/>
        </w:rPr>
      </w:pPr>
      <w:bookmarkStart w:id="7" w:name="_9l50v36mfbx0" w:colFirst="0" w:colLast="0"/>
      <w:bookmarkEnd w:id="7"/>
      <w:r>
        <w:rPr>
          <w:rFonts w:ascii="Times New Roman" w:eastAsia="Times New Roman" w:hAnsi="Times New Roman" w:cs="Times New Roman"/>
        </w:rPr>
        <w:lastRenderedPageBreak/>
        <w:t>VRIO Framework Analysis</w:t>
      </w:r>
    </w:p>
    <w:p w14:paraId="0A092DDA" w14:textId="77777777" w:rsidR="00C93CCA" w:rsidRDefault="00C93CCA" w:rsidP="0031532A">
      <w:pPr>
        <w:spacing w:before="80" w:after="80" w:line="360" w:lineRule="auto"/>
        <w:ind w:firstLine="57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VRIO framework, created by Barney (1991) measures strategic resources and capabilities in four dimensions: Value, Rarity, Imitability, and Organisation. By using this framework to apply to the key capabilities within Louis Vuitton, we find the following:</w:t>
      </w:r>
    </w:p>
    <w:p w14:paraId="1D30CC5B" w14:textId="77777777" w:rsidR="00C93CCA" w:rsidRDefault="00C93CCA" w:rsidP="00C93CCA">
      <w:pPr>
        <w:spacing w:before="80" w:after="80" w:line="360" w:lineRule="auto"/>
        <w:jc w:val="both"/>
        <w:rPr>
          <w:rFonts w:ascii="Times New Roman" w:eastAsia="Times New Roman" w:hAnsi="Times New Roman" w:cs="Times New Roman"/>
          <w:sz w:val="24"/>
          <w:szCs w:val="24"/>
        </w:rPr>
      </w:pPr>
    </w:p>
    <w:tbl>
      <w:tblPr>
        <w:tblW w:w="90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500"/>
        <w:gridCol w:w="1500"/>
        <w:gridCol w:w="1500"/>
        <w:gridCol w:w="1626"/>
        <w:gridCol w:w="1900"/>
      </w:tblGrid>
      <w:tr w:rsidR="00C93CCA" w14:paraId="504D8B0B" w14:textId="77777777" w:rsidTr="009F5770">
        <w:tc>
          <w:tcPr>
            <w:tcW w:w="2500" w:type="dxa"/>
          </w:tcPr>
          <w:p w14:paraId="741C6F76"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Capability / Resource</w:t>
            </w:r>
          </w:p>
        </w:tc>
        <w:tc>
          <w:tcPr>
            <w:tcW w:w="1500" w:type="dxa"/>
          </w:tcPr>
          <w:p w14:paraId="01ECE8BF"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Valuable?</w:t>
            </w:r>
          </w:p>
        </w:tc>
        <w:tc>
          <w:tcPr>
            <w:tcW w:w="1500" w:type="dxa"/>
          </w:tcPr>
          <w:p w14:paraId="78A9A9FF"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Rare?</w:t>
            </w:r>
          </w:p>
        </w:tc>
        <w:tc>
          <w:tcPr>
            <w:tcW w:w="1626" w:type="dxa"/>
          </w:tcPr>
          <w:p w14:paraId="1FEB87D6"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Inimitable?</w:t>
            </w:r>
          </w:p>
        </w:tc>
        <w:tc>
          <w:tcPr>
            <w:tcW w:w="1900" w:type="dxa"/>
          </w:tcPr>
          <w:p w14:paraId="29C6F263"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Organised?</w:t>
            </w:r>
          </w:p>
        </w:tc>
      </w:tr>
      <w:tr w:rsidR="00C93CCA" w14:paraId="69724EAD" w14:textId="77777777" w:rsidTr="009F5770">
        <w:tc>
          <w:tcPr>
            <w:tcW w:w="2500" w:type="dxa"/>
          </w:tcPr>
          <w:p w14:paraId="49DBFEFC"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Brand Equity &amp; Heritage (170-year history)</w:t>
            </w:r>
          </w:p>
        </w:tc>
        <w:tc>
          <w:tcPr>
            <w:tcW w:w="1500" w:type="dxa"/>
          </w:tcPr>
          <w:p w14:paraId="17D1E928"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500" w:type="dxa"/>
          </w:tcPr>
          <w:p w14:paraId="6AEA74AD"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626" w:type="dxa"/>
          </w:tcPr>
          <w:p w14:paraId="3F8B0630"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 – deeply embedded</w:t>
            </w:r>
          </w:p>
        </w:tc>
        <w:tc>
          <w:tcPr>
            <w:tcW w:w="1900" w:type="dxa"/>
          </w:tcPr>
          <w:p w14:paraId="5379244C"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 – leveraged globally</w:t>
            </w:r>
          </w:p>
        </w:tc>
      </w:tr>
      <w:tr w:rsidR="00C93CCA" w14:paraId="04E9A6D7" w14:textId="77777777" w:rsidTr="009F5770">
        <w:tc>
          <w:tcPr>
            <w:tcW w:w="2500" w:type="dxa"/>
          </w:tcPr>
          <w:p w14:paraId="61411F3C"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Artisanal Craftsmanship &amp; Atelier Network</w:t>
            </w:r>
          </w:p>
        </w:tc>
        <w:tc>
          <w:tcPr>
            <w:tcW w:w="1500" w:type="dxa"/>
          </w:tcPr>
          <w:p w14:paraId="1A581937"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500" w:type="dxa"/>
          </w:tcPr>
          <w:p w14:paraId="40CC1358"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626" w:type="dxa"/>
          </w:tcPr>
          <w:p w14:paraId="700EF1EE"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Difficult – tacit knowledge</w:t>
            </w:r>
          </w:p>
        </w:tc>
        <w:tc>
          <w:tcPr>
            <w:tcW w:w="1900" w:type="dxa"/>
          </w:tcPr>
          <w:p w14:paraId="086424EF"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 – vertically integrated</w:t>
            </w:r>
          </w:p>
        </w:tc>
      </w:tr>
      <w:tr w:rsidR="00C93CCA" w14:paraId="341C15BB" w14:textId="77777777" w:rsidTr="009F5770">
        <w:tc>
          <w:tcPr>
            <w:tcW w:w="2500" w:type="dxa"/>
          </w:tcPr>
          <w:p w14:paraId="12B23A8F"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Exclusive Retail Network (directly operated)</w:t>
            </w:r>
          </w:p>
        </w:tc>
        <w:tc>
          <w:tcPr>
            <w:tcW w:w="1500" w:type="dxa"/>
          </w:tcPr>
          <w:p w14:paraId="5A7D391E"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500" w:type="dxa"/>
          </w:tcPr>
          <w:p w14:paraId="11052472"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626" w:type="dxa"/>
          </w:tcPr>
          <w:p w14:paraId="0D53D626"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Difficult – capital intensive</w:t>
            </w:r>
          </w:p>
        </w:tc>
        <w:tc>
          <w:tcPr>
            <w:tcW w:w="1900" w:type="dxa"/>
          </w:tcPr>
          <w:p w14:paraId="644B3423"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 – consistent experience</w:t>
            </w:r>
          </w:p>
        </w:tc>
      </w:tr>
      <w:tr w:rsidR="00C93CCA" w14:paraId="68C44602" w14:textId="77777777" w:rsidTr="009F5770">
        <w:tc>
          <w:tcPr>
            <w:tcW w:w="2500" w:type="dxa"/>
          </w:tcPr>
          <w:p w14:paraId="347A79CE"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Creative Design Talent &amp; Direction</w:t>
            </w:r>
          </w:p>
        </w:tc>
        <w:tc>
          <w:tcPr>
            <w:tcW w:w="1500" w:type="dxa"/>
          </w:tcPr>
          <w:p w14:paraId="599FA9A1"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500" w:type="dxa"/>
          </w:tcPr>
          <w:p w14:paraId="5D3B5E80"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626" w:type="dxa"/>
          </w:tcPr>
          <w:p w14:paraId="49A54C9C"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Moderate – talent mobility</w:t>
            </w:r>
          </w:p>
        </w:tc>
        <w:tc>
          <w:tcPr>
            <w:tcW w:w="1900" w:type="dxa"/>
          </w:tcPr>
          <w:p w14:paraId="6578DD07"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 – structured succession</w:t>
            </w:r>
          </w:p>
        </w:tc>
      </w:tr>
      <w:tr w:rsidR="00C93CCA" w14:paraId="35DFF776" w14:textId="77777777" w:rsidTr="009F5770">
        <w:tc>
          <w:tcPr>
            <w:tcW w:w="2500" w:type="dxa"/>
          </w:tcPr>
          <w:p w14:paraId="4CBEAD37"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Supply Chain Control &amp; Vertical Integration</w:t>
            </w:r>
          </w:p>
        </w:tc>
        <w:tc>
          <w:tcPr>
            <w:tcW w:w="1500" w:type="dxa"/>
          </w:tcPr>
          <w:p w14:paraId="4A0805CD"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500" w:type="dxa"/>
          </w:tcPr>
          <w:p w14:paraId="30D355C0"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626" w:type="dxa"/>
          </w:tcPr>
          <w:p w14:paraId="368D7D25"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Difficult – scale-dependent</w:t>
            </w:r>
          </w:p>
        </w:tc>
        <w:tc>
          <w:tcPr>
            <w:tcW w:w="1900" w:type="dxa"/>
          </w:tcPr>
          <w:p w14:paraId="6D06B879"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 – fully integrated</w:t>
            </w:r>
          </w:p>
        </w:tc>
      </w:tr>
      <w:tr w:rsidR="00C93CCA" w14:paraId="7B9DEDC3" w14:textId="77777777" w:rsidTr="009F5770">
        <w:tc>
          <w:tcPr>
            <w:tcW w:w="2500" w:type="dxa"/>
          </w:tcPr>
          <w:p w14:paraId="6C254D4B"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Digital &amp; Blockchain Authentication (AURA)</w:t>
            </w:r>
          </w:p>
        </w:tc>
        <w:tc>
          <w:tcPr>
            <w:tcW w:w="1500" w:type="dxa"/>
          </w:tcPr>
          <w:p w14:paraId="6E1337DF"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500" w:type="dxa"/>
          </w:tcPr>
          <w:p w14:paraId="72534924"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Moderate</w:t>
            </w:r>
          </w:p>
        </w:tc>
        <w:tc>
          <w:tcPr>
            <w:tcW w:w="1626" w:type="dxa"/>
          </w:tcPr>
          <w:p w14:paraId="0029CFE9"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Moderate – replicable tech</w:t>
            </w:r>
          </w:p>
        </w:tc>
        <w:tc>
          <w:tcPr>
            <w:tcW w:w="1900" w:type="dxa"/>
          </w:tcPr>
          <w:p w14:paraId="5F19CB6D"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 – consortium-led</w:t>
            </w:r>
          </w:p>
        </w:tc>
      </w:tr>
    </w:tbl>
    <w:p w14:paraId="74B73FE8" w14:textId="77777777" w:rsidR="00C93CCA" w:rsidRDefault="00C93CCA" w:rsidP="00C93CCA">
      <w:pPr>
        <w:spacing w:before="40" w:after="40" w:line="360" w:lineRule="auto"/>
        <w:rPr>
          <w:rFonts w:ascii="Times New Roman" w:eastAsia="Times New Roman" w:hAnsi="Times New Roman" w:cs="Times New Roman"/>
          <w:sz w:val="24"/>
          <w:szCs w:val="24"/>
        </w:rPr>
      </w:pPr>
    </w:p>
    <w:p w14:paraId="351BA10A" w14:textId="77777777" w:rsidR="00C93CCA" w:rsidRDefault="00C93CCA" w:rsidP="0031532A">
      <w:pPr>
        <w:spacing w:before="80" w:after="80" w:line="360" w:lineRule="auto"/>
        <w:ind w:firstLine="57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VRIO analysis proves that the most sustainable competitive advantage of Louis Vuitton is its brand heritage, infrastructure of artisanal craftsmanship, and vertically integrated model of retail, which all meet all four sustainability criteria of VRIO. They are capabilities that are ingrained in the history and culture of the </w:t>
      </w:r>
      <w:proofErr w:type="gramStart"/>
      <w:r>
        <w:rPr>
          <w:rFonts w:ascii="Times New Roman" w:eastAsia="Times New Roman" w:hAnsi="Times New Roman" w:cs="Times New Roman"/>
          <w:sz w:val="24"/>
          <w:szCs w:val="24"/>
        </w:rPr>
        <w:t>organisation</w:t>
      </w:r>
      <w:proofErr w:type="gramEnd"/>
      <w:r>
        <w:rPr>
          <w:rFonts w:ascii="Times New Roman" w:eastAsia="Times New Roman" w:hAnsi="Times New Roman" w:cs="Times New Roman"/>
          <w:sz w:val="24"/>
          <w:szCs w:val="24"/>
        </w:rPr>
        <w:t xml:space="preserve"> and they are incredibly difficult to imitate at any serious strategic time (Barney and Hesterly, 2019). Conversely, the digital capabilities, although increasingly appreciated, would become a more controversial strength </w:t>
      </w:r>
      <w:r>
        <w:rPr>
          <w:rFonts w:ascii="Times New Roman" w:eastAsia="Times New Roman" w:hAnsi="Times New Roman" w:cs="Times New Roman"/>
          <w:sz w:val="24"/>
          <w:szCs w:val="24"/>
        </w:rPr>
        <w:lastRenderedPageBreak/>
        <w:t>because of the pace of technological development and the potential expansion of similar systems by competitors.</w:t>
      </w:r>
    </w:p>
    <w:p w14:paraId="7FFDDCE9" w14:textId="77777777" w:rsidR="00C93CCA" w:rsidRDefault="00C93CCA" w:rsidP="00C93CCA">
      <w:pPr>
        <w:spacing w:before="40" w:after="40" w:line="360" w:lineRule="auto"/>
        <w:rPr>
          <w:rFonts w:ascii="Times New Roman" w:eastAsia="Times New Roman" w:hAnsi="Times New Roman" w:cs="Times New Roman"/>
          <w:sz w:val="24"/>
          <w:szCs w:val="24"/>
        </w:rPr>
      </w:pPr>
    </w:p>
    <w:p w14:paraId="4910E682" w14:textId="77777777" w:rsidR="00C93CCA" w:rsidRDefault="00C93CCA" w:rsidP="00C93CCA">
      <w:pPr>
        <w:pStyle w:val="Heading2"/>
        <w:numPr>
          <w:ilvl w:val="1"/>
          <w:numId w:val="1"/>
        </w:numPr>
        <w:rPr>
          <w:rFonts w:ascii="Times New Roman" w:eastAsia="Times New Roman" w:hAnsi="Times New Roman" w:cs="Times New Roman"/>
        </w:rPr>
      </w:pPr>
      <w:bookmarkStart w:id="8" w:name="_8v7neazq2z6" w:colFirst="0" w:colLast="0"/>
      <w:bookmarkEnd w:id="8"/>
      <w:r>
        <w:rPr>
          <w:rFonts w:ascii="Times New Roman" w:eastAsia="Times New Roman" w:hAnsi="Times New Roman" w:cs="Times New Roman"/>
        </w:rPr>
        <w:t>How Internal Strengths Contribute to Competitive Advantage</w:t>
      </w:r>
    </w:p>
    <w:p w14:paraId="2867D97A" w14:textId="77777777" w:rsidR="00C93CCA" w:rsidRDefault="00C93CCA" w:rsidP="0031532A">
      <w:pPr>
        <w:spacing w:before="80" w:after="80" w:line="360" w:lineRule="auto"/>
        <w:ind w:firstLine="43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combination of internal strengths of the Louis Vuitton company is formidable and creates a formidable system of mutual competitive support. The 170 years heritage of the brand gives it some form of authenticity that cannot be faked thus the brand is able to attract a high price premium. Vertically integrated supply chain ensures unremitting quality and secures proprietary manufacturing techniques. The exclusive retail idea, its part, is both a customer experience differentiator and brand safeguard, which offers the luxurious sense of accessibility without losing exclusivity. All these strengths help maintain a premium positioning, which competitors have never been able to duplicate in totality (Kapferer and Bastien, 2012).</w:t>
      </w:r>
    </w:p>
    <w:p w14:paraId="330EE567" w14:textId="77777777" w:rsidR="00C93CCA" w:rsidRDefault="00C93CCA" w:rsidP="00C93CCA">
      <w:pPr>
        <w:spacing w:before="40" w:after="40" w:line="360" w:lineRule="auto"/>
        <w:rPr>
          <w:rFonts w:ascii="Times New Roman" w:eastAsia="Times New Roman" w:hAnsi="Times New Roman" w:cs="Times New Roman"/>
          <w:sz w:val="24"/>
          <w:szCs w:val="24"/>
        </w:rPr>
      </w:pPr>
    </w:p>
    <w:p w14:paraId="5D837037" w14:textId="77777777" w:rsidR="00C93CCA" w:rsidRDefault="00C93CCA" w:rsidP="00C93CCA">
      <w:pPr>
        <w:pStyle w:val="Heading1"/>
        <w:numPr>
          <w:ilvl w:val="0"/>
          <w:numId w:val="1"/>
        </w:numPr>
        <w:rPr>
          <w:rFonts w:ascii="Times New Roman" w:eastAsia="Times New Roman" w:hAnsi="Times New Roman" w:cs="Times New Roman"/>
        </w:rPr>
      </w:pPr>
      <w:bookmarkStart w:id="9" w:name="_l39cv34vag4" w:colFirst="0" w:colLast="0"/>
      <w:bookmarkEnd w:id="9"/>
      <w:r>
        <w:rPr>
          <w:rFonts w:ascii="Times New Roman" w:eastAsia="Times New Roman" w:hAnsi="Times New Roman" w:cs="Times New Roman"/>
        </w:rPr>
        <w:t>CSR and Sustainability Objectives</w:t>
      </w:r>
    </w:p>
    <w:p w14:paraId="1674D8FB" w14:textId="77777777" w:rsidR="00C93CCA" w:rsidRDefault="00C93CCA" w:rsidP="0031532A">
      <w:pPr>
        <w:spacing w:before="80" w:after="80" w:line="360" w:lineRule="auto"/>
        <w:ind w:firstLine="43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CSR philosophy of Louis Vuitton lies within the larger framework of LVMH's LIFE 360 (LVMH Initiatives for the Environment), which offers a systematic strategy of environmental and social responsibility throughout its entire brand offering. This project identifies four strategic pillars: biodiversity, creative circularity, climate and transparency, reinforced by a series of quantifiable targets until 2030 (LVMH Sustainability Report, 2023). Sustainability as regards business alignments is not a reputation issue as such and it is a strategic need. The increasing regulatory scope in the European Union, including the Corporate Sustainability Reporting Directive (CSRD) is compelling LVMH and its brands to make environmental performance data more frequent and more rigorous which both entails compliance costs and provides reputational differentiation advantages.</w:t>
      </w:r>
    </w:p>
    <w:p w14:paraId="1BB4D759" w14:textId="1B3724FE" w:rsidR="00C93CCA" w:rsidRDefault="00C93CCA" w:rsidP="0031532A">
      <w:pPr>
        <w:spacing w:before="80" w:after="80" w:line="360" w:lineRule="auto"/>
        <w:ind w:firstLine="43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positive actions undertaken by Louis Vuitton have included the use of responsible leathers certified by the Leather Working Group, aiming to make all its operating stores directly carbon neutral by 2026, and venturing in the concept of circular design to make its products more durable and produce less waste. Social responsibility is the Fondation Louis Vuitton, a big cultural organization in Paris, which indicates the patronage of arts and the brand interest in the community. The social </w:t>
      </w:r>
      <w:r w:rsidR="0031532A">
        <w:rPr>
          <w:rFonts w:ascii="Times New Roman" w:eastAsia="Times New Roman" w:hAnsi="Times New Roman" w:cs="Times New Roman"/>
          <w:sz w:val="24"/>
          <w:szCs w:val="24"/>
        </w:rPr>
        <w:t>license</w:t>
      </w:r>
      <w:r>
        <w:rPr>
          <w:rFonts w:ascii="Times New Roman" w:eastAsia="Times New Roman" w:hAnsi="Times New Roman" w:cs="Times New Roman"/>
          <w:sz w:val="24"/>
          <w:szCs w:val="24"/>
        </w:rPr>
        <w:t xml:space="preserve"> to operate can also be strengthened by artisan training programmes and fair labour practices within its French ateliers.</w:t>
      </w:r>
    </w:p>
    <w:p w14:paraId="03B633B9" w14:textId="757731E7" w:rsidR="00C93CCA" w:rsidRDefault="00C93CCA" w:rsidP="0031532A">
      <w:pPr>
        <w:spacing w:before="80" w:after="80" w:line="360" w:lineRule="auto"/>
        <w:ind w:firstLine="43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Significantly, however, there is a strain between expansion requirements of Louis Vuitton into product lines, the opening of new retail shops, and an increase in the production quantities and volumes, on the one hand, against its sustainability requirements, on the other. The brand has also been criticized </w:t>
      </w:r>
      <w:proofErr w:type="gramStart"/>
      <w:r>
        <w:rPr>
          <w:rFonts w:ascii="Times New Roman" w:eastAsia="Times New Roman" w:hAnsi="Times New Roman" w:cs="Times New Roman"/>
          <w:sz w:val="24"/>
          <w:szCs w:val="24"/>
        </w:rPr>
        <w:t>on</w:t>
      </w:r>
      <w:proofErr w:type="gramEnd"/>
      <w:r>
        <w:rPr>
          <w:rFonts w:ascii="Times New Roman" w:eastAsia="Times New Roman" w:hAnsi="Times New Roman" w:cs="Times New Roman"/>
          <w:sz w:val="24"/>
          <w:szCs w:val="24"/>
        </w:rPr>
        <w:t xml:space="preserve"> </w:t>
      </w:r>
      <w:r w:rsidR="0031532A">
        <w:rPr>
          <w:rFonts w:ascii="Times New Roman" w:eastAsia="Times New Roman" w:hAnsi="Times New Roman" w:cs="Times New Roman"/>
          <w:sz w:val="24"/>
          <w:szCs w:val="24"/>
        </w:rPr>
        <w:t>continuing</w:t>
      </w:r>
      <w:r>
        <w:rPr>
          <w:rFonts w:ascii="Times New Roman" w:eastAsia="Times New Roman" w:hAnsi="Times New Roman" w:cs="Times New Roman"/>
          <w:sz w:val="24"/>
          <w:szCs w:val="24"/>
        </w:rPr>
        <w:t xml:space="preserve"> to use its exotic skin like crocodiles, python leathers and footprint of its retail expansion in the world. This correspondence between CSR strategy and business goals is aspirational in some areas, necessitating more significant and quantifiable pledges to meet the demands of eco-conscious luxury customers and stockholders to fullest potential (Crane and Matten, 2019).</w:t>
      </w:r>
    </w:p>
    <w:p w14:paraId="7FEAF122" w14:textId="77777777" w:rsidR="00C93CCA" w:rsidRDefault="00C93CCA" w:rsidP="00C93CCA">
      <w:pPr>
        <w:spacing w:before="40" w:after="40" w:line="360" w:lineRule="auto"/>
        <w:rPr>
          <w:rFonts w:ascii="Times New Roman" w:eastAsia="Times New Roman" w:hAnsi="Times New Roman" w:cs="Times New Roman"/>
          <w:sz w:val="24"/>
          <w:szCs w:val="24"/>
        </w:rPr>
      </w:pPr>
    </w:p>
    <w:p w14:paraId="733196A4" w14:textId="77777777" w:rsidR="00C93CCA" w:rsidRDefault="00C93CCA" w:rsidP="00C93CCA">
      <w:pPr>
        <w:pStyle w:val="Heading1"/>
        <w:numPr>
          <w:ilvl w:val="0"/>
          <w:numId w:val="1"/>
        </w:numPr>
        <w:rPr>
          <w:rFonts w:ascii="Times New Roman" w:eastAsia="Times New Roman" w:hAnsi="Times New Roman" w:cs="Times New Roman"/>
        </w:rPr>
      </w:pPr>
      <w:bookmarkStart w:id="10" w:name="_t87rpv3mbhi3" w:colFirst="0" w:colLast="0"/>
      <w:bookmarkEnd w:id="10"/>
      <w:r>
        <w:rPr>
          <w:rFonts w:ascii="Times New Roman" w:eastAsia="Times New Roman" w:hAnsi="Times New Roman" w:cs="Times New Roman"/>
        </w:rPr>
        <w:t>Comprehensive and Holistic View: Balanced Scorecard</w:t>
      </w:r>
    </w:p>
    <w:p w14:paraId="506D03FE" w14:textId="77777777" w:rsidR="00C93CCA" w:rsidRDefault="00C93CCA" w:rsidP="0031532A">
      <w:pPr>
        <w:spacing w:before="80" w:after="80" w:line="360" w:lineRule="auto"/>
        <w:ind w:firstLine="43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Balanced Scorecard is a multi-dimensional performance management tool that was created by Kaplan and Norton (1992) to be more inclusive of non-traditional financial measurement concepts to include customer, internal process and learning dimensions. For Louis Vuitton, the framework provides an all-encompassing approach of aligning strategic goals with operating performance indicators in four key facets.</w:t>
      </w:r>
    </w:p>
    <w:p w14:paraId="013F0F34" w14:textId="77777777" w:rsidR="00C93CCA" w:rsidRDefault="00C93CCA" w:rsidP="00C93CCA">
      <w:pPr>
        <w:spacing w:before="40" w:after="40" w:line="360" w:lineRule="auto"/>
        <w:rPr>
          <w:rFonts w:ascii="Times New Roman" w:eastAsia="Times New Roman" w:hAnsi="Times New Roman" w:cs="Times New Roman"/>
          <w:sz w:val="24"/>
          <w:szCs w:val="24"/>
        </w:rPr>
      </w:pPr>
    </w:p>
    <w:tbl>
      <w:tblPr>
        <w:tblW w:w="90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00"/>
        <w:gridCol w:w="2300"/>
        <w:gridCol w:w="1726"/>
        <w:gridCol w:w="1600"/>
        <w:gridCol w:w="1600"/>
      </w:tblGrid>
      <w:tr w:rsidR="00C93CCA" w14:paraId="0E64608C" w14:textId="77777777" w:rsidTr="009F5770">
        <w:tc>
          <w:tcPr>
            <w:tcW w:w="1800" w:type="dxa"/>
          </w:tcPr>
          <w:p w14:paraId="6B36EEE4"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Perspective</w:t>
            </w:r>
          </w:p>
        </w:tc>
        <w:tc>
          <w:tcPr>
            <w:tcW w:w="2300" w:type="dxa"/>
          </w:tcPr>
          <w:p w14:paraId="35779917"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Objective</w:t>
            </w:r>
          </w:p>
        </w:tc>
        <w:tc>
          <w:tcPr>
            <w:tcW w:w="1726" w:type="dxa"/>
          </w:tcPr>
          <w:p w14:paraId="4838DAE6"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KPI</w:t>
            </w:r>
          </w:p>
        </w:tc>
        <w:tc>
          <w:tcPr>
            <w:tcW w:w="1600" w:type="dxa"/>
          </w:tcPr>
          <w:p w14:paraId="483297B3"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Target</w:t>
            </w:r>
          </w:p>
        </w:tc>
        <w:tc>
          <w:tcPr>
            <w:tcW w:w="1600" w:type="dxa"/>
          </w:tcPr>
          <w:p w14:paraId="57F28851"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Initiative</w:t>
            </w:r>
          </w:p>
        </w:tc>
      </w:tr>
      <w:tr w:rsidR="00C93CCA" w14:paraId="16674C0D" w14:textId="77777777" w:rsidTr="009F5770">
        <w:tc>
          <w:tcPr>
            <w:tcW w:w="1800" w:type="dxa"/>
          </w:tcPr>
          <w:p w14:paraId="3BD89B86"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Financial</w:t>
            </w:r>
          </w:p>
        </w:tc>
        <w:tc>
          <w:tcPr>
            <w:tcW w:w="2300" w:type="dxa"/>
          </w:tcPr>
          <w:p w14:paraId="7FD33426"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Sustain revenue growth and profit margins</w:t>
            </w:r>
          </w:p>
        </w:tc>
        <w:tc>
          <w:tcPr>
            <w:tcW w:w="1726" w:type="dxa"/>
          </w:tcPr>
          <w:p w14:paraId="64849927"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Revenue growth %; Operating margin %</w:t>
            </w:r>
          </w:p>
        </w:tc>
        <w:tc>
          <w:tcPr>
            <w:tcW w:w="1600" w:type="dxa"/>
          </w:tcPr>
          <w:p w14:paraId="4DF4570B"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8-10% YoY revenue growth; 40%+ margin</w:t>
            </w:r>
          </w:p>
        </w:tc>
        <w:tc>
          <w:tcPr>
            <w:tcW w:w="1600" w:type="dxa"/>
          </w:tcPr>
          <w:p w14:paraId="31BC0DB9"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Price repositioning; category extension</w:t>
            </w:r>
          </w:p>
        </w:tc>
      </w:tr>
      <w:tr w:rsidR="00C93CCA" w14:paraId="5BEF356B" w14:textId="77777777" w:rsidTr="009F5770">
        <w:tc>
          <w:tcPr>
            <w:tcW w:w="1800" w:type="dxa"/>
          </w:tcPr>
          <w:p w14:paraId="13DD3A09"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Customer</w:t>
            </w:r>
          </w:p>
        </w:tc>
        <w:tc>
          <w:tcPr>
            <w:tcW w:w="2300" w:type="dxa"/>
          </w:tcPr>
          <w:p w14:paraId="29081E4C"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Strengthen brand desirability and loyalty</w:t>
            </w:r>
          </w:p>
        </w:tc>
        <w:tc>
          <w:tcPr>
            <w:tcW w:w="1726" w:type="dxa"/>
          </w:tcPr>
          <w:p w14:paraId="377F17D6"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Net Promoter Score; Client retention rate</w:t>
            </w:r>
          </w:p>
        </w:tc>
        <w:tc>
          <w:tcPr>
            <w:tcW w:w="1600" w:type="dxa"/>
          </w:tcPr>
          <w:p w14:paraId="21C2387F"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NPS &gt;75; Retention &gt;70%</w:t>
            </w:r>
          </w:p>
        </w:tc>
        <w:tc>
          <w:tcPr>
            <w:tcW w:w="1600" w:type="dxa"/>
          </w:tcPr>
          <w:p w14:paraId="32FE2C1D"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Client advisor programmes; VIC events</w:t>
            </w:r>
          </w:p>
        </w:tc>
      </w:tr>
      <w:tr w:rsidR="00C93CCA" w14:paraId="03CC1A94" w14:textId="77777777" w:rsidTr="009F5770">
        <w:tc>
          <w:tcPr>
            <w:tcW w:w="1800" w:type="dxa"/>
          </w:tcPr>
          <w:p w14:paraId="02E11E65"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Internal Business Processes</w:t>
            </w:r>
          </w:p>
        </w:tc>
        <w:tc>
          <w:tcPr>
            <w:tcW w:w="2300" w:type="dxa"/>
          </w:tcPr>
          <w:p w14:paraId="1157B7F9"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Maintain production quality and supply chain integrity</w:t>
            </w:r>
          </w:p>
        </w:tc>
        <w:tc>
          <w:tcPr>
            <w:tcW w:w="1726" w:type="dxa"/>
          </w:tcPr>
          <w:p w14:paraId="6D399689"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Defect rate; On-time delivery; Supplier audit scores</w:t>
            </w:r>
          </w:p>
        </w:tc>
        <w:tc>
          <w:tcPr>
            <w:tcW w:w="1600" w:type="dxa"/>
          </w:tcPr>
          <w:p w14:paraId="5550F6C3"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&lt;0.5% defect rate; 98% OTD; 100% audit compliance</w:t>
            </w:r>
          </w:p>
        </w:tc>
        <w:tc>
          <w:tcPr>
            <w:tcW w:w="1600" w:type="dxa"/>
          </w:tcPr>
          <w:p w14:paraId="1E176D62"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Lean atelier processes; supplier development</w:t>
            </w:r>
          </w:p>
        </w:tc>
      </w:tr>
      <w:tr w:rsidR="00C93CCA" w14:paraId="5BF06510" w14:textId="77777777" w:rsidTr="009F5770">
        <w:tc>
          <w:tcPr>
            <w:tcW w:w="1800" w:type="dxa"/>
          </w:tcPr>
          <w:p w14:paraId="4824484D"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Learning &amp; Growth</w:t>
            </w:r>
          </w:p>
        </w:tc>
        <w:tc>
          <w:tcPr>
            <w:tcW w:w="2300" w:type="dxa"/>
          </w:tcPr>
          <w:p w14:paraId="32F69614"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Develop creative and digital talent capabilities</w:t>
            </w:r>
          </w:p>
        </w:tc>
        <w:tc>
          <w:tcPr>
            <w:tcW w:w="1726" w:type="dxa"/>
          </w:tcPr>
          <w:p w14:paraId="38E84A84"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Training hours per employee; Digital skill index</w:t>
            </w:r>
          </w:p>
        </w:tc>
        <w:tc>
          <w:tcPr>
            <w:tcW w:w="1600" w:type="dxa"/>
          </w:tcPr>
          <w:p w14:paraId="427F8E35"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50+ hours/year; Digital </w:t>
            </w:r>
            <w:proofErr w:type="gramStart"/>
            <w:r>
              <w:rPr>
                <w:rFonts w:ascii="Times New Roman" w:eastAsia="Times New Roman" w:hAnsi="Times New Roman" w:cs="Times New Roman"/>
                <w:sz w:val="24"/>
                <w:szCs w:val="24"/>
              </w:rPr>
              <w:t>upskilling</w:t>
            </w:r>
            <w:proofErr w:type="gramEnd"/>
            <w:r>
              <w:rPr>
                <w:rFonts w:ascii="Times New Roman" w:eastAsia="Times New Roman" w:hAnsi="Times New Roman" w:cs="Times New Roman"/>
                <w:sz w:val="24"/>
                <w:szCs w:val="24"/>
              </w:rPr>
              <w:t xml:space="preserve"> of 80% staff</w:t>
            </w:r>
          </w:p>
        </w:tc>
        <w:tc>
          <w:tcPr>
            <w:tcW w:w="1600" w:type="dxa"/>
          </w:tcPr>
          <w:p w14:paraId="327F6271"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LVMH Institut des Métiers d'Excellence; digital academy</w:t>
            </w:r>
          </w:p>
        </w:tc>
      </w:tr>
    </w:tbl>
    <w:p w14:paraId="3061F2C0" w14:textId="77777777" w:rsidR="00C93CCA" w:rsidRDefault="00C93CCA" w:rsidP="00C93CCA">
      <w:pPr>
        <w:spacing w:before="40" w:after="40" w:line="360" w:lineRule="auto"/>
        <w:rPr>
          <w:rFonts w:ascii="Times New Roman" w:eastAsia="Times New Roman" w:hAnsi="Times New Roman" w:cs="Times New Roman"/>
          <w:b/>
          <w:bCs/>
          <w:sz w:val="24"/>
          <w:szCs w:val="24"/>
        </w:rPr>
      </w:pPr>
    </w:p>
    <w:p w14:paraId="38AA84B8" w14:textId="77777777" w:rsidR="00C93CCA" w:rsidRDefault="00C93CCA" w:rsidP="00C93CCA">
      <w:pPr>
        <w:spacing w:before="40" w:after="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3: Balanced Scorecard Strategy Map</w:t>
      </w:r>
    </w:p>
    <w:p w14:paraId="00B25FF0" w14:textId="77777777" w:rsidR="00C93CCA" w:rsidRDefault="00C93CCA" w:rsidP="00C93CCA">
      <w:pPr>
        <w:spacing w:before="40" w:after="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0" distB="0" distL="0" distR="0" wp14:anchorId="204AF1D3" wp14:editId="762C0198">
            <wp:extent cx="4273963" cy="2849309"/>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273963" cy="2849309"/>
                    </a:xfrm>
                    <a:prstGeom prst="rect">
                      <a:avLst/>
                    </a:prstGeom>
                    <a:ln/>
                  </pic:spPr>
                </pic:pic>
              </a:graphicData>
            </a:graphic>
          </wp:inline>
        </w:drawing>
      </w:r>
    </w:p>
    <w:p w14:paraId="56172C8A" w14:textId="5FD8879C" w:rsidR="00C93CCA" w:rsidRDefault="00C93CCA" w:rsidP="009A289D">
      <w:pPr>
        <w:spacing w:before="80" w:after="8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a Financial perspective, Louis Vuitton's primary objective is to sustain revenue growth while protecting and enhancing its industry-leading operating margins. Key performance indicators are year-on-year revenue growth and operating margin percentage. The fashion and leather goods unit of LVMH with Louis Vuitton as the largest contributor recorded an operating margin of some 40% in 2023, which compares to the highest in the world luxury market (LVMH Annual Report, 2023). The strategic measures to maintain financial performance are selective price growth, diversification of the revenue streams by expansion in the higher price areas as they include high </w:t>
      </w:r>
      <w:r w:rsidR="009A289D">
        <w:rPr>
          <w:rFonts w:ascii="Times New Roman" w:eastAsia="Times New Roman" w:hAnsi="Times New Roman" w:cs="Times New Roman"/>
          <w:sz w:val="24"/>
          <w:szCs w:val="24"/>
        </w:rPr>
        <w:t>jewelry</w:t>
      </w:r>
      <w:r>
        <w:rPr>
          <w:rFonts w:ascii="Times New Roman" w:eastAsia="Times New Roman" w:hAnsi="Times New Roman" w:cs="Times New Roman"/>
          <w:sz w:val="24"/>
          <w:szCs w:val="24"/>
        </w:rPr>
        <w:t>, and diversification of the geographical locations.</w:t>
      </w:r>
    </w:p>
    <w:p w14:paraId="5214865F" w14:textId="77777777" w:rsidR="00C93CCA" w:rsidRDefault="00C93CCA" w:rsidP="009A289D">
      <w:pPr>
        <w:spacing w:before="80" w:after="8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Customer Vision is anchored on strengthening brand desirability, strengthening customer relationships, and expanding the Very Important Client (VIC) programme. The most important are Net Promoter Score and client retention because Louis Vuitton has been spending </w:t>
      </w:r>
      <w:r>
        <w:rPr>
          <w:rFonts w:ascii="Times New Roman" w:eastAsia="Times New Roman" w:hAnsi="Times New Roman" w:cs="Times New Roman"/>
          <w:sz w:val="24"/>
          <w:szCs w:val="24"/>
        </w:rPr>
        <w:lastRenderedPageBreak/>
        <w:t>a lot on one-on-one client advisor relationships, exclusive preview access and custom product development to grow long-term loyalty to its highest-value clients.</w:t>
      </w:r>
    </w:p>
    <w:p w14:paraId="7873C074" w14:textId="77777777" w:rsidR="00C93CCA" w:rsidRDefault="00C93CCA" w:rsidP="009A289D">
      <w:pPr>
        <w:spacing w:before="80" w:after="8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Internal Business Processes school faces the challenge of preserving the identical artisanal values of quality that naturally underpin brand positioning, supply chain integrity, and optimizing of operational processes within their network of ateliers. With craftsmanship being the fundamental Louis Vuitton value propositions, the defect rates, on-time delivery rates, and audit scores of suppliers are the crucial operational performance parameters that directly influence the customer satisfaction and brand loyalty.</w:t>
      </w:r>
    </w:p>
    <w:p w14:paraId="0BAB0918" w14:textId="77777777" w:rsidR="00C93CCA" w:rsidRDefault="00C93CCA" w:rsidP="009A289D">
      <w:pPr>
        <w:spacing w:before="80" w:after="80" w:line="360" w:lineRule="auto"/>
        <w:ind w:firstLine="43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Learning and Growth perspective acknowledges that to ensure the company continues to have competitive advantage in the luxury category, it needs to have a consistent investment in human capital, talent and innovative skills and digital capabilities. The LVMH Institut des Métiers d'Excellence (IME), which provides apprenticeship and training programmes in luxury craftsmanship, represents a flagship initiative in this regard. Digital upskilling programs, such as training in e-commerce, data analytics and digital marketing continue to prepare the workforce to maneuver the new reality of the luxury world.</w:t>
      </w:r>
    </w:p>
    <w:p w14:paraId="3B88A760" w14:textId="77777777" w:rsidR="00C93CCA" w:rsidRDefault="00C93CCA" w:rsidP="00C93CCA">
      <w:pPr>
        <w:spacing w:before="40" w:after="40" w:line="360" w:lineRule="auto"/>
        <w:rPr>
          <w:rFonts w:ascii="Times New Roman" w:eastAsia="Times New Roman" w:hAnsi="Times New Roman" w:cs="Times New Roman"/>
          <w:sz w:val="24"/>
          <w:szCs w:val="24"/>
        </w:rPr>
      </w:pPr>
    </w:p>
    <w:p w14:paraId="0489D68F" w14:textId="77777777" w:rsidR="00C93CCA" w:rsidRDefault="00C93CCA" w:rsidP="00C93CCA">
      <w:pPr>
        <w:pStyle w:val="Heading1"/>
        <w:numPr>
          <w:ilvl w:val="0"/>
          <w:numId w:val="1"/>
        </w:numPr>
        <w:rPr>
          <w:rFonts w:ascii="Times New Roman" w:eastAsia="Times New Roman" w:hAnsi="Times New Roman" w:cs="Times New Roman"/>
        </w:rPr>
      </w:pPr>
      <w:bookmarkStart w:id="11" w:name="_owytpvcoz9it" w:colFirst="0" w:colLast="0"/>
      <w:bookmarkEnd w:id="11"/>
      <w:r>
        <w:rPr>
          <w:rFonts w:ascii="Times New Roman" w:eastAsia="Times New Roman" w:hAnsi="Times New Roman" w:cs="Times New Roman"/>
        </w:rPr>
        <w:t>Strategic Choices and Implementation</w:t>
      </w:r>
    </w:p>
    <w:p w14:paraId="36F8E6C5" w14:textId="77777777" w:rsidR="00C93CCA" w:rsidRDefault="00C93CCA" w:rsidP="00C93CCA">
      <w:pPr>
        <w:pStyle w:val="Heading2"/>
        <w:numPr>
          <w:ilvl w:val="1"/>
          <w:numId w:val="1"/>
        </w:numPr>
        <w:rPr>
          <w:rFonts w:ascii="Times New Roman" w:eastAsia="Times New Roman" w:hAnsi="Times New Roman" w:cs="Times New Roman"/>
        </w:rPr>
      </w:pPr>
      <w:bookmarkStart w:id="12" w:name="_z9a8mtbvw8l5" w:colFirst="0" w:colLast="0"/>
      <w:bookmarkEnd w:id="12"/>
      <w:r>
        <w:rPr>
          <w:rFonts w:ascii="Times New Roman" w:eastAsia="Times New Roman" w:hAnsi="Times New Roman" w:cs="Times New Roman"/>
        </w:rPr>
        <w:t>Business-Level and Corporate-Level Strategic Options</w:t>
      </w:r>
    </w:p>
    <w:p w14:paraId="05B9DD99" w14:textId="77777777" w:rsidR="00C93CCA" w:rsidRDefault="00C93CCA" w:rsidP="009A289D">
      <w:pPr>
        <w:spacing w:before="80" w:after="80" w:line="360" w:lineRule="auto"/>
        <w:ind w:firstLine="57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business level, Porters (1985) generic strategies model presents three major competitive positioning strategies, such as cost leadership strategy, differentiation strategy, and focus strategy. For Louis Vuitton, a differentiation strategy is unequivocally the appropriate and historically established choice. The brand does not compete based on price, cost-efficiency, but based on the feel of exclusivity and desirability, and high quality of the products, which command high price gaps in all the categories. This distinction is maintained by persistent investment in design innovation, heritage narration and selective distribution -mechanisms that in combination, this merits top prices and shields the brand against direct price competition (Porter, 1985).</w:t>
      </w:r>
    </w:p>
    <w:p w14:paraId="4676FBBE" w14:textId="7F189941" w:rsidR="00C93CCA" w:rsidRDefault="00C93CCA" w:rsidP="009A289D">
      <w:pPr>
        <w:spacing w:before="80" w:after="80" w:line="360" w:lineRule="auto"/>
        <w:ind w:firstLine="57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hybrid focus-differentiation tactic is also observed in how Louis Vuitton specializes in certain lines of products and customers. The haute maroquinerie and high </w:t>
      </w:r>
      <w:r w:rsidR="009A289D">
        <w:rPr>
          <w:rFonts w:ascii="Times New Roman" w:eastAsia="Times New Roman" w:hAnsi="Times New Roman" w:cs="Times New Roman"/>
          <w:sz w:val="24"/>
          <w:szCs w:val="24"/>
        </w:rPr>
        <w:t>jewelry</w:t>
      </w:r>
      <w:r>
        <w:rPr>
          <w:rFonts w:ascii="Times New Roman" w:eastAsia="Times New Roman" w:hAnsi="Times New Roman" w:cs="Times New Roman"/>
          <w:sz w:val="24"/>
          <w:szCs w:val="24"/>
        </w:rPr>
        <w:t xml:space="preserve"> collections of the brand, such as an example, exemplify an extreme differentiation strategy, serving ultra-</w:t>
      </w:r>
      <w:r>
        <w:rPr>
          <w:rFonts w:ascii="Times New Roman" w:eastAsia="Times New Roman" w:hAnsi="Times New Roman" w:cs="Times New Roman"/>
          <w:sz w:val="24"/>
          <w:szCs w:val="24"/>
        </w:rPr>
        <w:lastRenderedPageBreak/>
        <w:t>high-net-worth purchasers with bespoke commissions and invitation-only purchasing experiences to further reinforce exclusivity on the top end of the luxury hierarchy.</w:t>
      </w:r>
    </w:p>
    <w:p w14:paraId="5DA47499" w14:textId="6ABC84F3" w:rsidR="00C93CCA" w:rsidRDefault="00C93CCA" w:rsidP="009A289D">
      <w:pPr>
        <w:spacing w:before="80" w:after="80" w:line="360" w:lineRule="auto"/>
        <w:ind w:firstLine="57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 the corporate level, LVMH and Louis Vuitton pursue several strategic options simultaneously. Related diversification - expansion of Louis Vuitton to include other product lines like watches, </w:t>
      </w:r>
      <w:r w:rsidR="009A289D">
        <w:rPr>
          <w:rFonts w:ascii="Times New Roman" w:eastAsia="Times New Roman" w:hAnsi="Times New Roman" w:cs="Times New Roman"/>
          <w:sz w:val="24"/>
          <w:szCs w:val="24"/>
        </w:rPr>
        <w:t>jewelry</w:t>
      </w:r>
      <w:r>
        <w:rPr>
          <w:rFonts w:ascii="Times New Roman" w:eastAsia="Times New Roman" w:hAnsi="Times New Roman" w:cs="Times New Roman"/>
          <w:sz w:val="24"/>
          <w:szCs w:val="24"/>
        </w:rPr>
        <w:t xml:space="preserve"> and fragrances can capitalize on the brand equity to create incremental revenues without sacrificing the consistency with the original luxury positioning. Global growth is still a fundamental aspect of company policy, and Louis Vuitton is still investing in the new high-end trends of emerging economies such as Southeast Asia, India and Middle East. The new flagship stores in Mumbai and the Gulf states are also symptoms of a planned diversification in geography aimed at decreasing the reliance on a particular market (Chevalier and Mazzalovo, 2021).</w:t>
      </w:r>
    </w:p>
    <w:p w14:paraId="091A03DA" w14:textId="77777777" w:rsidR="00C93CCA" w:rsidRDefault="00C93CCA" w:rsidP="009A289D">
      <w:pPr>
        <w:spacing w:before="80" w:after="80" w:line="360" w:lineRule="auto"/>
        <w:ind w:firstLine="57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suggested strategic direction would focus on consolidation of the differentiation strategy at business level in addition to selective expansion of geographically at corporate level, into India, and Southeast Asia. India is a strong long-term growth prospect, with its fast increasing ultra-high-net-worth population and rich sense of craftsmanship heritage. This suggestion is underpinning McKinsey and Company (2023) forecasts that showed that India will be among the hottest luxury markets in the world by the year 2030. At the same time, the brand must be cautious of diversification policies that threaten to dilute the brand, and it must maintain the focus to diversify only into areas where the culture of craftsmanship of Louis Vuitton can be given an authentic credibility.</w:t>
      </w:r>
    </w:p>
    <w:p w14:paraId="461275BF" w14:textId="77777777" w:rsidR="00C93CCA" w:rsidRDefault="00C93CCA" w:rsidP="00C93CCA">
      <w:pPr>
        <w:spacing w:before="40" w:after="40" w:line="360" w:lineRule="auto"/>
        <w:rPr>
          <w:rFonts w:ascii="Times New Roman" w:eastAsia="Times New Roman" w:hAnsi="Times New Roman" w:cs="Times New Roman"/>
          <w:sz w:val="24"/>
          <w:szCs w:val="24"/>
        </w:rPr>
      </w:pPr>
    </w:p>
    <w:p w14:paraId="4D3BF907" w14:textId="77777777" w:rsidR="00C93CCA" w:rsidRDefault="00C93CCA" w:rsidP="00C93CCA">
      <w:pPr>
        <w:pStyle w:val="Heading2"/>
        <w:numPr>
          <w:ilvl w:val="1"/>
          <w:numId w:val="1"/>
        </w:numPr>
        <w:rPr>
          <w:rFonts w:ascii="Times New Roman" w:eastAsia="Times New Roman" w:hAnsi="Times New Roman" w:cs="Times New Roman"/>
        </w:rPr>
      </w:pPr>
      <w:bookmarkStart w:id="13" w:name="_too9rn45fski" w:colFirst="0" w:colLast="0"/>
      <w:bookmarkEnd w:id="13"/>
      <w:r>
        <w:rPr>
          <w:rFonts w:ascii="Times New Roman" w:eastAsia="Times New Roman" w:hAnsi="Times New Roman" w:cs="Times New Roman"/>
        </w:rPr>
        <w:t>Change Management and Strategic Implementation</w:t>
      </w:r>
    </w:p>
    <w:p w14:paraId="10CD56D1" w14:textId="77777777" w:rsidR="00C93CCA" w:rsidRDefault="00C93CCA" w:rsidP="009A289D">
      <w:pPr>
        <w:spacing w:before="80" w:after="80" w:line="360" w:lineRule="auto"/>
        <w:ind w:firstLine="57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Louis Vuitton has demonstrated great organisational agility in handling the strategic change. The transition to digital commerce (which, in turn, became much easier due to the COVID-19 crisis) required rapid capacity building in the e-commerce system itself and infrastructure, electronic marketing, and virtual services customer-facing without jeopardizing the brand and its promise to experience luxury. The management of this transformation was undertaken as a progressive digital integration plan with a preference towards improving the physical retail experience and not cannibalising it, which was part of recognising that the in-store experience continues to play a crucial role in the Louis Vuitton value proposition (LVMH Annual Report, 2022).</w:t>
      </w:r>
    </w:p>
    <w:p w14:paraId="3088382A" w14:textId="10820E21" w:rsidR="00C93CCA" w:rsidRDefault="00C93CCA" w:rsidP="009A289D">
      <w:pPr>
        <w:spacing w:before="80" w:after="80" w:line="360" w:lineRule="auto"/>
        <w:ind w:firstLine="43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change of the new creative directors has also been handled well, a constant dilemma in the luxury industry. The change of Virgil Abloh to Pharrell Williams in the menswear line as part of the transformative shift represents the ability of the brand to retain culturally relevant talent and ensure strategic continuity. However, sustainability engagements made as part of operational activities have been a lower implementation area of concern as compared to expressed goals, and thus better mechanisms of internal governance and responsibility frameworks are necessary to ensure strategic intent </w:t>
      </w:r>
      <w:r w:rsidR="00B36B41">
        <w:rPr>
          <w:rFonts w:ascii="Times New Roman" w:eastAsia="Times New Roman" w:hAnsi="Times New Roman" w:cs="Times New Roman"/>
          <w:sz w:val="24"/>
          <w:szCs w:val="24"/>
        </w:rPr>
        <w:t>deliveries</w:t>
      </w:r>
      <w:r>
        <w:rPr>
          <w:rFonts w:ascii="Times New Roman" w:eastAsia="Times New Roman" w:hAnsi="Times New Roman" w:cs="Times New Roman"/>
          <w:sz w:val="24"/>
          <w:szCs w:val="24"/>
        </w:rPr>
        <w:t xml:space="preserve"> on tangible results (Crane and Matten, 2019).</w:t>
      </w:r>
    </w:p>
    <w:p w14:paraId="74DF6B7C" w14:textId="77777777" w:rsidR="00C93CCA" w:rsidRDefault="00C93CCA" w:rsidP="00C93CCA">
      <w:pPr>
        <w:spacing w:before="40" w:after="40" w:line="360" w:lineRule="auto"/>
        <w:rPr>
          <w:rFonts w:ascii="Times New Roman" w:eastAsia="Times New Roman" w:hAnsi="Times New Roman" w:cs="Times New Roman"/>
          <w:sz w:val="24"/>
          <w:szCs w:val="24"/>
        </w:rPr>
      </w:pPr>
    </w:p>
    <w:p w14:paraId="3A2B7825" w14:textId="77777777" w:rsidR="00C93CCA" w:rsidRDefault="00C93CCA" w:rsidP="00C93CCA">
      <w:pPr>
        <w:pStyle w:val="Heading1"/>
        <w:numPr>
          <w:ilvl w:val="0"/>
          <w:numId w:val="1"/>
        </w:numPr>
        <w:rPr>
          <w:rFonts w:ascii="Times New Roman" w:eastAsia="Times New Roman" w:hAnsi="Times New Roman" w:cs="Times New Roman"/>
        </w:rPr>
      </w:pPr>
      <w:bookmarkStart w:id="14" w:name="_if9jfo9mf01x" w:colFirst="0" w:colLast="0"/>
      <w:bookmarkEnd w:id="14"/>
      <w:r>
        <w:rPr>
          <w:rFonts w:ascii="Times New Roman" w:eastAsia="Times New Roman" w:hAnsi="Times New Roman" w:cs="Times New Roman"/>
        </w:rPr>
        <w:t>Strategic Evaluation and Recommendations</w:t>
      </w:r>
    </w:p>
    <w:p w14:paraId="30AD0646" w14:textId="77777777" w:rsidR="00C93CCA" w:rsidRDefault="00C93CCA" w:rsidP="00C93CCA">
      <w:pPr>
        <w:pStyle w:val="Heading2"/>
        <w:numPr>
          <w:ilvl w:val="1"/>
          <w:numId w:val="1"/>
        </w:numPr>
        <w:rPr>
          <w:rFonts w:ascii="Times New Roman" w:eastAsia="Times New Roman" w:hAnsi="Times New Roman" w:cs="Times New Roman"/>
        </w:rPr>
      </w:pPr>
      <w:bookmarkStart w:id="15" w:name="_vijfbvbobpmo" w:colFirst="0" w:colLast="0"/>
      <w:bookmarkEnd w:id="15"/>
      <w:r>
        <w:rPr>
          <w:rFonts w:ascii="Times New Roman" w:eastAsia="Times New Roman" w:hAnsi="Times New Roman" w:cs="Times New Roman"/>
        </w:rPr>
        <w:t>SWOT Analysis</w:t>
      </w:r>
    </w:p>
    <w:p w14:paraId="78D6754E" w14:textId="77777777" w:rsidR="00C93CCA" w:rsidRDefault="00C93CCA" w:rsidP="00C93CCA">
      <w:pPr>
        <w:rPr>
          <w:rFonts w:ascii="Times New Roman" w:eastAsia="Times New Roman" w:hAnsi="Times New Roman" w:cs="Times New Roman"/>
          <w:sz w:val="24"/>
          <w:szCs w:val="24"/>
        </w:rPr>
      </w:pPr>
    </w:p>
    <w:tbl>
      <w:tblPr>
        <w:tblW w:w="90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3"/>
        <w:gridCol w:w="4513"/>
      </w:tblGrid>
      <w:tr w:rsidR="00C93CCA" w14:paraId="1FDEE2A2" w14:textId="77777777" w:rsidTr="009F5770">
        <w:tc>
          <w:tcPr>
            <w:tcW w:w="4513" w:type="dxa"/>
          </w:tcPr>
          <w:p w14:paraId="565F3549"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STRENGTHS</w:t>
            </w:r>
          </w:p>
        </w:tc>
        <w:tc>
          <w:tcPr>
            <w:tcW w:w="4513" w:type="dxa"/>
          </w:tcPr>
          <w:p w14:paraId="1D8C066A"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WEAKNESSES</w:t>
            </w:r>
          </w:p>
        </w:tc>
      </w:tr>
      <w:tr w:rsidR="00C93CCA" w14:paraId="1C441275" w14:textId="77777777" w:rsidTr="009F5770">
        <w:tc>
          <w:tcPr>
            <w:tcW w:w="4513" w:type="dxa"/>
          </w:tcPr>
          <w:p w14:paraId="44A91753"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World's most recognised luxury brand (Interbrand, 2023); Vertically integrated supply chain; 170-year heritage and artisanal expertise; High operating margins (~40%); Strong LVMH group financial backing; Exclusive retail distribution model; Strong VIC programme and client relationships</w:t>
            </w:r>
          </w:p>
        </w:tc>
        <w:tc>
          <w:tcPr>
            <w:tcW w:w="4513" w:type="dxa"/>
          </w:tcPr>
          <w:p w14:paraId="25F0A704"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Heavy revenue concentration in fashion and leather goods; Continued reliance on exotic materials (reputational risk); Exposure to Chinese consumer demand volatility; Premium pricing limits addressable market; Difficulty scaling personalisation at volume; Limited digital revenue penetration relative to brand size</w:t>
            </w:r>
          </w:p>
        </w:tc>
      </w:tr>
      <w:tr w:rsidR="00C93CCA" w14:paraId="0DE3EB1B" w14:textId="77777777" w:rsidTr="009F5770">
        <w:tc>
          <w:tcPr>
            <w:tcW w:w="4513" w:type="dxa"/>
          </w:tcPr>
          <w:p w14:paraId="7A84C959"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OPPORTUNITIES</w:t>
            </w:r>
          </w:p>
        </w:tc>
        <w:tc>
          <w:tcPr>
            <w:tcW w:w="4513" w:type="dxa"/>
          </w:tcPr>
          <w:p w14:paraId="532D5A09"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THREATS</w:t>
            </w:r>
          </w:p>
        </w:tc>
      </w:tr>
      <w:tr w:rsidR="00C93CCA" w14:paraId="548BA571" w14:textId="77777777" w:rsidTr="009F5770">
        <w:tc>
          <w:tcPr>
            <w:tcW w:w="4513" w:type="dxa"/>
          </w:tcPr>
          <w:p w14:paraId="7BBF2A7F" w14:textId="7B89EC20"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Rapid luxury market growth in India, Southeast Asia, and Middle East; Digital luxury commerce expansion; NFT and digital product authentication; Sustainability leadership as competitive differentiator; High </w:t>
            </w:r>
            <w:r w:rsidR="00B36B41">
              <w:rPr>
                <w:rFonts w:ascii="Times New Roman" w:eastAsia="Times New Roman" w:hAnsi="Times New Roman" w:cs="Times New Roman"/>
                <w:sz w:val="24"/>
                <w:szCs w:val="24"/>
              </w:rPr>
              <w:t>jewelry</w:t>
            </w:r>
            <w:r>
              <w:rPr>
                <w:rFonts w:ascii="Times New Roman" w:eastAsia="Times New Roman" w:hAnsi="Times New Roman" w:cs="Times New Roman"/>
                <w:sz w:val="24"/>
                <w:szCs w:val="24"/>
              </w:rPr>
              <w:t xml:space="preserve"> and watchmaking category growth; Brand collaborations with contemporary cultural figures</w:t>
            </w:r>
          </w:p>
        </w:tc>
        <w:tc>
          <w:tcPr>
            <w:tcW w:w="4513" w:type="dxa"/>
          </w:tcPr>
          <w:p w14:paraId="6FCE331C" w14:textId="77777777" w:rsidR="00C93CCA" w:rsidRDefault="00C93CCA" w:rsidP="009F577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Geopolitical tensions impacting Chinese consumer confidence; Increasing counterfeiting sophistication; Greenwashing regulatory risk; Talent competition for creative directors; Consumer fatigue with logo-centric products; Digital disruptors and resale market growth (The RealReal, Vestiaire Collective)</w:t>
            </w:r>
          </w:p>
        </w:tc>
      </w:tr>
    </w:tbl>
    <w:p w14:paraId="0C56CC07" w14:textId="77777777" w:rsidR="00C93CCA" w:rsidRDefault="00C93CCA" w:rsidP="00C93CCA">
      <w:pPr>
        <w:spacing w:before="40" w:after="40" w:line="360" w:lineRule="auto"/>
        <w:rPr>
          <w:rFonts w:ascii="Times New Roman" w:eastAsia="Times New Roman" w:hAnsi="Times New Roman" w:cs="Times New Roman"/>
          <w:sz w:val="24"/>
          <w:szCs w:val="24"/>
        </w:rPr>
      </w:pPr>
    </w:p>
    <w:p w14:paraId="78DDD233" w14:textId="77777777" w:rsidR="00C93CCA" w:rsidRDefault="00C93CCA" w:rsidP="00C93CCA">
      <w:pPr>
        <w:pStyle w:val="Heading2"/>
        <w:numPr>
          <w:ilvl w:val="1"/>
          <w:numId w:val="1"/>
        </w:numPr>
        <w:rPr>
          <w:rFonts w:ascii="Times New Roman" w:eastAsia="Times New Roman" w:hAnsi="Times New Roman" w:cs="Times New Roman"/>
        </w:rPr>
      </w:pPr>
      <w:bookmarkStart w:id="16" w:name="_cfyop3g65bz2" w:colFirst="0" w:colLast="0"/>
      <w:bookmarkEnd w:id="16"/>
      <w:r>
        <w:rPr>
          <w:rFonts w:ascii="Times New Roman" w:eastAsia="Times New Roman" w:hAnsi="Times New Roman" w:cs="Times New Roman"/>
        </w:rPr>
        <w:t>Ansoff Matrix Analysis</w:t>
      </w:r>
    </w:p>
    <w:p w14:paraId="70D5EE6D" w14:textId="77777777" w:rsidR="00C93CCA" w:rsidRDefault="00C93CCA" w:rsidP="00C93CCA">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4: Ansoff Matrix for Louis Vuitton</w:t>
      </w:r>
    </w:p>
    <w:p w14:paraId="5A28CE32" w14:textId="77777777" w:rsidR="00C93CCA" w:rsidRDefault="00C93CCA" w:rsidP="00C93CCA">
      <w:pPr>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0" distB="0" distL="0" distR="0" wp14:anchorId="11460B2C" wp14:editId="472760A4">
            <wp:extent cx="2784568" cy="2228448"/>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2784568" cy="2228448"/>
                    </a:xfrm>
                    <a:prstGeom prst="rect">
                      <a:avLst/>
                    </a:prstGeom>
                    <a:ln/>
                  </pic:spPr>
                </pic:pic>
              </a:graphicData>
            </a:graphic>
          </wp:inline>
        </w:drawing>
      </w:r>
    </w:p>
    <w:p w14:paraId="6A7B4514" w14:textId="77777777" w:rsidR="00C93CCA" w:rsidRDefault="00C93CCA" w:rsidP="00B36B41">
      <w:pPr>
        <w:spacing w:before="80" w:after="8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Matrix of Ansoff (1957) offers an estimate of growth strategies in the realm of four quadrants: market penetration, market development, product development and diversification. The present strategic portfolio of Louis Vuitton cuts across several quadrants at the same time, indicative of the maturity of the brand and its multi-dimensional growth aspirations.</w:t>
      </w:r>
    </w:p>
    <w:p w14:paraId="16160635" w14:textId="77777777" w:rsidR="00C93CCA" w:rsidRDefault="00C93CCA" w:rsidP="00B36B41">
      <w:pPr>
        <w:spacing w:before="80" w:after="80" w:line="360" w:lineRule="auto"/>
        <w:ind w:firstLine="57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market penetration is sought by engaging deeper into the current customers in the old markets, i.e. Europe and the US by repositioning their price and the VIC programmes and by creating better in-store experiences. Geographical expansion of the brand Under market development can be seen in the geographic expansion of the brand in India, the Middle East, and in the smaller cities in Asia where there is a fast rise in luxury consumption by newly affluent consumers. Product development is manifested in the spread of high </w:t>
      </w:r>
      <w:proofErr w:type="spellStart"/>
      <w:r>
        <w:rPr>
          <w:rFonts w:ascii="Times New Roman" w:eastAsia="Times New Roman" w:hAnsi="Times New Roman" w:cs="Times New Roman"/>
          <w:sz w:val="24"/>
          <w:szCs w:val="24"/>
        </w:rPr>
        <w:t>jewellery</w:t>
      </w:r>
      <w:proofErr w:type="spellEnd"/>
      <w:r>
        <w:rPr>
          <w:rFonts w:ascii="Times New Roman" w:eastAsia="Times New Roman" w:hAnsi="Times New Roman" w:cs="Times New Roman"/>
          <w:sz w:val="24"/>
          <w:szCs w:val="24"/>
        </w:rPr>
        <w:t xml:space="preserve"> or fine watchmaking, and electronic products such as NFT-linked collectibles. The riskiest quadrant (diversification) is pursued moderately, making the brand venture into categories where the distinctions of Louis Vuitton offer legitimate positioning.</w:t>
      </w:r>
    </w:p>
    <w:p w14:paraId="65F8CEFB" w14:textId="77777777" w:rsidR="00C93CCA" w:rsidRDefault="00C93CCA" w:rsidP="00C93CCA">
      <w:pPr>
        <w:spacing w:before="40" w:after="40" w:line="360" w:lineRule="auto"/>
        <w:rPr>
          <w:rFonts w:ascii="Times New Roman" w:eastAsia="Times New Roman" w:hAnsi="Times New Roman" w:cs="Times New Roman"/>
          <w:sz w:val="24"/>
          <w:szCs w:val="24"/>
        </w:rPr>
      </w:pPr>
    </w:p>
    <w:p w14:paraId="7BE9BAB9" w14:textId="77777777" w:rsidR="00B36B41" w:rsidRDefault="00B36B41" w:rsidP="00C93CCA">
      <w:pPr>
        <w:spacing w:before="40" w:after="40" w:line="360" w:lineRule="auto"/>
        <w:rPr>
          <w:rFonts w:ascii="Times New Roman" w:eastAsia="Times New Roman" w:hAnsi="Times New Roman" w:cs="Times New Roman"/>
          <w:sz w:val="24"/>
          <w:szCs w:val="24"/>
        </w:rPr>
      </w:pPr>
    </w:p>
    <w:p w14:paraId="2002719F" w14:textId="77777777" w:rsidR="00B36B41" w:rsidRDefault="00B36B41" w:rsidP="00C93CCA">
      <w:pPr>
        <w:spacing w:before="40" w:after="40" w:line="360" w:lineRule="auto"/>
        <w:rPr>
          <w:rFonts w:ascii="Times New Roman" w:eastAsia="Times New Roman" w:hAnsi="Times New Roman" w:cs="Times New Roman"/>
          <w:sz w:val="24"/>
          <w:szCs w:val="24"/>
        </w:rPr>
      </w:pPr>
    </w:p>
    <w:p w14:paraId="25A22CF5" w14:textId="77777777" w:rsidR="00B36B41" w:rsidRDefault="00B36B41" w:rsidP="00C93CCA">
      <w:pPr>
        <w:spacing w:before="40" w:after="40" w:line="360" w:lineRule="auto"/>
        <w:rPr>
          <w:rFonts w:ascii="Times New Roman" w:eastAsia="Times New Roman" w:hAnsi="Times New Roman" w:cs="Times New Roman"/>
          <w:sz w:val="24"/>
          <w:szCs w:val="24"/>
        </w:rPr>
      </w:pPr>
    </w:p>
    <w:p w14:paraId="15296813" w14:textId="77777777" w:rsidR="00C93CCA" w:rsidRDefault="00C93CCA" w:rsidP="00C93CCA">
      <w:pPr>
        <w:spacing w:before="40" w:after="40" w:line="360" w:lineRule="auto"/>
        <w:rPr>
          <w:rFonts w:ascii="Times New Roman" w:eastAsia="Times New Roman" w:hAnsi="Times New Roman" w:cs="Times New Roman"/>
          <w:sz w:val="24"/>
          <w:szCs w:val="24"/>
        </w:rPr>
      </w:pPr>
    </w:p>
    <w:p w14:paraId="708A622A" w14:textId="77777777" w:rsidR="00C93CCA" w:rsidRDefault="00C93CCA" w:rsidP="00C93CCA">
      <w:pPr>
        <w:pStyle w:val="Heading2"/>
        <w:numPr>
          <w:ilvl w:val="1"/>
          <w:numId w:val="1"/>
        </w:numPr>
        <w:spacing w:line="360" w:lineRule="auto"/>
        <w:rPr>
          <w:rFonts w:ascii="Times New Roman" w:eastAsia="Times New Roman" w:hAnsi="Times New Roman" w:cs="Times New Roman"/>
        </w:rPr>
      </w:pPr>
      <w:bookmarkStart w:id="17" w:name="_o7if5s6m97d" w:colFirst="0" w:colLast="0"/>
      <w:bookmarkEnd w:id="17"/>
      <w:r>
        <w:rPr>
          <w:rFonts w:ascii="Times New Roman" w:eastAsia="Times New Roman" w:hAnsi="Times New Roman" w:cs="Times New Roman"/>
        </w:rPr>
        <w:lastRenderedPageBreak/>
        <w:t>BCG Matrix Analysis</w:t>
      </w:r>
    </w:p>
    <w:p w14:paraId="07E4C71E" w14:textId="77777777" w:rsidR="00C93CCA" w:rsidRDefault="00C93CCA" w:rsidP="00C93CCA">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5: BCG Matrix of the LV Product Portfolio</w:t>
      </w:r>
    </w:p>
    <w:p w14:paraId="6EB78610" w14:textId="77777777" w:rsidR="00C93CCA" w:rsidRDefault="00C93CCA" w:rsidP="00C93CCA">
      <w:pPr>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0" distB="0" distL="0" distR="0" wp14:anchorId="4CB33C42" wp14:editId="131B9129">
            <wp:extent cx="3343275" cy="222885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3343275" cy="2228850"/>
                    </a:xfrm>
                    <a:prstGeom prst="rect">
                      <a:avLst/>
                    </a:prstGeom>
                    <a:ln/>
                  </pic:spPr>
                </pic:pic>
              </a:graphicData>
            </a:graphic>
          </wp:inline>
        </w:drawing>
      </w:r>
    </w:p>
    <w:p w14:paraId="119F0E8C" w14:textId="70B87F26" w:rsidR="00C93CCA" w:rsidRDefault="00C93CCA" w:rsidP="00B36B41">
      <w:pPr>
        <w:spacing w:before="80" w:after="80" w:line="360" w:lineRule="auto"/>
        <w:ind w:firstLine="57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Employing the BCG Matrix (Henderson, 1970) to analyze the product portfolio of Louis Vuitton illustrates a decisive hierarchy of its strategy. Fashion and leather goods, the original category of the brand, is also a 'Cash Cow' that provides substantial profits on the grounds of developed, high-market-share positioning in an already developed luxury market segment. Ready-to-wear products and footwear hold a ‘Star’ position, bringing substantial growth in the markets of high fashion with maintaining the need of effective investment in artistic direction and seasonal collections. The high </w:t>
      </w:r>
      <w:r w:rsidR="00B36B41">
        <w:rPr>
          <w:rFonts w:ascii="Times New Roman" w:eastAsia="Times New Roman" w:hAnsi="Times New Roman" w:cs="Times New Roman"/>
          <w:sz w:val="24"/>
          <w:szCs w:val="24"/>
        </w:rPr>
        <w:t>jewelry</w:t>
      </w:r>
      <w:r>
        <w:rPr>
          <w:rFonts w:ascii="Times New Roman" w:eastAsia="Times New Roman" w:hAnsi="Times New Roman" w:cs="Times New Roman"/>
          <w:sz w:val="24"/>
          <w:szCs w:val="24"/>
        </w:rPr>
        <w:t>, fine watch making serve as Question Marks that are placed in high growth market segments where Louis Vuitton is gaining market share against more established competitors in the market including Cartier and Rolex. Digital products and NFT-linked collectibles remain 'Question Marks' with uncertain commercial trajectories, warranting cautious but exploring investment.</w:t>
      </w:r>
    </w:p>
    <w:p w14:paraId="1DFDD8B8" w14:textId="77777777" w:rsidR="00C93CCA" w:rsidRDefault="00C93CCA" w:rsidP="00C93CCA">
      <w:pPr>
        <w:spacing w:before="40" w:after="40" w:line="360" w:lineRule="auto"/>
        <w:rPr>
          <w:rFonts w:ascii="Times New Roman" w:eastAsia="Times New Roman" w:hAnsi="Times New Roman" w:cs="Times New Roman"/>
          <w:sz w:val="24"/>
          <w:szCs w:val="24"/>
        </w:rPr>
      </w:pPr>
    </w:p>
    <w:p w14:paraId="2E6FC5BD" w14:textId="77777777" w:rsidR="00C93CCA" w:rsidRDefault="00C93CCA" w:rsidP="00C93CCA">
      <w:pPr>
        <w:pStyle w:val="Heading2"/>
        <w:numPr>
          <w:ilvl w:val="1"/>
          <w:numId w:val="1"/>
        </w:numPr>
        <w:rPr>
          <w:rFonts w:ascii="Times New Roman" w:eastAsia="Times New Roman" w:hAnsi="Times New Roman" w:cs="Times New Roman"/>
        </w:rPr>
      </w:pPr>
      <w:bookmarkStart w:id="18" w:name="_pcb1bewpvj1x" w:colFirst="0" w:colLast="0"/>
      <w:bookmarkEnd w:id="18"/>
      <w:r>
        <w:rPr>
          <w:rFonts w:ascii="Times New Roman" w:eastAsia="Times New Roman" w:hAnsi="Times New Roman" w:cs="Times New Roman"/>
        </w:rPr>
        <w:t>Strategic Recommendations</w:t>
      </w:r>
    </w:p>
    <w:p w14:paraId="1101B4A9" w14:textId="77777777" w:rsidR="00C93CCA" w:rsidRDefault="00C93CCA" w:rsidP="00B36B41">
      <w:pPr>
        <w:spacing w:before="80" w:after="80" w:line="360" w:lineRule="auto"/>
        <w:ind w:firstLine="57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Based on the comprehensive analysis conducted, the following strategic recommendations are proposed to sustain and enhance Louis Vuitton's competitive advantage:</w:t>
      </w:r>
    </w:p>
    <w:p w14:paraId="097C7870" w14:textId="77777777" w:rsidR="00C93CCA" w:rsidRDefault="00C93CCA" w:rsidP="00B36B41">
      <w:pPr>
        <w:spacing w:before="80" w:after="80" w:line="360" w:lineRule="auto"/>
        <w:ind w:firstLine="57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First, Louis Vuitton needs to speed up its strategic market penetration into Indian luxury with the creation of flagship retail stores in Mumbai and Delhi and the establishment of culturally modified marketing campaigns, which resonate with Indian heritage values. This recommendation is aligned with Ansoff's market development quadrant and supported by robust demand projections for luxury goods among India's rapidly expanding ultra-high-net-worth segment (Bain &amp; Company, 2023).</w:t>
      </w:r>
    </w:p>
    <w:p w14:paraId="07250748" w14:textId="77777777" w:rsidR="00C93CCA" w:rsidRDefault="00C93CCA" w:rsidP="00B36B41">
      <w:pPr>
        <w:spacing w:before="80" w:after="80" w:line="360" w:lineRule="auto"/>
        <w:ind w:firstLine="57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Second, the brand is to increase its devotion to verifiable sustainability by ending the use of exotic skin material over a specified period of five years, and release regularly audited data on environmental performance. This suggestion reacts to the increasing regulatory challenge and evolving consumer demands and changes sustainability not into a reputational threat, but into a true competitive advantage in line with the differentiation strategy requirement of Porter (1985).</w:t>
      </w:r>
    </w:p>
    <w:p w14:paraId="3294F72D" w14:textId="77777777" w:rsidR="00C93CCA" w:rsidRDefault="00C93CCA" w:rsidP="00B36B41">
      <w:pPr>
        <w:spacing w:before="80" w:after="80" w:line="360" w:lineRule="auto"/>
        <w:ind w:firstLine="57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Third, Louis Vuitton should consider increasing their investment in digital luxuries, ARtry-on, personalised AI-generated styling features, and digital showrooms, which can serve the increased digitally native luxury consumer base without diminishing physical retail. This recommendation complies with Learning and Growth lens of the Balanced Scorecard and will be used to address the deficiency in terms of online revenue penetration.</w:t>
      </w:r>
    </w:p>
    <w:p w14:paraId="17DB3EA9" w14:textId="77777777" w:rsidR="00C93CCA" w:rsidRDefault="00C93CCA" w:rsidP="00600583">
      <w:pPr>
        <w:spacing w:before="80" w:after="80" w:line="360" w:lineRule="auto"/>
        <w:ind w:firstLine="43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Fourth, the brand must develop a stronger internal governance structure to implement strategic implementation, and accountability frameworks should have a better designed to link CSR promises to executive performance measures. This takes care of the gap between strategic intent and operational implementation identified especially in the sustainability sphere.</w:t>
      </w:r>
    </w:p>
    <w:p w14:paraId="50FF8D8B" w14:textId="77777777" w:rsidR="00C93CCA" w:rsidRDefault="00C93CCA" w:rsidP="00C93CCA">
      <w:pPr>
        <w:spacing w:before="40" w:after="40" w:line="360" w:lineRule="auto"/>
        <w:rPr>
          <w:rFonts w:ascii="Times New Roman" w:eastAsia="Times New Roman" w:hAnsi="Times New Roman" w:cs="Times New Roman"/>
          <w:sz w:val="24"/>
          <w:szCs w:val="24"/>
        </w:rPr>
      </w:pPr>
    </w:p>
    <w:p w14:paraId="76E5F784" w14:textId="77777777" w:rsidR="00C93CCA" w:rsidRDefault="00C93CCA" w:rsidP="00C93CCA">
      <w:pPr>
        <w:spacing w:line="360" w:lineRule="auto"/>
        <w:rPr>
          <w:rFonts w:ascii="Times New Roman" w:eastAsia="Times New Roman" w:hAnsi="Times New Roman" w:cs="Times New Roman"/>
          <w:sz w:val="24"/>
          <w:szCs w:val="24"/>
        </w:rPr>
      </w:pPr>
      <w:r>
        <w:br w:type="page"/>
      </w:r>
    </w:p>
    <w:p w14:paraId="6F5583FA" w14:textId="77777777" w:rsidR="00C93CCA" w:rsidRDefault="00C93CCA" w:rsidP="00C93CCA">
      <w:pPr>
        <w:pStyle w:val="Heading1"/>
        <w:numPr>
          <w:ilvl w:val="0"/>
          <w:numId w:val="1"/>
        </w:numPr>
        <w:rPr>
          <w:rFonts w:ascii="Times New Roman" w:eastAsia="Times New Roman" w:hAnsi="Times New Roman" w:cs="Times New Roman"/>
        </w:rPr>
      </w:pPr>
      <w:bookmarkStart w:id="19" w:name="_m1jedvh5fdt6" w:colFirst="0" w:colLast="0"/>
      <w:bookmarkEnd w:id="19"/>
      <w:r>
        <w:rPr>
          <w:rFonts w:ascii="Times New Roman" w:eastAsia="Times New Roman" w:hAnsi="Times New Roman" w:cs="Times New Roman"/>
        </w:rPr>
        <w:lastRenderedPageBreak/>
        <w:t>SECTION 2: REFLECTIVE ACCOUNT</w:t>
      </w:r>
    </w:p>
    <w:p w14:paraId="3EB505EE" w14:textId="77777777" w:rsidR="00C93CCA" w:rsidRDefault="00C93CCA" w:rsidP="00C93CCA">
      <w:pPr>
        <w:pStyle w:val="Heading2"/>
        <w:numPr>
          <w:ilvl w:val="1"/>
          <w:numId w:val="1"/>
        </w:numPr>
        <w:rPr>
          <w:rFonts w:ascii="Times New Roman" w:eastAsia="Times New Roman" w:hAnsi="Times New Roman" w:cs="Times New Roman"/>
        </w:rPr>
      </w:pPr>
      <w:bookmarkStart w:id="20" w:name="_c6eoaz7abfl4" w:colFirst="0" w:colLast="0"/>
      <w:bookmarkEnd w:id="20"/>
      <w:r>
        <w:rPr>
          <w:rFonts w:ascii="Times New Roman" w:eastAsia="Times New Roman" w:hAnsi="Times New Roman" w:cs="Times New Roman"/>
        </w:rPr>
        <w:t>Reflective Account Using Gibbs' Reflective Cycle</w:t>
      </w:r>
    </w:p>
    <w:p w14:paraId="41B15BE5" w14:textId="77777777" w:rsidR="00C93CCA" w:rsidRDefault="00C93CCA" w:rsidP="00600583">
      <w:pPr>
        <w:spacing w:before="80" w:after="80" w:line="360" w:lineRule="auto"/>
        <w:ind w:firstLine="57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given section is a frameworked personal reflection of the procedure of researching, analysing and preparing the strategic management report on Louis Vuitton through the organising framework of Gibbs Reflective Cycle (Gibbs, 1988). The cycle has six steps of Description, Feelings, Evaluation, Analysis, Conclusion and Action Plan and each will be discussed systematically given below.</w:t>
      </w:r>
    </w:p>
    <w:p w14:paraId="4C1F3143" w14:textId="77777777" w:rsidR="00C93CCA" w:rsidRDefault="00C93CCA" w:rsidP="00C93CCA">
      <w:pPr>
        <w:spacing w:before="40" w:after="40" w:line="360" w:lineRule="auto"/>
        <w:rPr>
          <w:rFonts w:ascii="Times New Roman" w:eastAsia="Times New Roman" w:hAnsi="Times New Roman" w:cs="Times New Roman"/>
          <w:sz w:val="24"/>
          <w:szCs w:val="24"/>
        </w:rPr>
      </w:pPr>
    </w:p>
    <w:p w14:paraId="63B1C5B5" w14:textId="77777777" w:rsidR="00C93CCA" w:rsidRDefault="00C93CCA" w:rsidP="00C93CCA">
      <w:pPr>
        <w:pStyle w:val="Heading2"/>
        <w:numPr>
          <w:ilvl w:val="1"/>
          <w:numId w:val="1"/>
        </w:numPr>
        <w:rPr>
          <w:rFonts w:ascii="Times New Roman" w:eastAsia="Times New Roman" w:hAnsi="Times New Roman" w:cs="Times New Roman"/>
        </w:rPr>
      </w:pPr>
      <w:bookmarkStart w:id="21" w:name="_nard5wxg9xac" w:colFirst="0" w:colLast="0"/>
      <w:bookmarkEnd w:id="21"/>
      <w:r>
        <w:rPr>
          <w:rFonts w:ascii="Times New Roman" w:eastAsia="Times New Roman" w:hAnsi="Times New Roman" w:cs="Times New Roman"/>
        </w:rPr>
        <w:t>Description</w:t>
      </w:r>
    </w:p>
    <w:p w14:paraId="35FA9FF3" w14:textId="77777777" w:rsidR="00C93CCA" w:rsidRDefault="00C93CCA" w:rsidP="00600583">
      <w:pPr>
        <w:spacing w:before="80" w:after="80" w:line="360" w:lineRule="auto"/>
        <w:ind w:firstLine="57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assignment involved writing a critical analysis of the strategic management of a self-selected organisation, in the form of a 5,000-word individual report. The reason behind my selection of Louis Vuitton is its international nature, its complexity, and the abundance of scholarly and industry literature that is publicly available about the luxury goods industry. The assignment required the strict implementation of various theoretical frameworks such as PESTEL, VRIO, generic strategies developed by Porter, the Balanced Scorecard, the Matrix developed by Ansoff, as well as the Matrix developed by the BCG, in a systematic system of response following the Level 7 academic standards. The process of research and writing was carried out over multiple weeks and entailed examination of academic journal articles, LVMH annual reports, industry research conducted by Bain and company and McKinsey and a series of texts on strategic management.</w:t>
      </w:r>
    </w:p>
    <w:p w14:paraId="6AD6F608" w14:textId="77777777" w:rsidR="00C93CCA" w:rsidRDefault="00C93CCA" w:rsidP="00C93CCA">
      <w:pPr>
        <w:spacing w:before="40" w:after="40" w:line="360" w:lineRule="auto"/>
        <w:rPr>
          <w:rFonts w:ascii="Times New Roman" w:eastAsia="Times New Roman" w:hAnsi="Times New Roman" w:cs="Times New Roman"/>
          <w:sz w:val="24"/>
          <w:szCs w:val="24"/>
        </w:rPr>
      </w:pPr>
    </w:p>
    <w:p w14:paraId="53A9790E" w14:textId="77777777" w:rsidR="00C93CCA" w:rsidRDefault="00C93CCA" w:rsidP="00C93CCA">
      <w:pPr>
        <w:pStyle w:val="Heading2"/>
        <w:numPr>
          <w:ilvl w:val="1"/>
          <w:numId w:val="1"/>
        </w:numPr>
        <w:rPr>
          <w:rFonts w:ascii="Times New Roman" w:eastAsia="Times New Roman" w:hAnsi="Times New Roman" w:cs="Times New Roman"/>
        </w:rPr>
      </w:pPr>
      <w:bookmarkStart w:id="22" w:name="_1rywpx4a3k1f" w:colFirst="0" w:colLast="0"/>
      <w:bookmarkEnd w:id="22"/>
      <w:r>
        <w:rPr>
          <w:rFonts w:ascii="Times New Roman" w:eastAsia="Times New Roman" w:hAnsi="Times New Roman" w:cs="Times New Roman"/>
        </w:rPr>
        <w:t>Feelings</w:t>
      </w:r>
    </w:p>
    <w:p w14:paraId="2795FA82" w14:textId="77777777" w:rsidR="00C93CCA" w:rsidRDefault="00C93CCA" w:rsidP="00600583">
      <w:pPr>
        <w:spacing w:before="80" w:after="80" w:line="360" w:lineRule="auto"/>
        <w:ind w:firstLine="57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Firstly, I was uncertain about the analytical level that was required at the postgraduate level. The need to critically evaluate, not just describe, strategic frameworks came as a challenge. I reverted to descriptive narratives without </w:t>
      </w:r>
      <w:proofErr w:type="gramStart"/>
      <w:r>
        <w:rPr>
          <w:rFonts w:ascii="Times New Roman" w:eastAsia="Times New Roman" w:hAnsi="Times New Roman" w:cs="Times New Roman"/>
          <w:sz w:val="24"/>
          <w:szCs w:val="24"/>
        </w:rPr>
        <w:t>fairly questioning</w:t>
      </w:r>
      <w:proofErr w:type="gramEnd"/>
      <w:r>
        <w:rPr>
          <w:rFonts w:ascii="Times New Roman" w:eastAsia="Times New Roman" w:hAnsi="Times New Roman" w:cs="Times New Roman"/>
          <w:sz w:val="24"/>
          <w:szCs w:val="24"/>
        </w:rPr>
        <w:t xml:space="preserve"> restrictions or pressuring them to a sufficiently tailored scenario in the context of Louis Vuitton. The conceptual separation of Louis Vuitton and the giant LVMH conglomerate was similarly intimidating; it was necessary to create a careful boundary-setting to discern the standalone capacity of the flagship brand with the resources of its parent company. The actual scope of the task, including the external environment, internal strengths, CSR, performance management, and reflective practice, seemed daunting, and I feared to maintain the analytics </w:t>
      </w:r>
      <w:r>
        <w:rPr>
          <w:rFonts w:ascii="Times New Roman" w:eastAsia="Times New Roman" w:hAnsi="Times New Roman" w:cs="Times New Roman"/>
          <w:sz w:val="24"/>
          <w:szCs w:val="24"/>
        </w:rPr>
        <w:lastRenderedPageBreak/>
        <w:t>logicality under the premise of limited word counts. As research progressed, I developed greater confidence. Getting into the primary corporate data, such as the annual reports and sustainability reports of LVMH helped to find granular empirical data that safely placed my theoretical analysis within the context of real-world evidence which was both methodologically satisfactory and intellectually engaging. The actual application of the VRIO model to the particular capabilities of Louis Vuitton was of particular interest and entailed the nature of evaluative decision making as it pertains to the identification of competitive advantages which were, in fact, sustainable, and not the simple listing of known company attributes.</w:t>
      </w:r>
    </w:p>
    <w:p w14:paraId="3FB820B2" w14:textId="77777777" w:rsidR="00C93CCA" w:rsidRDefault="00C93CCA" w:rsidP="00C93CCA">
      <w:pPr>
        <w:spacing w:before="40" w:after="40" w:line="360" w:lineRule="auto"/>
        <w:rPr>
          <w:rFonts w:ascii="Times New Roman" w:eastAsia="Times New Roman" w:hAnsi="Times New Roman" w:cs="Times New Roman"/>
          <w:sz w:val="24"/>
          <w:szCs w:val="24"/>
        </w:rPr>
      </w:pPr>
    </w:p>
    <w:p w14:paraId="15CB33D8" w14:textId="77777777" w:rsidR="00C93CCA" w:rsidRDefault="00C93CCA" w:rsidP="00C93CCA">
      <w:pPr>
        <w:pStyle w:val="Heading2"/>
        <w:numPr>
          <w:ilvl w:val="1"/>
          <w:numId w:val="1"/>
        </w:numPr>
        <w:rPr>
          <w:rFonts w:ascii="Times New Roman" w:eastAsia="Times New Roman" w:hAnsi="Times New Roman" w:cs="Times New Roman"/>
        </w:rPr>
      </w:pPr>
      <w:bookmarkStart w:id="23" w:name="_t2l6zioj6vdo" w:colFirst="0" w:colLast="0"/>
      <w:bookmarkEnd w:id="23"/>
      <w:r>
        <w:rPr>
          <w:rFonts w:ascii="Times New Roman" w:eastAsia="Times New Roman" w:hAnsi="Times New Roman" w:cs="Times New Roman"/>
        </w:rPr>
        <w:t>Evaluation</w:t>
      </w:r>
    </w:p>
    <w:p w14:paraId="2F909D84" w14:textId="77777777" w:rsidR="00C93CCA" w:rsidRDefault="00C93CCA" w:rsidP="00600583">
      <w:pPr>
        <w:spacing w:before="80" w:after="80" w:line="360" w:lineRule="auto"/>
        <w:ind w:firstLine="57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evaluate the experience overall, there are aspects that have been done simply well, and those that have presented such eminent issues. A suitable case study was Louis Vuitton; the strategic complexity of the brand, the rich concentration of information accessible to the public, and that the brand is at the heart of luxury management literature provided a terrific perspective to carry out research. The simultaneous application of multiple frameworks at once but never independently was a factor that led to a more wholesome analysis that is of an integrated form, which embodies the demeanor of the assignment.</w:t>
      </w:r>
    </w:p>
    <w:p w14:paraId="59F7A5B2" w14:textId="77777777" w:rsidR="00C93CCA" w:rsidRDefault="00C93CCA" w:rsidP="00600583">
      <w:pPr>
        <w:spacing w:before="80" w:after="80" w:line="360" w:lineRule="auto"/>
        <w:ind w:firstLine="57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Otherwise, other things were not that successful. In my own example, I had spent to the pointless disproportionate cost of the strategic choices, recommendation sections at that time, on the PESTEL section, and needed to be restructured drastically afterward in final drafting. Moreover, I also realized that I found the CSR section extremely hard to write within the required level of critical distance. Since the risk of automatically blindly agreeing to a sustainability narrative in a luxury brand existed, I needed to actively seek and discover the opposing scholarly voices, namely in the areas of greenwashing and exotic skin-related problems,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have the balanced evaluation that the assignment was to receive.</w:t>
      </w:r>
    </w:p>
    <w:p w14:paraId="0C9C8837" w14:textId="77777777" w:rsidR="00C93CCA" w:rsidRDefault="00C93CCA" w:rsidP="00C93CCA">
      <w:pPr>
        <w:spacing w:before="40" w:after="40" w:line="360" w:lineRule="auto"/>
        <w:rPr>
          <w:rFonts w:ascii="Times New Roman" w:eastAsia="Times New Roman" w:hAnsi="Times New Roman" w:cs="Times New Roman"/>
          <w:sz w:val="24"/>
          <w:szCs w:val="24"/>
        </w:rPr>
      </w:pPr>
    </w:p>
    <w:p w14:paraId="6C2264B1" w14:textId="77777777" w:rsidR="00C93CCA" w:rsidRDefault="00C93CCA" w:rsidP="00C93CCA">
      <w:pPr>
        <w:pStyle w:val="Heading2"/>
        <w:numPr>
          <w:ilvl w:val="1"/>
          <w:numId w:val="1"/>
        </w:numPr>
        <w:rPr>
          <w:rFonts w:ascii="Times New Roman" w:eastAsia="Times New Roman" w:hAnsi="Times New Roman" w:cs="Times New Roman"/>
        </w:rPr>
      </w:pPr>
      <w:bookmarkStart w:id="24" w:name="_6odwhmk2z48z" w:colFirst="0" w:colLast="0"/>
      <w:bookmarkEnd w:id="24"/>
      <w:r>
        <w:rPr>
          <w:rFonts w:ascii="Times New Roman" w:eastAsia="Times New Roman" w:hAnsi="Times New Roman" w:cs="Times New Roman"/>
        </w:rPr>
        <w:t>Analysis</w:t>
      </w:r>
    </w:p>
    <w:p w14:paraId="7E7DDBC6" w14:textId="77777777" w:rsidR="00C93CCA" w:rsidRDefault="00C93CCA" w:rsidP="00600583">
      <w:pPr>
        <w:spacing w:before="80" w:after="80" w:line="360" w:lineRule="auto"/>
        <w:ind w:firstLine="57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Analytically reflecting on these results, there are several major insights to be made. The fact that I had been exposed to the classic resource-based view literature published by Barney (1991) was made out by the fact that I was able to utilize the VRIO framework with some knowledge of its core in a critical manner. This supplied the theoretical terms necessary to make true evaluative distinctions between competitive advantages that were only good in </w:t>
      </w:r>
      <w:r>
        <w:rPr>
          <w:rFonts w:ascii="Times New Roman" w:eastAsia="Times New Roman" w:hAnsi="Times New Roman" w:cs="Times New Roman"/>
          <w:sz w:val="24"/>
          <w:szCs w:val="24"/>
        </w:rPr>
        <w:lastRenderedPageBreak/>
        <w:t>comparison with competitive advantages that were also good and embedded in organisations and gave support to the extent of deep reading of original text as opposed to secondary summaries.</w:t>
      </w:r>
    </w:p>
    <w:p w14:paraId="3D653656" w14:textId="77777777" w:rsidR="00C93CCA" w:rsidRDefault="00C93CCA" w:rsidP="00600583">
      <w:pPr>
        <w:spacing w:before="80" w:after="80" w:line="360" w:lineRule="auto"/>
        <w:ind w:firstLine="57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original time apportioning imbalance, in turn, indicates a motivation to lean toward simple analytical activities, such as environmental scanning on a descriptive dimension, as opposed to initiatives that involve original assessments, such as strategic recommendations. This is also called a vulnerability in the transition between undergraduate and postgraduate stages where the requirements clearly switch to exist on the application of knowledge and critique of knowledge as an alternative to presentation of knowledge (Moon, 2004). The conscious seeking out of critical commentary regarding the activities of Louis Vuitton CSR was also of significance to note epistemic scepticism in management research: the act of continuously posing questions to the lack of fit between corporate talk and actual reality.</w:t>
      </w:r>
    </w:p>
    <w:p w14:paraId="6EE2615F" w14:textId="77777777" w:rsidR="00C93CCA" w:rsidRDefault="00C93CCA" w:rsidP="00F86EE6">
      <w:pPr>
        <w:spacing w:before="80" w:after="80" w:line="360" w:lineRule="auto"/>
        <w:ind w:firstLine="57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Its benefit as a method is that it utilizes publicly available secondary sources and the demerit is that it has confined itself to this secondary source. A focus group of management or consumer interviews would have provided more comprehensive coverage of information; this would have been too broad of an exploration to do within the parameters of the assignment. The triangulation method of various types of secondary sources: academic, corporate and industry were fruitful under such restrictions and largely contributed to the increased credibility of the analytical conclusions.</w:t>
      </w:r>
    </w:p>
    <w:p w14:paraId="7DBE7B6F" w14:textId="77777777" w:rsidR="00C93CCA" w:rsidRDefault="00C93CCA" w:rsidP="00C93CCA">
      <w:pPr>
        <w:spacing w:before="40" w:after="40" w:line="360" w:lineRule="auto"/>
        <w:rPr>
          <w:rFonts w:ascii="Times New Roman" w:eastAsia="Times New Roman" w:hAnsi="Times New Roman" w:cs="Times New Roman"/>
          <w:sz w:val="24"/>
          <w:szCs w:val="24"/>
        </w:rPr>
      </w:pPr>
    </w:p>
    <w:p w14:paraId="0F925055" w14:textId="77777777" w:rsidR="00C93CCA" w:rsidRDefault="00C93CCA" w:rsidP="00C93CCA">
      <w:pPr>
        <w:pStyle w:val="Heading2"/>
        <w:numPr>
          <w:ilvl w:val="1"/>
          <w:numId w:val="1"/>
        </w:numPr>
        <w:rPr>
          <w:rFonts w:ascii="Times New Roman" w:eastAsia="Times New Roman" w:hAnsi="Times New Roman" w:cs="Times New Roman"/>
        </w:rPr>
      </w:pPr>
      <w:bookmarkStart w:id="25" w:name="_hwqi9yn9cgop" w:colFirst="0" w:colLast="0"/>
      <w:bookmarkEnd w:id="25"/>
      <w:r>
        <w:rPr>
          <w:rFonts w:ascii="Times New Roman" w:eastAsia="Times New Roman" w:hAnsi="Times New Roman" w:cs="Times New Roman"/>
        </w:rPr>
        <w:t>Conclusion</w:t>
      </w:r>
    </w:p>
    <w:p w14:paraId="7B207BDB" w14:textId="77777777" w:rsidR="00C93CCA" w:rsidRDefault="00C93CCA" w:rsidP="00F86EE6">
      <w:pPr>
        <w:spacing w:before="80" w:after="80" w:line="360" w:lineRule="auto"/>
        <w:ind w:firstLine="57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conclusion, it has been a truly developmental learning experience in this assignment. The need to educate a complex real-world organisation to fit complex strategic management structures as well as the need to sustain a very critical analytical distance and a very high level of performance to postgraduate standards challenged me and forced me to work at least to the best of my current abilities. The most significant learning experience has been up to know that of learning to think critically and virtually: not merely to explain theoretical structures, but also to negatively criticize their assumptions, to recognize their own limitations, and to use them as critical lenses rather than as prescriptive outlines.</w:t>
      </w:r>
    </w:p>
    <w:p w14:paraId="283C7C7E" w14:textId="77777777" w:rsidR="00C93CCA" w:rsidRDefault="00C93CCA" w:rsidP="00F86EE6">
      <w:pPr>
        <w:spacing w:before="80" w:after="80" w:line="360" w:lineRule="auto"/>
        <w:ind w:firstLine="57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also had a finer understanding, in the luxury management literature and its own theoretical problems, specifically</w:t>
      </w:r>
      <w:r>
        <w:rPr>
          <w:rFonts w:ascii="Times New Roman" w:eastAsia="Times New Roman" w:hAnsi="Times New Roman" w:cs="Times New Roman"/>
          <w:sz w:val="24"/>
          <w:szCs w:val="24"/>
        </w:rPr>
        <w:tab/>
        <w:t xml:space="preserve">, in the inherent contradiction of the economic logic of </w:t>
      </w:r>
      <w:r>
        <w:rPr>
          <w:rFonts w:ascii="Times New Roman" w:eastAsia="Times New Roman" w:hAnsi="Times New Roman" w:cs="Times New Roman"/>
          <w:sz w:val="24"/>
          <w:szCs w:val="24"/>
        </w:rPr>
        <w:lastRenderedPageBreak/>
        <w:t>expansion and the brand equity logic of exclusivity that pervades the strategic decisions of this industry.</w:t>
      </w:r>
    </w:p>
    <w:p w14:paraId="3380B209" w14:textId="77777777" w:rsidR="00C93CCA" w:rsidRDefault="00C93CCA" w:rsidP="00C93CCA">
      <w:pPr>
        <w:spacing w:before="40" w:after="40" w:line="360" w:lineRule="auto"/>
        <w:rPr>
          <w:rFonts w:ascii="Times New Roman" w:eastAsia="Times New Roman" w:hAnsi="Times New Roman" w:cs="Times New Roman"/>
          <w:sz w:val="24"/>
          <w:szCs w:val="24"/>
        </w:rPr>
      </w:pPr>
    </w:p>
    <w:p w14:paraId="6B3AC8F3" w14:textId="77777777" w:rsidR="00C93CCA" w:rsidRDefault="00C93CCA" w:rsidP="00C93CCA">
      <w:pPr>
        <w:pStyle w:val="Heading2"/>
        <w:numPr>
          <w:ilvl w:val="1"/>
          <w:numId w:val="1"/>
        </w:numPr>
        <w:rPr>
          <w:rFonts w:ascii="Times New Roman" w:eastAsia="Times New Roman" w:hAnsi="Times New Roman" w:cs="Times New Roman"/>
        </w:rPr>
      </w:pPr>
      <w:bookmarkStart w:id="26" w:name="_gpv7rbgip8vb" w:colFirst="0" w:colLast="0"/>
      <w:bookmarkEnd w:id="26"/>
      <w:r>
        <w:rPr>
          <w:rFonts w:ascii="Times New Roman" w:eastAsia="Times New Roman" w:hAnsi="Times New Roman" w:cs="Times New Roman"/>
        </w:rPr>
        <w:t>Action Plan</w:t>
      </w:r>
    </w:p>
    <w:p w14:paraId="493C0FA2" w14:textId="77777777" w:rsidR="00C93CCA" w:rsidRDefault="00C93CCA" w:rsidP="00F86EE6">
      <w:pPr>
        <w:spacing w:before="80" w:after="80" w:line="360" w:lineRule="auto"/>
        <w:ind w:firstLine="57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Looking forward, I intend to address identified weaknesses through three Specific, Measurable, Achievable, Relevant, and Time-bound (SMART) developmental actions. First, I will use a very well-organized time distribution model and a tool such as Gantt charts as a guideline to evaluate the time spent in research and writing on each piece in the future since it will help plan the time spent in each section prior to starting the work, which is what happened during this assignment. Second, I will focus more on close reading with reference to original theoretical works- especially by focusing on high-impact articles like the Strategic Management Journal- to gain theoretical fluency that allows them to use frameworks in practice with a high degree of critical precision and not just as basic templates. Third, I will actively engage in critical and dissenting opinion when conducting my literature reviews by actively challenging corporate stories against independent academic and journalistic information to heavily uphold analytical scepticism.</w:t>
      </w:r>
    </w:p>
    <w:p w14:paraId="20308F59" w14:textId="77777777" w:rsidR="00C93CCA" w:rsidRDefault="00C93CCA" w:rsidP="00F86EE6">
      <w:pPr>
        <w:spacing w:before="80" w:after="80" w:line="360" w:lineRule="auto"/>
        <w:ind w:firstLine="43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developmental commitments are aligned directly with the tenets of continuing professional development and reflective practice that are at the core of the post-graduate management education (Kolb, 1984) and I have no doubts that they will make a tangible contribution to my future scholarly work.</w:t>
      </w:r>
    </w:p>
    <w:p w14:paraId="01F8067A" w14:textId="77777777" w:rsidR="00C93CCA" w:rsidRDefault="00C93CCA" w:rsidP="00C93CCA">
      <w:pPr>
        <w:spacing w:before="40" w:after="40" w:line="360" w:lineRule="auto"/>
        <w:rPr>
          <w:rFonts w:ascii="Times New Roman" w:eastAsia="Times New Roman" w:hAnsi="Times New Roman" w:cs="Times New Roman"/>
          <w:sz w:val="24"/>
          <w:szCs w:val="24"/>
        </w:rPr>
      </w:pPr>
    </w:p>
    <w:p w14:paraId="231D3231" w14:textId="77777777" w:rsidR="00C93CCA" w:rsidRDefault="00C93CCA" w:rsidP="00C93CCA">
      <w:pPr>
        <w:spacing w:line="360" w:lineRule="auto"/>
        <w:rPr>
          <w:rFonts w:ascii="Times New Roman" w:eastAsia="Times New Roman" w:hAnsi="Times New Roman" w:cs="Times New Roman"/>
          <w:sz w:val="24"/>
          <w:szCs w:val="24"/>
        </w:rPr>
      </w:pPr>
      <w:r>
        <w:br w:type="page"/>
      </w:r>
    </w:p>
    <w:p w14:paraId="321B3A4D" w14:textId="77777777" w:rsidR="00C93CCA" w:rsidRDefault="00C93CCA" w:rsidP="00C93CCA">
      <w:pPr>
        <w:pStyle w:val="Heading1"/>
        <w:numPr>
          <w:ilvl w:val="0"/>
          <w:numId w:val="1"/>
        </w:numPr>
        <w:rPr>
          <w:rFonts w:ascii="Times New Roman" w:eastAsia="Times New Roman" w:hAnsi="Times New Roman" w:cs="Times New Roman"/>
        </w:rPr>
      </w:pPr>
      <w:bookmarkStart w:id="27" w:name="_mwxea18zx1zp" w:colFirst="0" w:colLast="0"/>
      <w:bookmarkEnd w:id="27"/>
      <w:r>
        <w:rPr>
          <w:rFonts w:ascii="Times New Roman" w:eastAsia="Times New Roman" w:hAnsi="Times New Roman" w:cs="Times New Roman"/>
        </w:rPr>
        <w:lastRenderedPageBreak/>
        <w:t>Reference List</w:t>
      </w:r>
    </w:p>
    <w:p w14:paraId="599864CD" w14:textId="77777777" w:rsidR="00C93CCA" w:rsidRDefault="00C93CCA" w:rsidP="00C93CCA">
      <w:pPr>
        <w:spacing w:before="80" w:after="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Ansoff, H.I. (1957) 'Strategies for diversification', Harvard Business Review, 35(5), pp. 113–124.</w:t>
      </w:r>
    </w:p>
    <w:p w14:paraId="465FFB97" w14:textId="77777777" w:rsidR="00C93CCA" w:rsidRDefault="00C93CCA" w:rsidP="00C93CCA">
      <w:pPr>
        <w:spacing w:before="80" w:after="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Bain &amp; Company (2023) Bain Luxury Study 2023: The Luxury Market and the New Consumers. Milan: Bain &amp; Company and Altagamma.</w:t>
      </w:r>
    </w:p>
    <w:p w14:paraId="6B43B801" w14:textId="77777777" w:rsidR="00C93CCA" w:rsidRDefault="00C93CCA" w:rsidP="00C93CCA">
      <w:pPr>
        <w:spacing w:before="80" w:after="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Barney, J.B. (1991) 'Firm resources and sustained competitive advantage', Journal of Management, 17(1), pp. 99–120.</w:t>
      </w:r>
    </w:p>
    <w:p w14:paraId="1FF6EAA3" w14:textId="77777777" w:rsidR="00C93CCA" w:rsidRDefault="00C93CCA" w:rsidP="00C93CCA">
      <w:pPr>
        <w:spacing w:before="80" w:after="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Barney, J.B. and Hesterly, W.S. (2019) Strategic Management and Competitive Advantage: Concepts and Cases. 6th edn. Harlow: Pearson Education.</w:t>
      </w:r>
    </w:p>
    <w:p w14:paraId="5E9434D2" w14:textId="77777777" w:rsidR="00C93CCA" w:rsidRDefault="00C93CCA" w:rsidP="00C93CCA">
      <w:pPr>
        <w:spacing w:before="80" w:after="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Chevalier, M. and Mazzalovo, G. (2021) Luxury Brand Management: A World of Privilege. 3rd edn. Singapore: John Wiley &amp; Sons.</w:t>
      </w:r>
    </w:p>
    <w:p w14:paraId="76BB52AC" w14:textId="77777777" w:rsidR="00C93CCA" w:rsidRDefault="00C93CCA" w:rsidP="00C93CCA">
      <w:pPr>
        <w:spacing w:before="80" w:after="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Crane, A. and Matten, D. (2019) Business Ethics: Managing Corporate Citizenship and Sustainability in the Age of Globalisation. 4th edn. Oxford: Oxford University Press.</w:t>
      </w:r>
    </w:p>
    <w:p w14:paraId="0B5F9064" w14:textId="77777777" w:rsidR="00C93CCA" w:rsidRDefault="00C93CCA" w:rsidP="00C93CCA">
      <w:pPr>
        <w:spacing w:before="80" w:after="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Gibbs, G. (1988) Learning by Doing: A Guide to Teaching and Learning Methods. Oxford: Oxford Polytechnic.</w:t>
      </w:r>
    </w:p>
    <w:p w14:paraId="6C330233" w14:textId="77777777" w:rsidR="00C93CCA" w:rsidRDefault="00C93CCA" w:rsidP="00C93CCA">
      <w:pPr>
        <w:spacing w:before="80" w:after="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Heine, K. (2012) The Concept of Luxury Brands. 2nd edn. Berlin: Technische Universitat Berlin.</w:t>
      </w:r>
    </w:p>
    <w:p w14:paraId="7BE84F5E" w14:textId="77777777" w:rsidR="00C93CCA" w:rsidRDefault="00C93CCA" w:rsidP="00C93CCA">
      <w:pPr>
        <w:spacing w:before="80" w:after="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Henderson, B.D. (1970) The Product Portfolio. Boston: Boston Consulting Group.</w:t>
      </w:r>
    </w:p>
    <w:p w14:paraId="1A39B845" w14:textId="77777777" w:rsidR="00C93CCA" w:rsidRDefault="00C93CCA" w:rsidP="00C93CCA">
      <w:pPr>
        <w:spacing w:before="80" w:after="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Interbrand (2023) Best Global Brands 2023. </w:t>
      </w:r>
    </w:p>
    <w:p w14:paraId="335EF0EE" w14:textId="77777777" w:rsidR="00C93CCA" w:rsidRDefault="00C93CCA" w:rsidP="00C93CCA">
      <w:pPr>
        <w:spacing w:before="80" w:after="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Johnson, G., Whittington, R. and Scholes, K. (2019) Exploring Strategy: Text and Cases. 12th edn. Harlow: Pearson Education.</w:t>
      </w:r>
    </w:p>
    <w:p w14:paraId="5C4DA756" w14:textId="77777777" w:rsidR="00C93CCA" w:rsidRDefault="00C93CCA" w:rsidP="00C93CCA">
      <w:pPr>
        <w:spacing w:before="80" w:after="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Kapferer, J.N. and Bastien, V. (2009) The Luxury Strategy: Break the Rules of Marketing to Build Luxury Brands. 2nd edn. London: Kogan Page.</w:t>
      </w:r>
    </w:p>
    <w:p w14:paraId="2A197605" w14:textId="77777777" w:rsidR="00C93CCA" w:rsidRDefault="00C93CCA" w:rsidP="00C93CCA">
      <w:pPr>
        <w:spacing w:before="80" w:after="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Kaplan, R.S. and Norton, D.P. (1992) 'The balanced scorecard: Measures that drive performance', Harvard Business Review, 70(1), pp. 71–79.</w:t>
      </w:r>
    </w:p>
    <w:p w14:paraId="2DD1673F" w14:textId="77777777" w:rsidR="00C93CCA" w:rsidRDefault="00C93CCA" w:rsidP="00C93CCA">
      <w:pPr>
        <w:spacing w:before="80" w:after="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Kolb, D.A. (1984) Experiential Learning: Experience as the Source of Learning and Development. Englewood Cliffs, NJ: Prentice Hall.</w:t>
      </w:r>
    </w:p>
    <w:p w14:paraId="5572B606" w14:textId="77777777" w:rsidR="00C93CCA" w:rsidRDefault="00C93CCA" w:rsidP="00C93CCA">
      <w:pPr>
        <w:spacing w:before="80" w:after="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LVMH (2022) LVMH Annual Report 2022: The Art of Crafting the Future. Paris: LVMH Moet Hennessy Louis Vuitton SE.</w:t>
      </w:r>
    </w:p>
    <w:p w14:paraId="2CBDF1BA" w14:textId="77777777" w:rsidR="00C93CCA" w:rsidRDefault="00C93CCA" w:rsidP="00C93CCA">
      <w:pPr>
        <w:spacing w:before="80" w:after="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LVMH (2023) LVMH Annual Report 2023: Powering Dreams. Paris: LVMH Moet Hennessy Louis Vuitton SE.</w:t>
      </w:r>
    </w:p>
    <w:p w14:paraId="0DEF357B" w14:textId="77777777" w:rsidR="00C93CCA" w:rsidRDefault="00C93CCA" w:rsidP="00C93CCA">
      <w:pPr>
        <w:spacing w:before="80" w:after="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LVMH (2023) LVMH Sustainability and Responsibility Report 2023: LIFE 360. Paris: LVMH Moet Hennessy Louis Vuitton SE.</w:t>
      </w:r>
    </w:p>
    <w:p w14:paraId="2CE3590C" w14:textId="77777777" w:rsidR="00C93CCA" w:rsidRDefault="00C93CCA" w:rsidP="00C93CCA">
      <w:pPr>
        <w:spacing w:before="80" w:after="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McKinsey &amp; Company (2023) The State of Fashion: Luxury 2024. New York: McKinsey &amp; Company and Business of Fashion.</w:t>
      </w:r>
    </w:p>
    <w:p w14:paraId="28DBDF07" w14:textId="77777777" w:rsidR="00C93CCA" w:rsidRDefault="00C93CCA" w:rsidP="00C93CCA">
      <w:pPr>
        <w:spacing w:before="80" w:after="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Moon, J.A. (2004) A Handbook of Reflective and Experiential Learning: Theory and Practice. London: Routledge.</w:t>
      </w:r>
    </w:p>
    <w:p w14:paraId="1607D5D4" w14:textId="77777777" w:rsidR="00C93CCA" w:rsidRDefault="00C93CCA" w:rsidP="00C93CCA">
      <w:pPr>
        <w:spacing w:before="80" w:after="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Porter, M.E. (1985) Competitive Advantage: Creating and Sustaining Superior Performance. New York: Free Press.</w:t>
      </w:r>
    </w:p>
    <w:p w14:paraId="45A2E807" w14:textId="77777777" w:rsidR="00C93CCA" w:rsidRDefault="00C93CCA" w:rsidP="00C93CCA">
      <w:pPr>
        <w:spacing w:before="80" w:after="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Prahalad, C.K. and Hamel, G. (1990) 'The core competence of the corporation', Harvard Business Review, 68(3), pp. 79–91.</w:t>
      </w:r>
    </w:p>
    <w:p w14:paraId="15AC2F5C" w14:textId="77777777" w:rsidR="00C93CCA" w:rsidRDefault="00C93CCA" w:rsidP="00C93CCA">
      <w:pPr>
        <w:spacing w:before="80" w:after="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Teece, D.J., Pisano, G. and Shuen, A. (1997) 'Dynamic capabilities and strategic management', Strategic Management Journal, 18(7), pp. 509–533.</w:t>
      </w:r>
    </w:p>
    <w:p w14:paraId="09A19599" w14:textId="77777777" w:rsidR="00C93CCA" w:rsidRDefault="00C93CCA" w:rsidP="00C93CCA">
      <w:pPr>
        <w:spacing w:before="80" w:after="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Wiedmann, K.P., Hennigs, N. and Siebels, A. (2009) 'Value-based segmentation of luxury consumption behavior', Psychology &amp; Marketing, 26(7), pp. 625–651.</w:t>
      </w:r>
    </w:p>
    <w:p w14:paraId="15108A39" w14:textId="77777777" w:rsidR="00943C96" w:rsidRDefault="00943C96"/>
    <w:sectPr w:rsidR="00943C96" w:rsidSect="00C93CCA">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897963"/>
    <w:multiLevelType w:val="multilevel"/>
    <w:tmpl w:val="4DFA00D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872385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4EE2"/>
    <w:rsid w:val="000A6139"/>
    <w:rsid w:val="00295805"/>
    <w:rsid w:val="002B0B88"/>
    <w:rsid w:val="002B51A4"/>
    <w:rsid w:val="0031532A"/>
    <w:rsid w:val="00452331"/>
    <w:rsid w:val="00600583"/>
    <w:rsid w:val="006C5308"/>
    <w:rsid w:val="007136ED"/>
    <w:rsid w:val="00924EE2"/>
    <w:rsid w:val="00943C96"/>
    <w:rsid w:val="009A289D"/>
    <w:rsid w:val="00A5016F"/>
    <w:rsid w:val="00B35F96"/>
    <w:rsid w:val="00B36B41"/>
    <w:rsid w:val="00B9497A"/>
    <w:rsid w:val="00C91710"/>
    <w:rsid w:val="00C93CCA"/>
    <w:rsid w:val="00CA0290"/>
    <w:rsid w:val="00D67EF2"/>
    <w:rsid w:val="00E602EB"/>
    <w:rsid w:val="00ED546B"/>
    <w:rsid w:val="00F86E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FA6CCF"/>
  <w15:chartTrackingRefBased/>
  <w15:docId w15:val="{D23ED292-40E2-4153-84CD-DFF35B3560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3CCA"/>
    <w:pPr>
      <w:spacing w:line="259" w:lineRule="auto"/>
    </w:pPr>
    <w:rPr>
      <w:rFonts w:ascii="Aptos" w:eastAsia="Aptos" w:hAnsi="Aptos" w:cs="Aptos"/>
      <w:kern w:val="0"/>
      <w:sz w:val="22"/>
      <w:szCs w:val="22"/>
      <w:lang w:val="en" w:eastAsia="en-GB"/>
      <w14:ligatures w14:val="none"/>
    </w:rPr>
  </w:style>
  <w:style w:type="paragraph" w:styleId="Heading1">
    <w:name w:val="heading 1"/>
    <w:basedOn w:val="Normal"/>
    <w:next w:val="Normal"/>
    <w:link w:val="Heading1Char"/>
    <w:uiPriority w:val="9"/>
    <w:qFormat/>
    <w:rsid w:val="00924E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24E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4E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4E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4E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4E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4E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4E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4E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4E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4E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4E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4E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4E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4E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4E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4E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4EE2"/>
    <w:rPr>
      <w:rFonts w:eastAsiaTheme="majorEastAsia" w:cstheme="majorBidi"/>
      <w:color w:val="272727" w:themeColor="text1" w:themeTint="D8"/>
    </w:rPr>
  </w:style>
  <w:style w:type="paragraph" w:styleId="Title">
    <w:name w:val="Title"/>
    <w:basedOn w:val="Normal"/>
    <w:next w:val="Normal"/>
    <w:link w:val="TitleChar"/>
    <w:uiPriority w:val="10"/>
    <w:qFormat/>
    <w:rsid w:val="00924E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4E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4E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4E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4EE2"/>
    <w:pPr>
      <w:spacing w:before="160"/>
      <w:jc w:val="center"/>
    </w:pPr>
    <w:rPr>
      <w:i/>
      <w:iCs/>
      <w:color w:val="404040" w:themeColor="text1" w:themeTint="BF"/>
    </w:rPr>
  </w:style>
  <w:style w:type="character" w:customStyle="1" w:styleId="QuoteChar">
    <w:name w:val="Quote Char"/>
    <w:basedOn w:val="DefaultParagraphFont"/>
    <w:link w:val="Quote"/>
    <w:uiPriority w:val="29"/>
    <w:rsid w:val="00924EE2"/>
    <w:rPr>
      <w:i/>
      <w:iCs/>
      <w:color w:val="404040" w:themeColor="text1" w:themeTint="BF"/>
    </w:rPr>
  </w:style>
  <w:style w:type="paragraph" w:styleId="ListParagraph">
    <w:name w:val="List Paragraph"/>
    <w:basedOn w:val="Normal"/>
    <w:uiPriority w:val="34"/>
    <w:qFormat/>
    <w:rsid w:val="00924EE2"/>
    <w:pPr>
      <w:ind w:left="720"/>
      <w:contextualSpacing/>
    </w:pPr>
  </w:style>
  <w:style w:type="character" w:styleId="IntenseEmphasis">
    <w:name w:val="Intense Emphasis"/>
    <w:basedOn w:val="DefaultParagraphFont"/>
    <w:uiPriority w:val="21"/>
    <w:qFormat/>
    <w:rsid w:val="00924EE2"/>
    <w:rPr>
      <w:i/>
      <w:iCs/>
      <w:color w:val="0F4761" w:themeColor="accent1" w:themeShade="BF"/>
    </w:rPr>
  </w:style>
  <w:style w:type="paragraph" w:styleId="IntenseQuote">
    <w:name w:val="Intense Quote"/>
    <w:basedOn w:val="Normal"/>
    <w:next w:val="Normal"/>
    <w:link w:val="IntenseQuoteChar"/>
    <w:uiPriority w:val="30"/>
    <w:qFormat/>
    <w:rsid w:val="00924E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4EE2"/>
    <w:rPr>
      <w:i/>
      <w:iCs/>
      <w:color w:val="0F4761" w:themeColor="accent1" w:themeShade="BF"/>
    </w:rPr>
  </w:style>
  <w:style w:type="character" w:styleId="IntenseReference">
    <w:name w:val="Intense Reference"/>
    <w:basedOn w:val="DefaultParagraphFont"/>
    <w:uiPriority w:val="32"/>
    <w:qFormat/>
    <w:rsid w:val="00924EE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TotalTime>
  <Pages>22</Pages>
  <Words>6320</Words>
  <Characters>36029</Characters>
  <Application>Microsoft Office Word</Application>
  <DocSecurity>0</DocSecurity>
  <Lines>300</Lines>
  <Paragraphs>84</Paragraphs>
  <ScaleCrop>false</ScaleCrop>
  <Company/>
  <LinksUpToDate>false</LinksUpToDate>
  <CharactersWithSpaces>42265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Stoleru (2215119)</dc:creator>
  <cp:keywords/>
  <dc:description/>
  <cp:lastModifiedBy>Cristian Stoleru (2215119)</cp:lastModifiedBy>
  <cp:revision>19</cp:revision>
  <dcterms:created xsi:type="dcterms:W3CDTF">2026-04-23T18:03:00Z</dcterms:created>
  <dcterms:modified xsi:type="dcterms:W3CDTF">2026-04-30T22:03:00Z</dcterms:modified>
</cp:coreProperties>
</file>