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Layout w:type="fixed"/>
        <w:tblLook w:val="0600" w:firstRow="0" w:lastRow="0" w:firstColumn="0" w:lastColumn="0" w:noHBand="1" w:noVBand="1"/>
      </w:tblPr>
      <w:tblGrid>
        <w:gridCol w:w="5529"/>
        <w:gridCol w:w="5261"/>
      </w:tblGrid>
      <w:tr w:rsidR="00A81248" w:rsidRPr="003A798E" w14:paraId="6ECB5E4E" w14:textId="77777777" w:rsidTr="00766C02">
        <w:tc>
          <w:tcPr>
            <w:tcW w:w="5529" w:type="dxa"/>
          </w:tcPr>
          <w:p w14:paraId="2B575429" w14:textId="77777777" w:rsidR="00A81248" w:rsidRPr="003A798E" w:rsidRDefault="00A81248" w:rsidP="00A81248">
            <w:pPr>
              <w:pStyle w:val="GraphicAnchor"/>
            </w:pPr>
          </w:p>
        </w:tc>
        <w:tc>
          <w:tcPr>
            <w:tcW w:w="5261" w:type="dxa"/>
          </w:tcPr>
          <w:p w14:paraId="50447F10" w14:textId="77777777" w:rsidR="00A81248" w:rsidRPr="003A798E" w:rsidRDefault="00A81248" w:rsidP="00A81248">
            <w:pPr>
              <w:pStyle w:val="GraphicAnchor"/>
            </w:pPr>
          </w:p>
        </w:tc>
      </w:tr>
      <w:tr w:rsidR="00A81248" w:rsidRPr="003A798E" w14:paraId="4993751A" w14:textId="77777777" w:rsidTr="00766C02">
        <w:trPr>
          <w:trHeight w:val="2719"/>
        </w:trPr>
        <w:tc>
          <w:tcPr>
            <w:tcW w:w="5529" w:type="dxa"/>
          </w:tcPr>
          <w:p w14:paraId="0AEDB9D8" w14:textId="73122B83" w:rsidR="00A81248" w:rsidRPr="00766C02" w:rsidRDefault="00FF299E" w:rsidP="00C66528">
            <w:pPr>
              <w:pStyle w:val="Heading1"/>
              <w:rPr>
                <w:sz w:val="64"/>
                <w:szCs w:val="64"/>
              </w:rPr>
            </w:pPr>
            <w:r>
              <w:rPr>
                <w:sz w:val="64"/>
                <w:szCs w:val="64"/>
              </w:rPr>
              <w:t>CASE REPORT</w:t>
            </w:r>
          </w:p>
        </w:tc>
        <w:tc>
          <w:tcPr>
            <w:tcW w:w="5261" w:type="dxa"/>
          </w:tcPr>
          <w:p w14:paraId="5CFF4F56" w14:textId="0F60C52D" w:rsidR="00A81248" w:rsidRPr="003A798E" w:rsidRDefault="00A81248"/>
        </w:tc>
      </w:tr>
      <w:tr w:rsidR="00FF299E" w:rsidRPr="003A798E" w14:paraId="2FE6D199" w14:textId="77777777" w:rsidTr="00766C02">
        <w:trPr>
          <w:trHeight w:val="5771"/>
        </w:trPr>
        <w:tc>
          <w:tcPr>
            <w:tcW w:w="5529" w:type="dxa"/>
            <w:vMerge w:val="restart"/>
          </w:tcPr>
          <w:p w14:paraId="39003EA3" w14:textId="072ED7B2" w:rsidR="00FF299E" w:rsidRPr="003A798E" w:rsidRDefault="00FF299E">
            <w:r>
              <w:rPr>
                <w:noProof/>
                <w:lang w:eastAsia="en-AU"/>
              </w:rPr>
              <mc:AlternateContent>
                <mc:Choice Requires="wpg">
                  <w:drawing>
                    <wp:anchor distT="0" distB="0" distL="114300" distR="114300" simplePos="0" relativeHeight="251663360" behindDoc="1" locked="0" layoutInCell="1" allowOverlap="1" wp14:anchorId="5BECCFE1" wp14:editId="70EB73B7">
                      <wp:simplePos x="0" y="0"/>
                      <wp:positionH relativeFrom="margin">
                        <wp:posOffset>-445477</wp:posOffset>
                      </wp:positionH>
                      <wp:positionV relativeFrom="page">
                        <wp:posOffset>-2242527</wp:posOffset>
                      </wp:positionV>
                      <wp:extent cx="7772400" cy="10054800"/>
                      <wp:effectExtent l="0" t="0" r="0" b="381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05480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3587981" id="Group 1" o:spid="_x0000_s1026" alt="&quot;&quot;" style="position:absolute;margin-left:-35.1pt;margin-top:-176.6pt;width:612pt;height:791.7pt;z-index:-251653120;mso-position-horizontal-relative:margin;mso-position-vertical-relative:page;mso-width-relative:margin;mso-height-relative:margin" coordsize="77711,100533"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AIq0QEaAMAAH8OAAAOAAAAZHJzL2Uyb0RvYy54bWzsl9tunDAQhu8r9R0Q9w2Y86KQXDRtVKlt IiV9AK8xBxUwsr3L5u07Nhg2G62apEobqeEC29gztj/mH8zp+a5trC3lomZdZqMT17ZoR1hed2Vm /7j9/CGxLSFxl+OGdTSz76iwz8/evzsd+pR6rGJNTrkFTjqRDn1mV1L2qeMIUtEWixPW0w46C8Zb LKHJSyfneADvbeN4rhs5A+N5zxmhQsDTi7HTPtP+i4ISeVUUgkqryWxYm9R3ru9rdXfOTnFactxX NZmWgZ+xihbXHUw6u7rAElsbXj9w1daEM8EKeUJY67CiqAnVe4DdIPdgN5ecbXq9lzIdyn7GBGgP OD3bLfm+veT9TX/NgcTQl8BCt9RedgVvVQmrtHYa2d2MjO6kReBhHMde4AJZAn3IdcMggZamSipA /8CQVJ8WU4R8bzH1fc9Tpo6Z2rm3oKGHEBELBfFnFG4q3FMNV6RA4ZpbdZ7Zvm11uIVAHbs1FN0/ IxKpAFpH+Xhh6MUuGhEYSmEShAmathqHELeeHjHvFKdkI+QlZRo43n4VUjMsc1PDlamRXQdVtQCo WVgJzdWx1zOhcA85TARvo4JypAnj7g0P4Y3B9TQj5MKbfbpVBCp9nBXAWLbGQbmHmuW2BZpdj2h7 LBURtS9VtYbM9lCkIrGaa4Cfb1RmuvppGLVsS2+ZtpJLbCI3SuIJ1jKi6R6OHOcYsZp+U/baI4qj leb/+6HTguFdRShIpvmNN1NOXv1YxY8RILAy/aRhgo4LUiC0fGY4iuleYAnW1PnnumkUAJ1j6ceG W1sM2XFdIh0Qzab9xvLxWQKhqtUMfubheoZ7nppO4UcQ92NMtbWEpN7UbWZPkWaAga2S8aggVVuz /A6k13zpQM5+AhkEkvR+g+831vsN3JGKQSonkmt0U35QaewvJIrAJIpbXoMGG6rWoGaGXPLoXOEG gWIGljg1ucJfuXG8QmNajBMUJeFbrjhMZv8wV+zL+liuWIStsqZJw0axphyVDQH/gqrGhNBOmhX8 96oNjWqf+3k/ECscf5YzzMr1V0n0JtZXJFYURLH5sB4T6yjAfVkbgZpyFOoiat+FY6v5pI1nhGND zdfT9JvSnBXcGELyxfVvYvI1618f9uEvRx8vpj8y9Ru139bHh+W/8ewXAAAA//8DAFBLAwQUAAYA CAAAACEAwUL5bOEAAAAOAQAADwAAAGRycy9kb3ducmV2LnhtbEyPzWrDMBCE74W+g9hCb4n8g9vi Wg4htD2FQpNC6W1jbWwTSzKWYjtv382puc0yw+w3xWo2nRhp8K2zCuJlBIJs5XRrawXf+/fFCwgf 0GrsnCUFF/KwKu/vCsy1m+wXjbtQCy6xPkcFTQh9LqWvGjLol64ny97RDQYDn0Mt9YATl5tOJlH0 JA22lj802NOmoeq0OxsFHxNO6zR+G7en4+byu88+f7YxKfX4MK9fQQSaw38YrviMDiUzHdzZai86 BYvnKOEoizRLWV0jcZbynAOrJGVXloW8nVH+AQAA//8DAFBLAQItABQABgAIAAAAIQC2gziS/gAA AOEBAAATAAAAAAAAAAAAAAAAAAAAAABbQ29udGVudF9UeXBlc10ueG1sUEsBAi0AFAAGAAgAAAAh ADj9If/WAAAAlAEAAAsAAAAAAAAAAAAAAAAALwEAAF9yZWxzLy5yZWxzUEsBAi0AFAAGAAgAAAAh AAirRARoAwAAfw4AAA4AAAAAAAAAAAAAAAAALgIAAGRycy9lMm9Eb2MueG1sUEsBAi0AFAAGAAgA AAAhAMFC+WzhAAAADgEAAA8AAAAAAAAAAAAAAAAAwgUAAGRycy9kb3ducmV2LnhtbFBLBQYAAAAA BAAEAPMAAADQBgAAAAA= ">
                      <v:shape id="Shape" o:spid="_x0000_s1027" style="position:absolute;top:25527;width:58458;height:75006;visibility:visible;mso-wrap-style:square;v-text-anchor:middle" coordsize="21600,2160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DaR6+lwgAAANoAAAAPAAAAZHJzL2Rvd25yZXYueG1sRI/NasMw EITvhb6D2EIvJZHbQghu5BACJbnm5wEWa2OptlaupVpOnj4qFHocZuYbZrWeXCdGGoL1rOB1XoAg rr223Cg4nz5nSxAhImvsPJOCKwVYV48PKyy1T3yg8RgbkSEcSlRgYuxLKUNtyGGY+544exc/OIxZ Do3UA6YMd518K4qFdGg5LxjsaWuobo8/TsFoNhOfb9sXu+/St0z2tmvTl1LPT9PmA0SkKf6H/9p7 reAdfq/kGyCrOwAAAP//AwBQSwECLQAUAAYACAAAACEA2+H2y+4AAACFAQAAEwAAAAAAAAAAAAAA AAAAAAAAW0NvbnRlbnRfVHlwZXNdLnhtbFBLAQItABQABgAIAAAAIQBa9CxbvwAAABUBAAALAAAA AAAAAAAAAAAAAB8BAABfcmVscy8ucmVsc1BLAQItABQABgAIAAAAIQDaR6+lwgAAANoAAAAPAAAA AAAAAAAAAAAAAAcCAABkcnMvZG93bnJldi54bWxQSwUGAAAAAAMAAwC3AAAA9gIAAAAA "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ssVeEwwAAANoAAAAPAAAAZHJzL2Rvd25yZXYueG1sRI9Ra8JA EITfC/6HY4W+1YsitkRPKYJgKUVqC31dc2suNrcXctuY+uu9QsHHYWa+YRar3teqozZWgQ2MRxko 4iLYiksDnx+bhydQUZAt1oHJwC9FWC0HdwvMbTjzO3V7KVWCcMzRgBNpcq1j4chjHIWGOHnH0HqU JNtS2xbPCe5rPcmymfZYcVpw2NDaUfG9//EGTgfpLq+76WNfbeXtxYXNVzGujbkf9s9zUEK93ML/ 7a01MIW/K+kG6OUVAAD//wMAUEsBAi0AFAAGAAgAAAAhANvh9svuAAAAhQEAABMAAAAAAAAAAAAA AAAAAAAAAFtDb250ZW50X1R5cGVzXS54bWxQSwECLQAUAAYACAAAACEAWvQsW78AAAAVAQAACwAA AAAAAAAAAAAAAAAfAQAAX3JlbHMvLnJlbHNQSwECLQAUAAYACAAAACEAbLFXhMMAAADaAAAADwAA AAAAAAAAAAAAAAAHAgAAZHJzL2Rvd25yZXYueG1sUEsFBgAAAAADAAMAtwAAAPcCAAAAAA== "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 70i8Q+QralM4IITa7kDhCAiNB7ASt43WOlEcyvb2pNu4IODoPz9/n1xv9vOkForiPDdwXVagiI23 jocG3rdPxR0oScgWJ8/UwIEENu3lRb09BBKV0ywNjCmFe63FjDSjlD4Q50nv44wpl3HQAc0OB9I3 VXWrjedEnIq03oC27qjHjympx31un0wiTQLq4bS4shrAECZnMGVTvbD9QSnOhDInjzsyuiBXWQP0 r4R18jfgnHvJr4nOknrFmJ5xzhraRtHWf3Kkpfz/yGo5S+H73hkquyhdjr3R8m2lj09svwAAAP// AwBQSwMEFAAGAAgAAAAhAFr0LFu/AAAAFQEAAAsAAABfcmVscy8ucmVsc2zPwWrDMAwG4Ptg72B0 X5TuUMaI01uh19I+gLGVxCy2jGSy9e1nemrHjpL4P0nD4SetZiPRyNnCruvBUPYcYp4tXC/Htw8w Wl0ObuVMFm6kcBhfX4Yzra62kC6xqGlKVgtLreUTUf1CyWnHhXKbTCzJ1VbKjMX5LzcTvvf9HuXR gPHJNKdgQU5hB+ZyK23zHztFL6w81c5zQp6m6P9TMfB3PtPWFCczVQtB9N4U2rp2HOA44NMz4y8A AAD//wMAUEsDBBQABgAIAAAAIQB/Mt8BwgAAANoAAAAPAAAAZHJzL2Rvd25yZXYueG1sRI/NasMw EITvgbyD2EBviZzSH+NYNqVgyCmQNLkv1tZ2Yq1US43tt68KhR6HmfmGycvJ9OJOg+8sK9huEhDE tdUdNwrOH9U6BeEDssbeMimYyUNZLBc5ZtqOfKT7KTQiQthnqKANwWVS+rolg35jHXH0Pu1gMEQ5 NFIPOEa46eVjkrxIgx3HhRYdvbdU307fRsGYHsbXKpjDtHeX69Mxvczuq1LqYTW97UAEmsJ/+K+9 1wqe4fdKvAGy+AEAAP//AwBQSwECLQAUAAYACAAAACEA2+H2y+4AAACFAQAAEwAAAAAAAAAAAAAA AAAAAAAAW0NvbnRlbnRfVHlwZXNdLnhtbFBLAQItABQABgAIAAAAIQBa9CxbvwAAABUBAAALAAAA AAAAAAAAAAAAAB8BAABfcmVscy8ucmVsc1BLAQItABQABgAIAAAAIQB/Mt8BwgAAANoAAAAPAAAA AAAAAAAAAAAAAAcCAABkcnMvZG93bnJldi54bWxQSwUGAAAAAAMAAwC3AAAA9gIAAAAA "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61" w:type="dxa"/>
          </w:tcPr>
          <w:p w14:paraId="596FC509" w14:textId="438A7636" w:rsidR="00FF299E" w:rsidRPr="003A798E" w:rsidRDefault="00FF299E"/>
        </w:tc>
      </w:tr>
      <w:tr w:rsidR="00FF299E" w:rsidRPr="003A798E" w14:paraId="54D528D9" w14:textId="77777777" w:rsidTr="00766C02">
        <w:trPr>
          <w:trHeight w:val="4813"/>
        </w:trPr>
        <w:tc>
          <w:tcPr>
            <w:tcW w:w="5529" w:type="dxa"/>
            <w:vMerge/>
          </w:tcPr>
          <w:p w14:paraId="3CBFE97B" w14:textId="77777777" w:rsidR="00FF299E" w:rsidRPr="003A798E" w:rsidRDefault="00FF299E">
            <w:pPr>
              <w:rPr>
                <w:noProof/>
                <w:lang w:eastAsia="en-AU"/>
              </w:rPr>
            </w:pPr>
          </w:p>
        </w:tc>
        <w:tc>
          <w:tcPr>
            <w:tcW w:w="5261" w:type="dxa"/>
          </w:tcPr>
          <w:p w14:paraId="2DD39CC7" w14:textId="77777777" w:rsidR="00766C02" w:rsidRDefault="00766C02" w:rsidP="00FF299E">
            <w:pPr>
              <w:pStyle w:val="Heading2"/>
              <w:rPr>
                <w:sz w:val="28"/>
                <w:szCs w:val="18"/>
              </w:rPr>
            </w:pPr>
          </w:p>
          <w:p w14:paraId="63DFB666" w14:textId="77777777" w:rsidR="00766C02" w:rsidRDefault="00766C02" w:rsidP="00FF299E">
            <w:pPr>
              <w:pStyle w:val="Heading2"/>
              <w:rPr>
                <w:sz w:val="28"/>
                <w:szCs w:val="18"/>
              </w:rPr>
            </w:pPr>
          </w:p>
          <w:p w14:paraId="6604AB5F" w14:textId="77777777" w:rsidR="00766C02" w:rsidRDefault="00766C02" w:rsidP="00FF299E">
            <w:pPr>
              <w:pStyle w:val="Heading2"/>
              <w:rPr>
                <w:sz w:val="28"/>
                <w:szCs w:val="18"/>
              </w:rPr>
            </w:pPr>
          </w:p>
          <w:p w14:paraId="296CFA90" w14:textId="77777777" w:rsidR="00FF299E" w:rsidRPr="003A798E" w:rsidRDefault="00FF299E" w:rsidP="00F95970">
            <w:pPr>
              <w:pStyle w:val="Heading2"/>
            </w:pPr>
          </w:p>
        </w:tc>
      </w:tr>
    </w:tbl>
    <w:p w14:paraId="7FDB8637" w14:textId="14E5021D" w:rsidR="000C4ED1" w:rsidRPr="003A798E" w:rsidRDefault="000C4ED1"/>
    <w:tbl>
      <w:tblPr>
        <w:tblW w:w="10773" w:type="dxa"/>
        <w:shd w:val="clear" w:color="auto" w:fill="EDF0F4" w:themeFill="accent3"/>
        <w:tblLayout w:type="fixed"/>
        <w:tblCellMar>
          <w:left w:w="0" w:type="dxa"/>
          <w:right w:w="0" w:type="dxa"/>
        </w:tblCellMar>
        <w:tblLook w:val="0600" w:firstRow="0" w:lastRow="0" w:firstColumn="0" w:lastColumn="0" w:noHBand="1" w:noVBand="1"/>
      </w:tblPr>
      <w:tblGrid>
        <w:gridCol w:w="10773"/>
      </w:tblGrid>
      <w:tr w:rsidR="00766C02" w:rsidRPr="003A798E" w14:paraId="3B42F6A6" w14:textId="77777777" w:rsidTr="00FA38A4">
        <w:trPr>
          <w:trHeight w:val="5682"/>
        </w:trPr>
        <w:tc>
          <w:tcPr>
            <w:tcW w:w="10773" w:type="dxa"/>
            <w:shd w:val="clear" w:color="auto" w:fill="EDF0F4" w:themeFill="accent3"/>
          </w:tcPr>
          <w:p w14:paraId="72E6BFB8" w14:textId="77777777" w:rsidR="00B32127" w:rsidRDefault="00B32127" w:rsidP="001205A1">
            <w:pPr>
              <w:pStyle w:val="Heading3"/>
            </w:pPr>
          </w:p>
          <w:p w14:paraId="12B5D18F" w14:textId="785D9C2C" w:rsidR="00B32127" w:rsidRDefault="00B32127" w:rsidP="00B32127">
            <w:pPr>
              <w:pStyle w:val="Heading3"/>
              <w:jc w:val="center"/>
            </w:pPr>
            <w:r>
              <w:t>AI ACKNOWLEDGEMENT</w:t>
            </w:r>
          </w:p>
          <w:p w14:paraId="49DD2380" w14:textId="77777777" w:rsidR="00B32127" w:rsidRDefault="00B32127" w:rsidP="00B32127"/>
          <w:p w14:paraId="6D2843A9" w14:textId="77777777" w:rsidR="00B32127" w:rsidRDefault="00B32127" w:rsidP="00B32127"/>
          <w:p w14:paraId="3CB8A6ED" w14:textId="2AF45320" w:rsidR="00B32127" w:rsidRDefault="00B32127" w:rsidP="00E65201">
            <w:pPr>
              <w:pStyle w:val="NormalWeb"/>
              <w:spacing w:before="240" w:beforeAutospacing="0" w:after="240" w:afterAutospacing="0" w:line="480" w:lineRule="auto"/>
              <w:jc w:val="both"/>
            </w:pPr>
            <w:r>
              <w:rPr>
                <w:color w:val="000000"/>
              </w:rPr>
              <w:t xml:space="preserve">I acknowledge that I used Claude </w:t>
            </w:r>
            <w:hyperlink r:id="rId11" w:history="1">
              <w:r w:rsidRPr="00457607">
                <w:rPr>
                  <w:rStyle w:val="Hyperlink"/>
                </w:rPr>
                <w:t>https://claude.ai/new</w:t>
              </w:r>
            </w:hyperlink>
            <w:r>
              <w:t xml:space="preserve"> </w:t>
            </w:r>
            <w:r>
              <w:rPr>
                <w:color w:val="000000"/>
              </w:rPr>
              <w:t xml:space="preserve">from </w:t>
            </w:r>
            <w:r w:rsidR="0057620D">
              <w:rPr>
                <w:color w:val="000000"/>
              </w:rPr>
              <w:t>12</w:t>
            </w:r>
            <w:r w:rsidR="0057620D" w:rsidRPr="0057620D">
              <w:rPr>
                <w:color w:val="000000"/>
                <w:vertAlign w:val="superscript"/>
              </w:rPr>
              <w:t>th</w:t>
            </w:r>
            <w:r w:rsidR="0057620D">
              <w:rPr>
                <w:color w:val="000000"/>
              </w:rPr>
              <w:t xml:space="preserve"> August </w:t>
            </w:r>
            <w:r>
              <w:rPr>
                <w:color w:val="000000"/>
              </w:rPr>
              <w:t xml:space="preserve">2026 to </w:t>
            </w:r>
            <w:r w:rsidR="002B2FD4">
              <w:rPr>
                <w:color w:val="000000"/>
              </w:rPr>
              <w:t>13</w:t>
            </w:r>
            <w:r w:rsidR="002B2FD4" w:rsidRPr="002B2FD4">
              <w:rPr>
                <w:color w:val="000000"/>
                <w:vertAlign w:val="superscript"/>
              </w:rPr>
              <w:t>th</w:t>
            </w:r>
            <w:r w:rsidR="002B2FD4">
              <w:rPr>
                <w:color w:val="000000"/>
              </w:rPr>
              <w:t xml:space="preserve"> August</w:t>
            </w:r>
            <w:r>
              <w:rPr>
                <w:color w:val="000000"/>
              </w:rPr>
              <w:t xml:space="preserve"> 2026 as a tool to assist with research. It helped me with:</w:t>
            </w:r>
          </w:p>
          <w:p w14:paraId="12E8A798" w14:textId="77777777" w:rsidR="00B32127" w:rsidRDefault="00B32127" w:rsidP="00E65201">
            <w:pPr>
              <w:pStyle w:val="NormalWeb"/>
              <w:numPr>
                <w:ilvl w:val="0"/>
                <w:numId w:val="1"/>
              </w:numPr>
              <w:spacing w:before="0" w:beforeAutospacing="0" w:after="0" w:afterAutospacing="0" w:line="480" w:lineRule="auto"/>
              <w:jc w:val="both"/>
              <w:textAlignment w:val="baseline"/>
              <w:rPr>
                <w:color w:val="000000"/>
              </w:rPr>
            </w:pPr>
            <w:r>
              <w:rPr>
                <w:color w:val="000000"/>
              </w:rPr>
              <w:t>Summarising, comparing, and discussing text(s). </w:t>
            </w:r>
          </w:p>
          <w:p w14:paraId="02722F5D" w14:textId="77777777" w:rsidR="00B32127" w:rsidRDefault="00B32127" w:rsidP="00E65201">
            <w:pPr>
              <w:pStyle w:val="NormalWeb"/>
              <w:numPr>
                <w:ilvl w:val="0"/>
                <w:numId w:val="1"/>
              </w:numPr>
              <w:spacing w:before="0" w:beforeAutospacing="0" w:after="0" w:afterAutospacing="0" w:line="480" w:lineRule="auto"/>
              <w:jc w:val="both"/>
              <w:textAlignment w:val="baseline"/>
              <w:rPr>
                <w:color w:val="000000"/>
              </w:rPr>
            </w:pPr>
            <w:r>
              <w:rPr>
                <w:color w:val="000000"/>
              </w:rPr>
              <w:t>Checking grammar and sentence structure.</w:t>
            </w:r>
          </w:p>
          <w:p w14:paraId="718FBEA6" w14:textId="77777777" w:rsidR="00B32127" w:rsidRDefault="00B32127" w:rsidP="00E65201">
            <w:pPr>
              <w:pStyle w:val="NormalWeb"/>
              <w:numPr>
                <w:ilvl w:val="0"/>
                <w:numId w:val="1"/>
              </w:numPr>
              <w:spacing w:before="0" w:beforeAutospacing="0" w:after="0" w:afterAutospacing="0" w:line="480" w:lineRule="auto"/>
              <w:jc w:val="both"/>
              <w:textAlignment w:val="baseline"/>
              <w:rPr>
                <w:color w:val="000000"/>
              </w:rPr>
            </w:pPr>
            <w:r>
              <w:rPr>
                <w:color w:val="000000"/>
              </w:rPr>
              <w:t>Restating thoughts in my own words.</w:t>
            </w:r>
          </w:p>
          <w:p w14:paraId="3291EB88" w14:textId="610E781B" w:rsidR="00B32127" w:rsidRDefault="00B32127" w:rsidP="00E65201">
            <w:pPr>
              <w:pStyle w:val="NormalWeb"/>
              <w:spacing w:before="240" w:beforeAutospacing="0" w:after="240" w:afterAutospacing="0" w:line="480" w:lineRule="auto"/>
              <w:jc w:val="both"/>
            </w:pPr>
            <w:r>
              <w:rPr>
                <w:color w:val="000000"/>
              </w:rPr>
              <w:t>I confirm that all texts acquired by AI were not written by me. I also have copies of my draft and other resources before and after using C</w:t>
            </w:r>
            <w:r w:rsidR="00F85307">
              <w:rPr>
                <w:color w:val="000000"/>
              </w:rPr>
              <w:t>laude</w:t>
            </w:r>
            <w:r>
              <w:rPr>
                <w:color w:val="000000"/>
              </w:rPr>
              <w:t xml:space="preserve"> and may be able to share when necessary.</w:t>
            </w:r>
          </w:p>
          <w:p w14:paraId="2305892A" w14:textId="77777777" w:rsidR="00B32127" w:rsidRDefault="00B32127" w:rsidP="00E65201">
            <w:pPr>
              <w:spacing w:line="480" w:lineRule="auto"/>
            </w:pPr>
          </w:p>
          <w:p w14:paraId="266BD20C" w14:textId="71AEE3F2" w:rsidR="00B32127" w:rsidRDefault="00B32127" w:rsidP="00E65201">
            <w:pPr>
              <w:pStyle w:val="NormalWeb"/>
              <w:spacing w:before="240" w:beforeAutospacing="0" w:after="240" w:afterAutospacing="0" w:line="480" w:lineRule="auto"/>
              <w:jc w:val="both"/>
            </w:pPr>
            <w:r>
              <w:rPr>
                <w:color w:val="000000"/>
              </w:rPr>
              <w:t xml:space="preserve">I acknowledge that I used Grammarly </w:t>
            </w:r>
            <w:hyperlink r:id="rId12" w:history="1">
              <w:r w:rsidR="00AB4BAF" w:rsidRPr="00457607">
                <w:rPr>
                  <w:rStyle w:val="Hyperlink"/>
                </w:rPr>
                <w:t>https://app.grammarly.com/</w:t>
              </w:r>
            </w:hyperlink>
            <w:r w:rsidR="0057620D">
              <w:rPr>
                <w:color w:val="000000"/>
              </w:rPr>
              <w:t xml:space="preserve"> f</w:t>
            </w:r>
            <w:r>
              <w:rPr>
                <w:color w:val="000000"/>
              </w:rPr>
              <w:t xml:space="preserve">rom </w:t>
            </w:r>
            <w:r w:rsidR="00B00D13">
              <w:rPr>
                <w:color w:val="000000"/>
              </w:rPr>
              <w:t>12</w:t>
            </w:r>
            <w:r w:rsidR="00B00D13" w:rsidRPr="00B00D13">
              <w:rPr>
                <w:color w:val="000000"/>
                <w:vertAlign w:val="superscript"/>
              </w:rPr>
              <w:t>th</w:t>
            </w:r>
            <w:r w:rsidR="00B00D13">
              <w:rPr>
                <w:color w:val="000000"/>
              </w:rPr>
              <w:t xml:space="preserve"> August</w:t>
            </w:r>
            <w:r>
              <w:rPr>
                <w:color w:val="000000"/>
              </w:rPr>
              <w:t xml:space="preserve"> 2026 to </w:t>
            </w:r>
            <w:r w:rsidR="0057620D">
              <w:rPr>
                <w:color w:val="000000"/>
              </w:rPr>
              <w:t>1</w:t>
            </w:r>
            <w:r w:rsidR="00DD22B2">
              <w:rPr>
                <w:color w:val="000000"/>
              </w:rPr>
              <w:t>6</w:t>
            </w:r>
            <w:r w:rsidR="0057620D" w:rsidRPr="0057620D">
              <w:rPr>
                <w:color w:val="000000"/>
                <w:vertAlign w:val="superscript"/>
              </w:rPr>
              <w:t>th</w:t>
            </w:r>
            <w:r w:rsidR="0057620D">
              <w:rPr>
                <w:color w:val="000000"/>
              </w:rPr>
              <w:t xml:space="preserve"> August </w:t>
            </w:r>
            <w:r>
              <w:rPr>
                <w:color w:val="000000"/>
              </w:rPr>
              <w:t>2026 to support my research. It assisted me with:</w:t>
            </w:r>
          </w:p>
          <w:p w14:paraId="1165DC45" w14:textId="77777777" w:rsidR="00B32127" w:rsidRDefault="00B32127" w:rsidP="00E65201">
            <w:pPr>
              <w:pStyle w:val="NormalWeb"/>
              <w:numPr>
                <w:ilvl w:val="0"/>
                <w:numId w:val="2"/>
              </w:numPr>
              <w:spacing w:before="240" w:beforeAutospacing="0" w:after="0" w:afterAutospacing="0" w:line="480" w:lineRule="auto"/>
              <w:jc w:val="both"/>
              <w:textAlignment w:val="baseline"/>
              <w:rPr>
                <w:color w:val="000000"/>
              </w:rPr>
            </w:pPr>
            <w:r>
              <w:rPr>
                <w:color w:val="000000"/>
              </w:rPr>
              <w:t>Grammar</w:t>
            </w:r>
          </w:p>
          <w:p w14:paraId="0BC0089A" w14:textId="77777777" w:rsidR="00B32127" w:rsidRDefault="00B32127" w:rsidP="00E65201">
            <w:pPr>
              <w:pStyle w:val="NormalWeb"/>
              <w:numPr>
                <w:ilvl w:val="0"/>
                <w:numId w:val="2"/>
              </w:numPr>
              <w:spacing w:before="0" w:beforeAutospacing="0" w:after="0" w:afterAutospacing="0" w:line="480" w:lineRule="auto"/>
              <w:jc w:val="both"/>
              <w:textAlignment w:val="baseline"/>
              <w:rPr>
                <w:color w:val="000000"/>
              </w:rPr>
            </w:pPr>
            <w:r>
              <w:rPr>
                <w:color w:val="000000"/>
              </w:rPr>
              <w:t>Spelling</w:t>
            </w:r>
          </w:p>
          <w:p w14:paraId="6116C500" w14:textId="77777777" w:rsidR="00B32127" w:rsidRDefault="00B32127" w:rsidP="00E65201">
            <w:pPr>
              <w:pStyle w:val="NormalWeb"/>
              <w:numPr>
                <w:ilvl w:val="0"/>
                <w:numId w:val="2"/>
              </w:numPr>
              <w:spacing w:before="0" w:beforeAutospacing="0" w:after="240" w:afterAutospacing="0" w:line="480" w:lineRule="auto"/>
              <w:jc w:val="both"/>
              <w:textAlignment w:val="baseline"/>
              <w:rPr>
                <w:color w:val="000000"/>
              </w:rPr>
            </w:pPr>
            <w:r>
              <w:rPr>
                <w:color w:val="000000"/>
              </w:rPr>
              <w:t>Paraphrasing</w:t>
            </w:r>
            <w:r>
              <w:rPr>
                <w:color w:val="000000"/>
              </w:rPr>
              <w:br/>
            </w:r>
            <w:r>
              <w:rPr>
                <w:color w:val="000000"/>
              </w:rPr>
              <w:br/>
            </w:r>
          </w:p>
          <w:p w14:paraId="41906EA9" w14:textId="77777777" w:rsidR="00B32127" w:rsidRDefault="00B32127" w:rsidP="00E65201">
            <w:pPr>
              <w:pStyle w:val="NormalWeb"/>
              <w:spacing w:before="240" w:beforeAutospacing="0" w:after="240" w:afterAutospacing="0" w:line="480" w:lineRule="auto"/>
              <w:jc w:val="both"/>
            </w:pPr>
            <w:r>
              <w:rPr>
                <w:color w:val="000000"/>
              </w:rPr>
              <w:t xml:space="preserve">I certify that I did not copy any content generated by AI as my own work. I have a copy of my draft and other materials I used before and after using Grammarly that I may be required to submit as evidence. </w:t>
            </w:r>
          </w:p>
          <w:p w14:paraId="5CF2252E" w14:textId="77777777" w:rsidR="00B32127" w:rsidRDefault="00B32127" w:rsidP="00B32127"/>
          <w:p w14:paraId="13AC7211" w14:textId="77777777" w:rsidR="00B32127" w:rsidRPr="00B32127" w:rsidRDefault="00B32127" w:rsidP="00B32127"/>
          <w:p w14:paraId="234DD209" w14:textId="77777777" w:rsidR="00B32127" w:rsidRDefault="00B32127" w:rsidP="001205A1">
            <w:pPr>
              <w:pStyle w:val="Heading3"/>
            </w:pPr>
          </w:p>
          <w:p w14:paraId="0E789157" w14:textId="4965A5EE" w:rsidR="00766C02" w:rsidRPr="003A798E" w:rsidRDefault="00766C02" w:rsidP="00841737">
            <w:pPr>
              <w:pStyle w:val="Heading3"/>
              <w:spacing w:line="480" w:lineRule="auto"/>
            </w:pPr>
            <w:r>
              <w:lastRenderedPageBreak/>
              <w:t>BACKGROUND TO THE REPORT</w:t>
            </w:r>
          </w:p>
          <w:p w14:paraId="63E49976" w14:textId="77777777" w:rsidR="00B32127" w:rsidRPr="00B32127" w:rsidRDefault="00B32127" w:rsidP="00841737">
            <w:pPr>
              <w:spacing w:line="480" w:lineRule="auto"/>
              <w:jc w:val="both"/>
              <w:rPr>
                <w:rFonts w:ascii="Times New Roman" w:hAnsi="Times New Roman" w:cs="Times New Roman"/>
              </w:rPr>
            </w:pPr>
            <w:r>
              <w:rPr>
                <w:rFonts w:ascii="Times New Roman" w:hAnsi="Times New Roman" w:cs="Times New Roman"/>
              </w:rPr>
              <w:t xml:space="preserve">        </w:t>
            </w:r>
            <w:r w:rsidRPr="00B32127">
              <w:rPr>
                <w:rFonts w:ascii="Times New Roman" w:hAnsi="Times New Roman" w:cs="Times New Roman"/>
              </w:rPr>
              <w:t xml:space="preserve">This report looks at a hypothetical case study from </w:t>
            </w:r>
            <w:proofErr w:type="spellStart"/>
            <w:r w:rsidRPr="00B32127">
              <w:rPr>
                <w:rFonts w:ascii="Times New Roman" w:hAnsi="Times New Roman" w:cs="Times New Roman"/>
              </w:rPr>
              <w:t>Glynafonshire</w:t>
            </w:r>
            <w:proofErr w:type="spellEnd"/>
            <w:r w:rsidRPr="00B32127">
              <w:rPr>
                <w:rFonts w:ascii="Times New Roman" w:hAnsi="Times New Roman" w:cs="Times New Roman"/>
              </w:rPr>
              <w:t xml:space="preserve"> Health Board, where district nurses must follow a strict handwashing policy before and after entering a patient’s home to prevent infection. Nurses are trained in the correct technique during induction and must pass both written and practical tests before working alone. However, the health board found that some nurses were not always following the policy. Some used the wrong technique, some rushed, and others skipped washing their hands before or after visits. As a result, eight patients developed a serious infection, and one patient died. The health board later explained that, in the months before the incident, staff shortages and more patients needing care led to longer hours. Many nurses worked back-to-back shifts and cared for twice as many patients as usual. Importantly, all the nurses involved had passed their assessments and had plenty of experience, so the problem was not due to a lack of knowledge or skill. This raises the question of why skilled, well-trained staff would not always follow a procedure they know well. It suggests we need to look at how people make decisions under pressure rather than assuming the problem was just negligence.</w:t>
            </w:r>
          </w:p>
          <w:p w14:paraId="53E02AAB" w14:textId="77777777" w:rsidR="00B32127" w:rsidRDefault="00B32127" w:rsidP="00B32127"/>
          <w:p w14:paraId="514E3B4F" w14:textId="59D1C40D" w:rsidR="00766C02" w:rsidRPr="003A798E" w:rsidRDefault="00766C02" w:rsidP="001205A1">
            <w:pPr>
              <w:pStyle w:val="Heading4"/>
            </w:pPr>
          </w:p>
        </w:tc>
      </w:tr>
      <w:tr w:rsidR="00766C02" w:rsidRPr="003A798E" w14:paraId="7720E703" w14:textId="77777777" w:rsidTr="00FA38A4">
        <w:trPr>
          <w:trHeight w:val="7629"/>
        </w:trPr>
        <w:tc>
          <w:tcPr>
            <w:tcW w:w="10773" w:type="dxa"/>
            <w:shd w:val="clear" w:color="auto" w:fill="EDF0F4" w:themeFill="accent3"/>
          </w:tcPr>
          <w:p w14:paraId="60606159" w14:textId="77777777" w:rsidR="00B32127" w:rsidRDefault="00B32127" w:rsidP="00766C02">
            <w:pPr>
              <w:pStyle w:val="Heading3"/>
            </w:pPr>
          </w:p>
          <w:p w14:paraId="7013626D" w14:textId="7016B884" w:rsidR="00766C02" w:rsidRPr="00766C02" w:rsidRDefault="00766C02" w:rsidP="00841737">
            <w:pPr>
              <w:pStyle w:val="Heading3"/>
              <w:spacing w:line="480" w:lineRule="auto"/>
            </w:pPr>
            <w:r>
              <w:t>THE DUAL-PROCESS THEORY OF DECISION MAKING</w:t>
            </w:r>
          </w:p>
          <w:p w14:paraId="44B620CE" w14:textId="70301D46" w:rsidR="00B32127" w:rsidRDefault="00B32127" w:rsidP="008D55DF">
            <w:pPr>
              <w:spacing w:line="480" w:lineRule="auto"/>
              <w:jc w:val="both"/>
              <w:rPr>
                <w:rFonts w:ascii="Times New Roman" w:hAnsi="Times New Roman" w:cs="Times New Roman"/>
              </w:rPr>
            </w:pPr>
            <w:r w:rsidRPr="00B32127">
              <w:rPr>
                <w:rFonts w:ascii="Times New Roman" w:hAnsi="Times New Roman" w:cs="Times New Roman"/>
              </w:rPr>
              <w:t xml:space="preserve">         The approach employed in this case is the Dual-Process Theory of Decision Making, a theory which accounts for the way in which people make choices by means of two different cognitive systems. This framework was promoted by Daniel Kahneman and Amos Tversky and was later summarized in Kahneman's important book Thinking, Fast and Slow (as noted in Shleifer's 2012 review). According to Kahneman, </w:t>
            </w:r>
            <w:r w:rsidRPr="006C6426">
              <w:rPr>
                <w:rFonts w:ascii="Times New Roman" w:hAnsi="Times New Roman" w:cs="Times New Roman"/>
                <w:b/>
                <w:bCs/>
              </w:rPr>
              <w:t>System 1</w:t>
            </w:r>
            <w:r w:rsidRPr="00B32127">
              <w:rPr>
                <w:rFonts w:ascii="Times New Roman" w:hAnsi="Times New Roman" w:cs="Times New Roman"/>
              </w:rPr>
              <w:t xml:space="preserve"> is fast, intuitive, automatic and based on heuristics, while </w:t>
            </w:r>
            <w:r w:rsidRPr="006C6426">
              <w:rPr>
                <w:rFonts w:ascii="Times New Roman" w:hAnsi="Times New Roman" w:cs="Times New Roman"/>
                <w:b/>
                <w:bCs/>
              </w:rPr>
              <w:t>System 2</w:t>
            </w:r>
            <w:r w:rsidRPr="00B32127">
              <w:rPr>
                <w:rFonts w:ascii="Times New Roman" w:hAnsi="Times New Roman" w:cs="Times New Roman"/>
              </w:rPr>
              <w:t xml:space="preserve"> is slow, deliberate, demanding and analytical. The two systems work together continuously to influence judgement and behavior, and systematic errors happen when System 1 takes over and System 2 does not intervene.</w:t>
            </w:r>
          </w:p>
          <w:p w14:paraId="6788B66E" w14:textId="77777777" w:rsidR="00B32127" w:rsidRPr="00B32127" w:rsidRDefault="00B32127" w:rsidP="008D55DF">
            <w:pPr>
              <w:spacing w:line="480" w:lineRule="auto"/>
              <w:jc w:val="both"/>
              <w:rPr>
                <w:rFonts w:ascii="Times New Roman" w:hAnsi="Times New Roman" w:cs="Times New Roman"/>
              </w:rPr>
            </w:pPr>
          </w:p>
          <w:p w14:paraId="45038E28" w14:textId="2B722C2E" w:rsidR="00112ABA" w:rsidRPr="00B32127" w:rsidRDefault="00B32127" w:rsidP="008D55DF">
            <w:pPr>
              <w:spacing w:line="480" w:lineRule="auto"/>
              <w:jc w:val="both"/>
              <w:rPr>
                <w:rFonts w:ascii="Times New Roman" w:hAnsi="Times New Roman" w:cs="Times New Roman"/>
              </w:rPr>
            </w:pPr>
            <w:r w:rsidRPr="00B32127">
              <w:rPr>
                <w:rFonts w:ascii="Times New Roman" w:hAnsi="Times New Roman" w:cs="Times New Roman"/>
              </w:rPr>
              <w:t>       The conflict between these two systems is central to the theory. System 1 makes use of associative memory and attentional shortcuts which enable quick decisions, but errors occur when it is actually necessary to apply careful, statistical reasoning. System 2 makes use of working memory and the central executive in order to counteract impulsive reactions, but since it is difficult and, as Kahneman puts it, 'lazy', it often fails to correct the errors committed by System 1 (Shleifer, 2012). It is for this reason that people may know what the correct or rational course of action should be yet still act in an inconsistent manner, especially when they are working under time pressure or have a high cognitive load.</w:t>
            </w:r>
          </w:p>
          <w:p w14:paraId="18DF3934" w14:textId="77777777" w:rsidR="00B32127" w:rsidRPr="00B32127" w:rsidRDefault="00B32127" w:rsidP="008D55DF">
            <w:pPr>
              <w:spacing w:line="480" w:lineRule="auto"/>
              <w:jc w:val="both"/>
              <w:rPr>
                <w:rFonts w:ascii="Times New Roman" w:hAnsi="Times New Roman" w:cs="Times New Roman"/>
              </w:rPr>
            </w:pPr>
          </w:p>
          <w:p w14:paraId="02BAAED1" w14:textId="761492E6" w:rsidR="002B2FD4" w:rsidRPr="002B2FD4" w:rsidRDefault="002B2FD4" w:rsidP="008D55DF">
            <w:pPr>
              <w:spacing w:line="480" w:lineRule="auto"/>
              <w:jc w:val="both"/>
              <w:rPr>
                <w:rFonts w:ascii="Times New Roman" w:hAnsi="Times New Roman" w:cs="Times New Roman"/>
              </w:rPr>
            </w:pPr>
            <w:r>
              <w:rPr>
                <w:rFonts w:ascii="Times New Roman" w:hAnsi="Times New Roman" w:cs="Times New Roman"/>
              </w:rPr>
              <w:t xml:space="preserve">        </w:t>
            </w:r>
            <w:r w:rsidRPr="002B2FD4">
              <w:rPr>
                <w:rFonts w:ascii="Times New Roman" w:hAnsi="Times New Roman" w:cs="Times New Roman"/>
              </w:rPr>
              <w:t xml:space="preserve">A large amount of research supports this theory. Schneider and Shiffrin (1977a, 1977b) showed that with enough practice, tasks can shift from controlled to automatic processing, which helps clarify the difference between the two systems. McClure et al. (2004) used fMRI scans to find that different parts of the brain are active when people choose between immediate and delayed rewards. The limbic system reacts to immediate rewards, while the prefrontal cortex is involved in planning for the future. This shows that impulsive and reflective systems really do compete to guide our behavior. Kahneman and Tversky’s experiments, such as the “Linda problem” </w:t>
            </w:r>
            <w:r w:rsidRPr="002B2FD4">
              <w:rPr>
                <w:rFonts w:ascii="Times New Roman" w:hAnsi="Times New Roman" w:cs="Times New Roman"/>
              </w:rPr>
              <w:lastRenderedPageBreak/>
              <w:t>and studies on base-rate neglect, also show how System 1 shortcuts like representativeness, availability, and anchoring can lead to predictable mistakes that System 2 has to work to fix (Shleifer, 2012).</w:t>
            </w:r>
          </w:p>
          <w:p w14:paraId="4ED14418" w14:textId="77777777" w:rsidR="002B2FD4" w:rsidRDefault="002B2FD4" w:rsidP="00841737">
            <w:pPr>
              <w:spacing w:line="480" w:lineRule="auto"/>
            </w:pPr>
          </w:p>
          <w:p w14:paraId="44D76B38" w14:textId="1396105F" w:rsidR="00766C02" w:rsidRPr="003A798E" w:rsidRDefault="00766C02" w:rsidP="00B32127">
            <w:pPr>
              <w:spacing w:line="360" w:lineRule="auto"/>
              <w:jc w:val="both"/>
            </w:pPr>
          </w:p>
        </w:tc>
      </w:tr>
    </w:tbl>
    <w:p w14:paraId="444B5C1F" w14:textId="77777777" w:rsidR="00FB65B8" w:rsidRPr="003A798E" w:rsidRDefault="00FB65B8" w:rsidP="00A24793"/>
    <w:p w14:paraId="1A19D8D2" w14:textId="174C0BC7" w:rsidR="00A24793" w:rsidRPr="003A798E" w:rsidRDefault="00A24793" w:rsidP="00A24793"/>
    <w:tbl>
      <w:tblPr>
        <w:tblW w:w="12616" w:type="dxa"/>
        <w:tblInd w:w="-1701" w:type="dxa"/>
        <w:shd w:val="clear" w:color="auto" w:fill="ECFBFB" w:themeFill="accent4"/>
        <w:tblLayout w:type="fixed"/>
        <w:tblLook w:val="0600" w:firstRow="0" w:lastRow="0" w:firstColumn="0" w:lastColumn="0" w:noHBand="1" w:noVBand="1"/>
      </w:tblPr>
      <w:tblGrid>
        <w:gridCol w:w="1701"/>
        <w:gridCol w:w="3828"/>
        <w:gridCol w:w="6945"/>
        <w:gridCol w:w="142"/>
      </w:tblGrid>
      <w:tr w:rsidR="00FA38A4" w:rsidRPr="003A798E" w14:paraId="627C58CB" w14:textId="77777777" w:rsidTr="00FA38A4">
        <w:trPr>
          <w:trHeight w:val="547"/>
        </w:trPr>
        <w:tc>
          <w:tcPr>
            <w:tcW w:w="1701" w:type="dxa"/>
            <w:shd w:val="clear" w:color="auto" w:fill="ECFBFB" w:themeFill="accent4"/>
          </w:tcPr>
          <w:p w14:paraId="6C9FB5AC" w14:textId="77777777" w:rsidR="00FA38A4" w:rsidRPr="003A798E" w:rsidRDefault="00FA38A4" w:rsidP="00A24793"/>
        </w:tc>
        <w:tc>
          <w:tcPr>
            <w:tcW w:w="3828" w:type="dxa"/>
            <w:shd w:val="clear" w:color="auto" w:fill="ECFBFB" w:themeFill="accent4"/>
          </w:tcPr>
          <w:p w14:paraId="460968F7" w14:textId="77777777" w:rsidR="00FA38A4" w:rsidRPr="003A798E" w:rsidRDefault="00FA38A4" w:rsidP="00A24793"/>
        </w:tc>
        <w:tc>
          <w:tcPr>
            <w:tcW w:w="7087" w:type="dxa"/>
            <w:gridSpan w:val="2"/>
            <w:shd w:val="clear" w:color="auto" w:fill="ECFBFB" w:themeFill="accent4"/>
          </w:tcPr>
          <w:p w14:paraId="720CB1B5" w14:textId="77777777" w:rsidR="00FA38A4" w:rsidRPr="003A798E" w:rsidRDefault="00FA38A4" w:rsidP="00A24793"/>
        </w:tc>
      </w:tr>
      <w:tr w:rsidR="00FA38A4" w:rsidRPr="003A798E" w14:paraId="495652A6" w14:textId="77777777" w:rsidTr="00FA38A4">
        <w:trPr>
          <w:trHeight w:val="9513"/>
        </w:trPr>
        <w:tc>
          <w:tcPr>
            <w:tcW w:w="1701" w:type="dxa"/>
            <w:shd w:val="clear" w:color="auto" w:fill="ECFBFB" w:themeFill="accent4"/>
          </w:tcPr>
          <w:p w14:paraId="57674860" w14:textId="77777777" w:rsidR="00FA38A4" w:rsidRPr="003A798E" w:rsidRDefault="00FA38A4" w:rsidP="00D6375E"/>
        </w:tc>
        <w:tc>
          <w:tcPr>
            <w:tcW w:w="3828" w:type="dxa"/>
            <w:tcBorders>
              <w:bottom w:val="single" w:sz="18" w:space="0" w:color="00C1C7" w:themeColor="accent2"/>
            </w:tcBorders>
            <w:shd w:val="clear" w:color="auto" w:fill="ECFBFB" w:themeFill="accent4"/>
          </w:tcPr>
          <w:p w14:paraId="5224D5EC" w14:textId="77777777" w:rsidR="00B32127" w:rsidRDefault="00B32127" w:rsidP="00FC49AE">
            <w:pPr>
              <w:pStyle w:val="Heading5"/>
              <w:rPr>
                <w:sz w:val="36"/>
                <w:szCs w:val="10"/>
              </w:rPr>
            </w:pPr>
          </w:p>
          <w:p w14:paraId="3050628B" w14:textId="6D904145" w:rsidR="00FA38A4" w:rsidRPr="00F00899" w:rsidRDefault="00FA38A4" w:rsidP="00FC49AE">
            <w:pPr>
              <w:pStyle w:val="Heading5"/>
              <w:rPr>
                <w:sz w:val="36"/>
                <w:szCs w:val="10"/>
              </w:rPr>
            </w:pPr>
            <w:r>
              <w:rPr>
                <w:sz w:val="36"/>
                <w:szCs w:val="10"/>
              </w:rPr>
              <w:t>HOW DOES THE THEORY RELATE TO THE CASE STUDY</w:t>
            </w:r>
          </w:p>
        </w:tc>
        <w:tc>
          <w:tcPr>
            <w:tcW w:w="7087" w:type="dxa"/>
            <w:gridSpan w:val="2"/>
            <w:tcBorders>
              <w:bottom w:val="single" w:sz="18" w:space="0" w:color="00C1C7" w:themeColor="accent2"/>
            </w:tcBorders>
            <w:shd w:val="clear" w:color="auto" w:fill="ECFBFB" w:themeFill="accent4"/>
          </w:tcPr>
          <w:p w14:paraId="251D3BEA" w14:textId="77777777" w:rsidR="00B32127" w:rsidRDefault="00B32127" w:rsidP="00112ABA">
            <w:pPr>
              <w:spacing w:line="360" w:lineRule="auto"/>
              <w:jc w:val="both"/>
              <w:rPr>
                <w:rFonts w:ascii="Times New Roman" w:hAnsi="Times New Roman" w:cs="Times New Roman"/>
              </w:rPr>
            </w:pPr>
            <w:r>
              <w:rPr>
                <w:rFonts w:ascii="Times New Roman" w:hAnsi="Times New Roman" w:cs="Times New Roman"/>
              </w:rPr>
              <w:t xml:space="preserve">       </w:t>
            </w:r>
          </w:p>
          <w:p w14:paraId="799106C5" w14:textId="77777777" w:rsidR="002B2FD4" w:rsidRPr="002B2FD4" w:rsidRDefault="00B32127" w:rsidP="008D55DF">
            <w:pPr>
              <w:spacing w:line="480" w:lineRule="auto"/>
              <w:jc w:val="both"/>
              <w:rPr>
                <w:rFonts w:ascii="Times New Roman" w:hAnsi="Times New Roman" w:cs="Times New Roman"/>
              </w:rPr>
            </w:pPr>
            <w:r w:rsidRPr="002B2FD4">
              <w:rPr>
                <w:rFonts w:ascii="Times New Roman" w:hAnsi="Times New Roman" w:cs="Times New Roman"/>
              </w:rPr>
              <w:t xml:space="preserve">         </w:t>
            </w:r>
            <w:r w:rsidR="002B2FD4" w:rsidRPr="002B2FD4">
              <w:rPr>
                <w:rFonts w:ascii="Times New Roman" w:hAnsi="Times New Roman" w:cs="Times New Roman"/>
              </w:rPr>
              <w:t xml:space="preserve">Dual-Process Theory offers a plausible psychological explanation for what happened at </w:t>
            </w:r>
            <w:proofErr w:type="spellStart"/>
            <w:r w:rsidR="002B2FD4" w:rsidRPr="002B2FD4">
              <w:rPr>
                <w:rFonts w:ascii="Times New Roman" w:hAnsi="Times New Roman" w:cs="Times New Roman"/>
              </w:rPr>
              <w:t>Glynafonshire</w:t>
            </w:r>
            <w:proofErr w:type="spellEnd"/>
            <w:r w:rsidR="002B2FD4" w:rsidRPr="002B2FD4">
              <w:rPr>
                <w:rFonts w:ascii="Times New Roman" w:hAnsi="Times New Roman" w:cs="Times New Roman"/>
              </w:rPr>
              <w:t xml:space="preserve"> Health Board. All the nurses involved had already demonstrated, through tests and practical checks, that they had the knowledge and skills to perform the handwashing procedure correctly; in other words, their careful, thoughtful understanding of the policy was solid. What seems to have failed instead was their ability to use that knowledge consistently when back-to-back shifts and doubled patient loads put them under constant time pressure and mental strain. In these situations, Dual-Process Theory predicts a move away from the slow, careful checking linked to System 2 towards the fast, automatic, shortcut-driven responses of System 1, where routine but less important steps, like handwashing before or after a visit, are more likely to be shortened, rushed, or skipped completely.</w:t>
            </w:r>
          </w:p>
          <w:p w14:paraId="7003A104" w14:textId="77777777" w:rsidR="00112ABA" w:rsidRPr="00112ABA" w:rsidRDefault="00112ABA" w:rsidP="008D55DF">
            <w:pPr>
              <w:spacing w:line="480" w:lineRule="auto"/>
              <w:jc w:val="both"/>
              <w:rPr>
                <w:rFonts w:ascii="Times New Roman" w:hAnsi="Times New Roman" w:cs="Times New Roman"/>
              </w:rPr>
            </w:pPr>
          </w:p>
          <w:p w14:paraId="62F5684E" w14:textId="68626D3B" w:rsidR="00FA38A4" w:rsidRPr="00112ABA" w:rsidRDefault="00B32127" w:rsidP="008D55DF">
            <w:pPr>
              <w:spacing w:line="480" w:lineRule="auto"/>
              <w:jc w:val="both"/>
              <w:rPr>
                <w:rFonts w:ascii="Times New Roman" w:hAnsi="Times New Roman" w:cs="Times New Roman"/>
              </w:rPr>
            </w:pPr>
            <w:r>
              <w:rPr>
                <w:rFonts w:ascii="Times New Roman" w:hAnsi="Times New Roman" w:cs="Times New Roman"/>
              </w:rPr>
              <w:t xml:space="preserve">        </w:t>
            </w:r>
            <w:r w:rsidR="00FA38A4" w:rsidRPr="00112ABA">
              <w:rPr>
                <w:rFonts w:ascii="Times New Roman" w:hAnsi="Times New Roman" w:cs="Times New Roman"/>
              </w:rPr>
              <w:t xml:space="preserve">This pattern is consistent with the intention–behaviour gap identified in the wider hand hygiene literature, whereby situational distractions, heavy workload and environmental barriers prevent staff from acting on intentions they genuinely hold. Gaube et al. (2021) found that self-regulatory processes and social influence play a key role in hand hygiene behaviour, and that forgetfulness, poor planning and weak social norms increase the risk of non-adherence, while interventions built around self-monitoring and peer influence improve compliance. Applied to Glynafonshire, this suggests that the nurses’ lapses were less a matter of poor character or forgetting the rules, and more a predictable </w:t>
            </w:r>
            <w:r w:rsidR="00FA38A4" w:rsidRPr="00112ABA">
              <w:rPr>
                <w:rFonts w:ascii="Times New Roman" w:hAnsi="Times New Roman" w:cs="Times New Roman"/>
              </w:rPr>
              <w:lastRenderedPageBreak/>
              <w:t>consequence of self-regulatory resources being depleted by an unsustainable workload, leaving automatic, System 1 behaviour to dominate.</w:t>
            </w:r>
          </w:p>
          <w:p w14:paraId="5F26E0A5" w14:textId="77777777" w:rsidR="00FA38A4" w:rsidRDefault="00FA38A4" w:rsidP="00112ABA">
            <w:pPr>
              <w:pStyle w:val="Text"/>
              <w:spacing w:line="360" w:lineRule="auto"/>
              <w:jc w:val="both"/>
              <w:rPr>
                <w:rFonts w:ascii="Times New Roman" w:hAnsi="Times New Roman" w:cs="Times New Roman"/>
              </w:rPr>
            </w:pPr>
          </w:p>
          <w:p w14:paraId="01D89245" w14:textId="77777777" w:rsidR="00841737" w:rsidRDefault="00841737" w:rsidP="00112ABA">
            <w:pPr>
              <w:pStyle w:val="Text"/>
              <w:spacing w:line="360" w:lineRule="auto"/>
              <w:jc w:val="both"/>
              <w:rPr>
                <w:rFonts w:ascii="Times New Roman" w:hAnsi="Times New Roman" w:cs="Times New Roman"/>
              </w:rPr>
            </w:pPr>
          </w:p>
          <w:p w14:paraId="5CBAFAA0" w14:textId="77777777" w:rsidR="00841737" w:rsidRDefault="00841737" w:rsidP="00112ABA">
            <w:pPr>
              <w:pStyle w:val="Text"/>
              <w:spacing w:line="360" w:lineRule="auto"/>
              <w:jc w:val="both"/>
              <w:rPr>
                <w:rFonts w:ascii="Times New Roman" w:hAnsi="Times New Roman" w:cs="Times New Roman"/>
              </w:rPr>
            </w:pPr>
          </w:p>
          <w:p w14:paraId="246917CF" w14:textId="77777777" w:rsidR="00841737" w:rsidRDefault="00841737" w:rsidP="00112ABA">
            <w:pPr>
              <w:pStyle w:val="Text"/>
              <w:spacing w:line="360" w:lineRule="auto"/>
              <w:jc w:val="both"/>
              <w:rPr>
                <w:rFonts w:ascii="Times New Roman" w:hAnsi="Times New Roman" w:cs="Times New Roman"/>
              </w:rPr>
            </w:pPr>
          </w:p>
          <w:p w14:paraId="4EBF4F89" w14:textId="77777777" w:rsidR="00841737" w:rsidRDefault="00841737" w:rsidP="00112ABA">
            <w:pPr>
              <w:pStyle w:val="Text"/>
              <w:spacing w:line="360" w:lineRule="auto"/>
              <w:jc w:val="both"/>
              <w:rPr>
                <w:rFonts w:ascii="Times New Roman" w:hAnsi="Times New Roman" w:cs="Times New Roman"/>
              </w:rPr>
            </w:pPr>
          </w:p>
          <w:p w14:paraId="6BA00872" w14:textId="77777777" w:rsidR="00841737" w:rsidRDefault="00841737" w:rsidP="00112ABA">
            <w:pPr>
              <w:pStyle w:val="Text"/>
              <w:spacing w:line="360" w:lineRule="auto"/>
              <w:jc w:val="both"/>
              <w:rPr>
                <w:rFonts w:ascii="Times New Roman" w:hAnsi="Times New Roman" w:cs="Times New Roman"/>
              </w:rPr>
            </w:pPr>
          </w:p>
          <w:p w14:paraId="0AE6A657" w14:textId="77777777" w:rsidR="00841737" w:rsidRDefault="00841737" w:rsidP="00112ABA">
            <w:pPr>
              <w:pStyle w:val="Text"/>
              <w:spacing w:line="360" w:lineRule="auto"/>
              <w:jc w:val="both"/>
              <w:rPr>
                <w:rFonts w:ascii="Times New Roman" w:hAnsi="Times New Roman" w:cs="Times New Roman"/>
              </w:rPr>
            </w:pPr>
          </w:p>
          <w:p w14:paraId="236F6E5C" w14:textId="77777777" w:rsidR="00841737" w:rsidRDefault="00841737" w:rsidP="00112ABA">
            <w:pPr>
              <w:pStyle w:val="Text"/>
              <w:spacing w:line="360" w:lineRule="auto"/>
              <w:jc w:val="both"/>
              <w:rPr>
                <w:rFonts w:ascii="Times New Roman" w:hAnsi="Times New Roman" w:cs="Times New Roman"/>
              </w:rPr>
            </w:pPr>
          </w:p>
          <w:p w14:paraId="51F67BDA" w14:textId="77777777" w:rsidR="00841737" w:rsidRDefault="00841737" w:rsidP="00112ABA">
            <w:pPr>
              <w:pStyle w:val="Text"/>
              <w:spacing w:line="360" w:lineRule="auto"/>
              <w:jc w:val="both"/>
              <w:rPr>
                <w:rFonts w:ascii="Times New Roman" w:hAnsi="Times New Roman" w:cs="Times New Roman"/>
              </w:rPr>
            </w:pPr>
          </w:p>
          <w:p w14:paraId="58628422" w14:textId="77777777" w:rsidR="00841737" w:rsidRDefault="00841737" w:rsidP="00112ABA">
            <w:pPr>
              <w:pStyle w:val="Text"/>
              <w:spacing w:line="360" w:lineRule="auto"/>
              <w:jc w:val="both"/>
              <w:rPr>
                <w:rFonts w:ascii="Times New Roman" w:hAnsi="Times New Roman" w:cs="Times New Roman"/>
              </w:rPr>
            </w:pPr>
          </w:p>
          <w:p w14:paraId="0DDDB138" w14:textId="77777777" w:rsidR="00841737" w:rsidRDefault="00841737" w:rsidP="00112ABA">
            <w:pPr>
              <w:pStyle w:val="Text"/>
              <w:spacing w:line="360" w:lineRule="auto"/>
              <w:jc w:val="both"/>
              <w:rPr>
                <w:rFonts w:ascii="Times New Roman" w:hAnsi="Times New Roman" w:cs="Times New Roman"/>
              </w:rPr>
            </w:pPr>
          </w:p>
          <w:p w14:paraId="2F788F6C" w14:textId="77777777" w:rsidR="00841737" w:rsidRDefault="00841737" w:rsidP="00112ABA">
            <w:pPr>
              <w:pStyle w:val="Text"/>
              <w:spacing w:line="360" w:lineRule="auto"/>
              <w:jc w:val="both"/>
              <w:rPr>
                <w:rFonts w:ascii="Times New Roman" w:hAnsi="Times New Roman" w:cs="Times New Roman"/>
              </w:rPr>
            </w:pPr>
          </w:p>
          <w:p w14:paraId="393EF854" w14:textId="77777777" w:rsidR="00841737" w:rsidRDefault="00841737" w:rsidP="00112ABA">
            <w:pPr>
              <w:pStyle w:val="Text"/>
              <w:spacing w:line="360" w:lineRule="auto"/>
              <w:jc w:val="both"/>
              <w:rPr>
                <w:rFonts w:ascii="Times New Roman" w:hAnsi="Times New Roman" w:cs="Times New Roman"/>
              </w:rPr>
            </w:pPr>
          </w:p>
          <w:p w14:paraId="31A63B0D" w14:textId="77777777" w:rsidR="00841737" w:rsidRDefault="00841737" w:rsidP="00112ABA">
            <w:pPr>
              <w:pStyle w:val="Text"/>
              <w:spacing w:line="360" w:lineRule="auto"/>
              <w:jc w:val="both"/>
              <w:rPr>
                <w:rFonts w:ascii="Times New Roman" w:hAnsi="Times New Roman" w:cs="Times New Roman"/>
              </w:rPr>
            </w:pPr>
          </w:p>
          <w:p w14:paraId="59851003" w14:textId="77777777" w:rsidR="00841737" w:rsidRDefault="00841737" w:rsidP="00112ABA">
            <w:pPr>
              <w:pStyle w:val="Text"/>
              <w:spacing w:line="360" w:lineRule="auto"/>
              <w:jc w:val="both"/>
              <w:rPr>
                <w:rFonts w:ascii="Times New Roman" w:hAnsi="Times New Roman" w:cs="Times New Roman"/>
              </w:rPr>
            </w:pPr>
          </w:p>
          <w:p w14:paraId="611D6B08" w14:textId="77777777" w:rsidR="00841737" w:rsidRDefault="00841737" w:rsidP="00112ABA">
            <w:pPr>
              <w:pStyle w:val="Text"/>
              <w:spacing w:line="360" w:lineRule="auto"/>
              <w:jc w:val="both"/>
              <w:rPr>
                <w:rFonts w:ascii="Times New Roman" w:hAnsi="Times New Roman" w:cs="Times New Roman"/>
              </w:rPr>
            </w:pPr>
          </w:p>
          <w:p w14:paraId="56D839DF" w14:textId="77777777" w:rsidR="00841737" w:rsidRDefault="00841737" w:rsidP="00112ABA">
            <w:pPr>
              <w:pStyle w:val="Text"/>
              <w:spacing w:line="360" w:lineRule="auto"/>
              <w:jc w:val="both"/>
              <w:rPr>
                <w:rFonts w:ascii="Times New Roman" w:hAnsi="Times New Roman" w:cs="Times New Roman"/>
              </w:rPr>
            </w:pPr>
          </w:p>
          <w:p w14:paraId="31CE534A" w14:textId="77777777" w:rsidR="00841737" w:rsidRDefault="00841737" w:rsidP="00112ABA">
            <w:pPr>
              <w:pStyle w:val="Text"/>
              <w:spacing w:line="360" w:lineRule="auto"/>
              <w:jc w:val="both"/>
              <w:rPr>
                <w:rFonts w:ascii="Times New Roman" w:hAnsi="Times New Roman" w:cs="Times New Roman"/>
              </w:rPr>
            </w:pPr>
          </w:p>
          <w:p w14:paraId="598C0222" w14:textId="77B9AC55" w:rsidR="00841737" w:rsidRPr="00112ABA" w:rsidRDefault="00841737" w:rsidP="00112ABA">
            <w:pPr>
              <w:pStyle w:val="Text"/>
              <w:spacing w:line="360" w:lineRule="auto"/>
              <w:jc w:val="both"/>
              <w:rPr>
                <w:rFonts w:ascii="Times New Roman" w:hAnsi="Times New Roman" w:cs="Times New Roman"/>
              </w:rPr>
            </w:pPr>
          </w:p>
        </w:tc>
      </w:tr>
      <w:tr w:rsidR="00FA38A4" w:rsidRPr="003A798E" w14:paraId="35DA261D" w14:textId="77777777" w:rsidTr="00FA38A4">
        <w:trPr>
          <w:trHeight w:val="3459"/>
        </w:trPr>
        <w:tc>
          <w:tcPr>
            <w:tcW w:w="1701" w:type="dxa"/>
            <w:shd w:val="clear" w:color="auto" w:fill="ECFBFB" w:themeFill="accent4"/>
          </w:tcPr>
          <w:p w14:paraId="0FAD7B75" w14:textId="77777777" w:rsidR="00FA38A4" w:rsidRPr="003A798E" w:rsidRDefault="00FA38A4" w:rsidP="00D6375E"/>
        </w:tc>
        <w:tc>
          <w:tcPr>
            <w:tcW w:w="10915" w:type="dxa"/>
            <w:gridSpan w:val="3"/>
            <w:tcBorders>
              <w:top w:val="single" w:sz="18" w:space="0" w:color="00C1C7" w:themeColor="accent2"/>
              <w:bottom w:val="single" w:sz="18" w:space="0" w:color="00C1C7" w:themeColor="accent2"/>
            </w:tcBorders>
            <w:shd w:val="clear" w:color="auto" w:fill="ECFBFB" w:themeFill="accent4"/>
            <w:vAlign w:val="center"/>
          </w:tcPr>
          <w:p w14:paraId="2E358DFC" w14:textId="77777777" w:rsidR="00112ABA" w:rsidRDefault="00112ABA" w:rsidP="00A24793">
            <w:pPr>
              <w:pStyle w:val="Heading3"/>
              <w:rPr>
                <w:rStyle w:val="Emphasis"/>
              </w:rPr>
            </w:pPr>
          </w:p>
          <w:p w14:paraId="0D65E01E" w14:textId="36928643" w:rsidR="00FA38A4" w:rsidRDefault="00FA38A4" w:rsidP="00A24793">
            <w:pPr>
              <w:pStyle w:val="Heading3"/>
              <w:rPr>
                <w:rStyle w:val="Emphasis"/>
              </w:rPr>
            </w:pPr>
            <w:r>
              <w:rPr>
                <w:rStyle w:val="Emphasis"/>
              </w:rPr>
              <w:t>LITERATURE EXAMPLES: HAND HYGIENE, COGNITIVE LOAD AND DECISION-MAKING</w:t>
            </w:r>
          </w:p>
          <w:p w14:paraId="40668545" w14:textId="77777777" w:rsidR="00112ABA" w:rsidRPr="00112ABA" w:rsidRDefault="00112ABA" w:rsidP="00112ABA"/>
          <w:p w14:paraId="0511B219" w14:textId="0325ADA8" w:rsidR="002B2FD4" w:rsidRPr="002B2FD4" w:rsidRDefault="00B32127" w:rsidP="00841737">
            <w:pPr>
              <w:spacing w:line="480" w:lineRule="auto"/>
              <w:jc w:val="both"/>
              <w:rPr>
                <w:rFonts w:ascii="Times New Roman" w:hAnsi="Times New Roman" w:cs="Times New Roman"/>
              </w:rPr>
            </w:pPr>
            <w:r>
              <w:rPr>
                <w:rFonts w:ascii="Times New Roman" w:hAnsi="Times New Roman" w:cs="Times New Roman"/>
                <w:i/>
                <w:iCs/>
              </w:rPr>
              <w:t xml:space="preserve">       </w:t>
            </w:r>
            <w:r w:rsidR="002B2FD4" w:rsidRPr="002B2FD4">
              <w:rPr>
                <w:rFonts w:ascii="Times New Roman" w:hAnsi="Times New Roman" w:cs="Times New Roman"/>
              </w:rPr>
              <w:t>Several studies that have been published show this same connection between decision-making and adherence to hand hygiene in real healthcare settings. In a Chinese hospital, Yue and Pan (2025) carried out a six-year Plan-Do-Check-Act (PDCA) intervention and discovered that hand hygiene compliance increased from 49.25% to 86.67%, procedural accuracy rose from 13.02% to 86.67%, and staff awareness went up from 61.61% to 96.52%, at the same time as the hospital infection rate dropped from 2.63% to 0.90%, there being a strong negative correlation between compliance and infection rates (r = -0.962, p &lt; 0.001). This proves that structured and repeated interventions are able to change routine behavior from relying on automatic shortcuts to a more reliable form of practice supported by System 2.</w:t>
            </w:r>
          </w:p>
          <w:p w14:paraId="03440DF7" w14:textId="77777777" w:rsidR="002B2FD4" w:rsidRPr="002B2FD4" w:rsidRDefault="002B2FD4" w:rsidP="00841737">
            <w:pPr>
              <w:spacing w:line="480" w:lineRule="auto"/>
              <w:jc w:val="both"/>
              <w:rPr>
                <w:rFonts w:ascii="Times New Roman" w:hAnsi="Times New Roman" w:cs="Times New Roman"/>
              </w:rPr>
            </w:pPr>
          </w:p>
          <w:p w14:paraId="12EA0FAC" w14:textId="741A1A45" w:rsidR="002B2FD4" w:rsidRPr="002B2FD4" w:rsidRDefault="002B2FD4" w:rsidP="00841737">
            <w:pPr>
              <w:spacing w:line="480" w:lineRule="auto"/>
              <w:jc w:val="both"/>
              <w:rPr>
                <w:rFonts w:ascii="Times New Roman" w:hAnsi="Times New Roman" w:cs="Times New Roman"/>
              </w:rPr>
            </w:pPr>
            <w:r w:rsidRPr="002B2FD4">
              <w:rPr>
                <w:rFonts w:ascii="Times New Roman" w:hAnsi="Times New Roman" w:cs="Times New Roman"/>
              </w:rPr>
              <w:t xml:space="preserve">       Chen and Tseng (2021) also discovered that healthcare workers showed a preference for interventions which involved open talks about the difficulties, easy access to hand hygiene materials, and a clear commitment from management, and that the way compliance messages were framed had an interaction with the behavior of peers: loss-framed messages were more effective when few of their colleagues complied, whereas gain-framed messages were more successful when peer compliance was already high. In combination with the findings by </w:t>
            </w:r>
            <w:proofErr w:type="spellStart"/>
            <w:r w:rsidRPr="002B2FD4">
              <w:rPr>
                <w:rFonts w:ascii="Times New Roman" w:hAnsi="Times New Roman" w:cs="Times New Roman"/>
              </w:rPr>
              <w:t>Gaube</w:t>
            </w:r>
            <w:proofErr w:type="spellEnd"/>
            <w:r w:rsidRPr="002B2FD4">
              <w:rPr>
                <w:rFonts w:ascii="Times New Roman" w:hAnsi="Times New Roman" w:cs="Times New Roman"/>
              </w:rPr>
              <w:t xml:space="preserve"> et al. (2021) regarding self-regulation and social norms, this body of literature indicates that if the district nurses in </w:t>
            </w:r>
            <w:proofErr w:type="spellStart"/>
            <w:r w:rsidRPr="002B2FD4">
              <w:rPr>
                <w:rFonts w:ascii="Times New Roman" w:hAnsi="Times New Roman" w:cs="Times New Roman"/>
              </w:rPr>
              <w:t>Glynafonshire</w:t>
            </w:r>
            <w:proofErr w:type="spellEnd"/>
            <w:r w:rsidRPr="002B2FD4">
              <w:rPr>
                <w:rFonts w:ascii="Times New Roman" w:hAnsi="Times New Roman" w:cs="Times New Roman"/>
              </w:rPr>
              <w:t xml:space="preserve"> had been given similar environmental and social interventions instead of being left to depend entirely on their individual willpower during times of extremely heavy workloads, a sustained level of adherence would have been much more likely.</w:t>
            </w:r>
          </w:p>
          <w:p w14:paraId="386801DE" w14:textId="77777777" w:rsidR="002B2FD4" w:rsidRDefault="002B2FD4" w:rsidP="002B2FD4"/>
          <w:p w14:paraId="5BB860CD" w14:textId="091C66F6" w:rsidR="00FA38A4" w:rsidRPr="003A798E" w:rsidRDefault="00FA38A4" w:rsidP="00112ABA">
            <w:pPr>
              <w:pStyle w:val="Text"/>
              <w:spacing w:line="360" w:lineRule="auto"/>
              <w:jc w:val="both"/>
            </w:pPr>
          </w:p>
        </w:tc>
      </w:tr>
      <w:tr w:rsidR="00FA38A4" w:rsidRPr="003A798E" w14:paraId="13661A8A" w14:textId="77777777" w:rsidTr="00FA38A4">
        <w:tblPrEx>
          <w:shd w:val="clear" w:color="auto" w:fill="EDF0F4" w:themeFill="accent3"/>
          <w:tblCellMar>
            <w:left w:w="0" w:type="dxa"/>
            <w:right w:w="0" w:type="dxa"/>
          </w:tblCellMar>
        </w:tblPrEx>
        <w:trPr>
          <w:gridBefore w:val="1"/>
          <w:gridAfter w:val="1"/>
          <w:wBefore w:w="1701" w:type="dxa"/>
          <w:wAfter w:w="142" w:type="dxa"/>
          <w:trHeight w:val="4599"/>
        </w:trPr>
        <w:tc>
          <w:tcPr>
            <w:tcW w:w="10773" w:type="dxa"/>
            <w:gridSpan w:val="2"/>
            <w:shd w:val="clear" w:color="auto" w:fill="EDF0F4" w:themeFill="accent3"/>
          </w:tcPr>
          <w:p w14:paraId="4044C255" w14:textId="77777777" w:rsidR="00B32127" w:rsidRDefault="00B32127" w:rsidP="000751D2">
            <w:pPr>
              <w:pStyle w:val="Heading3"/>
            </w:pPr>
          </w:p>
          <w:p w14:paraId="385A66C3" w14:textId="6A2FA11D" w:rsidR="00FA38A4" w:rsidRPr="003A798E" w:rsidRDefault="00FA38A4" w:rsidP="000751D2">
            <w:pPr>
              <w:pStyle w:val="Heading3"/>
            </w:pPr>
            <w:r>
              <w:t xml:space="preserve">SUGGESTIONS FOR NEW PROCEDURES BASED ON THE THEORY </w:t>
            </w:r>
          </w:p>
          <w:p w14:paraId="63B67DB6" w14:textId="77777777" w:rsidR="00291796" w:rsidRDefault="00291796" w:rsidP="00291796"/>
          <w:p w14:paraId="22BB51CD" w14:textId="7ACB42F9" w:rsidR="00291796" w:rsidRPr="00291796" w:rsidRDefault="00291796" w:rsidP="00841737">
            <w:pPr>
              <w:spacing w:line="480" w:lineRule="auto"/>
              <w:jc w:val="both"/>
              <w:rPr>
                <w:rFonts w:ascii="Times New Roman" w:hAnsi="Times New Roman" w:cs="Times New Roman"/>
              </w:rPr>
            </w:pPr>
            <w:r w:rsidRPr="00291796">
              <w:rPr>
                <w:rFonts w:ascii="Times New Roman" w:hAnsi="Times New Roman" w:cs="Times New Roman"/>
              </w:rPr>
              <w:t xml:space="preserve">        Following Dual-Process Theory, </w:t>
            </w:r>
            <w:proofErr w:type="spellStart"/>
            <w:r w:rsidRPr="00291796">
              <w:rPr>
                <w:rFonts w:ascii="Times New Roman" w:hAnsi="Times New Roman" w:cs="Times New Roman"/>
              </w:rPr>
              <w:t>Glynafonshire’s</w:t>
            </w:r>
            <w:proofErr w:type="spellEnd"/>
            <w:r w:rsidRPr="00291796">
              <w:rPr>
                <w:rFonts w:ascii="Times New Roman" w:hAnsi="Times New Roman" w:cs="Times New Roman"/>
              </w:rPr>
              <w:t xml:space="preserve"> new procedures should help nurses make the right-hand hygiene choices more easily, even when they are busy. Michie et al. (2008) showed that using behavior change techniques tailored to factors such as intention, confidence, and environment is more effective than general advice. They point out that self-monitoring, breaking tasks into steps, and using environmental cues are especially helpful. The health board could try practical steps like giving nurses portable hand sanitizer and visual reminders on their equipment bags, adding set “if-then” prompts to visit schedules (such as reminders at the start and end of each home visit), and using short self-monitoring logs during rounds.</w:t>
            </w:r>
          </w:p>
          <w:p w14:paraId="26A75BBE" w14:textId="77777777" w:rsidR="00291796" w:rsidRPr="00291796" w:rsidRDefault="00291796" w:rsidP="00841737">
            <w:pPr>
              <w:spacing w:line="480" w:lineRule="auto"/>
              <w:jc w:val="both"/>
              <w:rPr>
                <w:rFonts w:ascii="Times New Roman" w:hAnsi="Times New Roman" w:cs="Times New Roman"/>
              </w:rPr>
            </w:pPr>
          </w:p>
          <w:p w14:paraId="073DD967" w14:textId="2850ED2A" w:rsidR="00291796" w:rsidRPr="00291796" w:rsidRDefault="00291796" w:rsidP="00841737">
            <w:pPr>
              <w:spacing w:line="480" w:lineRule="auto"/>
              <w:jc w:val="both"/>
              <w:rPr>
                <w:rFonts w:ascii="Times New Roman" w:hAnsi="Times New Roman" w:cs="Times New Roman"/>
              </w:rPr>
            </w:pPr>
            <w:r w:rsidRPr="00291796">
              <w:rPr>
                <w:rFonts w:ascii="Times New Roman" w:hAnsi="Times New Roman" w:cs="Times New Roman"/>
              </w:rPr>
              <w:t xml:space="preserve">        Lhakhang et al. (2015) found that while motivation helped nurses want to comply, it was self-regulation strategies like planning and building confidence that actually led to consistent behavior. This means </w:t>
            </w:r>
            <w:proofErr w:type="spellStart"/>
            <w:r w:rsidRPr="00291796">
              <w:rPr>
                <w:rFonts w:ascii="Times New Roman" w:hAnsi="Times New Roman" w:cs="Times New Roman"/>
              </w:rPr>
              <w:t>Glynafonshire</w:t>
            </w:r>
            <w:proofErr w:type="spellEnd"/>
            <w:r w:rsidRPr="00291796">
              <w:rPr>
                <w:rFonts w:ascii="Times New Roman" w:hAnsi="Times New Roman" w:cs="Times New Roman"/>
              </w:rPr>
              <w:t xml:space="preserve"> should combine motivational messages, such as reminders of the results of this incident, with practical planning tools, rather than relying solely on awareness campaigns.</w:t>
            </w:r>
          </w:p>
          <w:p w14:paraId="718B4237" w14:textId="77777777" w:rsidR="00112ABA" w:rsidRPr="00112ABA" w:rsidRDefault="00112ABA" w:rsidP="00841737">
            <w:pPr>
              <w:spacing w:line="480" w:lineRule="auto"/>
              <w:jc w:val="both"/>
              <w:rPr>
                <w:rFonts w:ascii="Times New Roman" w:hAnsi="Times New Roman" w:cs="Times New Roman"/>
              </w:rPr>
            </w:pPr>
          </w:p>
          <w:p w14:paraId="3735D682" w14:textId="77777777" w:rsidR="00291796" w:rsidRPr="00291796" w:rsidRDefault="00B32127" w:rsidP="00841737">
            <w:pPr>
              <w:spacing w:line="480" w:lineRule="auto"/>
              <w:jc w:val="both"/>
              <w:rPr>
                <w:rFonts w:ascii="Times New Roman" w:hAnsi="Times New Roman" w:cs="Times New Roman"/>
              </w:rPr>
            </w:pPr>
            <w:r w:rsidRPr="00291796">
              <w:rPr>
                <w:rFonts w:ascii="Times New Roman" w:hAnsi="Times New Roman" w:cs="Times New Roman"/>
              </w:rPr>
              <w:t xml:space="preserve">        </w:t>
            </w:r>
            <w:r w:rsidR="00291796" w:rsidRPr="00291796">
              <w:rPr>
                <w:rFonts w:ascii="Times New Roman" w:hAnsi="Times New Roman" w:cs="Times New Roman"/>
              </w:rPr>
              <w:t>Any new procedure must also take care to consider the ethical aspect of the situation; nurses could easily see constant monitoring or reminders as being equivalent to surveillance rather than as supportive measures, especially since the real reason for non-adherence was an excessive workload and not a lack of willingness. Interventions should therefore be based on support rather than on punishment, for instance by using anonymous self-monitoring instead of named audits, and should be accompanied by a real review of staffing levels and caseloads, since asking nurses to exert more self-regulation while their workload remains unsustainable would merely lead to the same conditions that had caused the original incident.</w:t>
            </w:r>
          </w:p>
          <w:p w14:paraId="29E70D49" w14:textId="2772FE9D" w:rsidR="00FA38A4" w:rsidRPr="00112ABA" w:rsidRDefault="00FA38A4" w:rsidP="00112ABA">
            <w:pPr>
              <w:spacing w:line="360" w:lineRule="auto"/>
              <w:jc w:val="both"/>
              <w:rPr>
                <w:rFonts w:ascii="Times New Roman" w:hAnsi="Times New Roman" w:cs="Times New Roman"/>
              </w:rPr>
            </w:pPr>
          </w:p>
          <w:p w14:paraId="303C466A" w14:textId="77777777" w:rsidR="00FA38A4" w:rsidRPr="003A798E" w:rsidRDefault="00FA38A4" w:rsidP="000751D2">
            <w:pPr>
              <w:pStyle w:val="Heading4"/>
            </w:pPr>
          </w:p>
        </w:tc>
      </w:tr>
      <w:tr w:rsidR="00FA38A4" w:rsidRPr="003A798E" w14:paraId="0B43E723" w14:textId="77777777" w:rsidTr="00FA38A4">
        <w:tblPrEx>
          <w:shd w:val="clear" w:color="auto" w:fill="EDF0F4" w:themeFill="accent3"/>
          <w:tblCellMar>
            <w:left w:w="0" w:type="dxa"/>
            <w:right w:w="0" w:type="dxa"/>
          </w:tblCellMar>
        </w:tblPrEx>
        <w:trPr>
          <w:gridBefore w:val="1"/>
          <w:gridAfter w:val="1"/>
          <w:wBefore w:w="1701" w:type="dxa"/>
          <w:wAfter w:w="142" w:type="dxa"/>
          <w:trHeight w:val="8879"/>
        </w:trPr>
        <w:tc>
          <w:tcPr>
            <w:tcW w:w="10773" w:type="dxa"/>
            <w:gridSpan w:val="2"/>
            <w:shd w:val="clear" w:color="auto" w:fill="EDF0F4" w:themeFill="accent3"/>
          </w:tcPr>
          <w:p w14:paraId="3572C596" w14:textId="77777777" w:rsidR="00B32127" w:rsidRDefault="00B32127" w:rsidP="000751D2">
            <w:pPr>
              <w:pStyle w:val="Heading3"/>
            </w:pPr>
          </w:p>
          <w:p w14:paraId="6AD52D93" w14:textId="7AA33A9A" w:rsidR="00FA38A4" w:rsidRDefault="0098239A" w:rsidP="008D55DF">
            <w:pPr>
              <w:pStyle w:val="Heading3"/>
            </w:pPr>
            <w:r>
              <w:t>EVALUATION AND CRITIQUE OF THEORY</w:t>
            </w:r>
          </w:p>
          <w:p w14:paraId="36EB73CF" w14:textId="77777777" w:rsidR="008D55DF" w:rsidRPr="008D55DF" w:rsidRDefault="008D55DF" w:rsidP="008D55DF"/>
          <w:p w14:paraId="6B909BE6" w14:textId="417BFFB9" w:rsidR="0098239A" w:rsidRDefault="00B32127" w:rsidP="008D55DF">
            <w:pPr>
              <w:spacing w:line="480" w:lineRule="auto"/>
              <w:jc w:val="both"/>
              <w:rPr>
                <w:rFonts w:ascii="Times New Roman" w:hAnsi="Times New Roman" w:cs="Times New Roman"/>
              </w:rPr>
            </w:pPr>
            <w:r w:rsidRPr="00291796">
              <w:rPr>
                <w:rFonts w:ascii="Times New Roman" w:hAnsi="Times New Roman" w:cs="Times New Roman"/>
              </w:rPr>
              <w:t xml:space="preserve">        </w:t>
            </w:r>
            <w:r w:rsidR="00291796" w:rsidRPr="00291796">
              <w:rPr>
                <w:rFonts w:ascii="Times New Roman" w:hAnsi="Times New Roman" w:cs="Times New Roman"/>
              </w:rPr>
              <w:t xml:space="preserve">Dual-Process Theory helps explain why even experienced nurses might skip hand hygiene when they are under time pressure, as automatic habits can sometimes take over from careful decision-making. Still, this theory mainly looks at what happens inside the mind and does not pay much attention to the social and organizational factors affecting the </w:t>
            </w:r>
            <w:proofErr w:type="spellStart"/>
            <w:r w:rsidR="00291796" w:rsidRPr="00291796">
              <w:rPr>
                <w:rFonts w:ascii="Times New Roman" w:hAnsi="Times New Roman" w:cs="Times New Roman"/>
              </w:rPr>
              <w:t>Glynafonshire</w:t>
            </w:r>
            <w:proofErr w:type="spellEnd"/>
            <w:r w:rsidR="00291796" w:rsidRPr="00291796">
              <w:rPr>
                <w:rFonts w:ascii="Times New Roman" w:hAnsi="Times New Roman" w:cs="Times New Roman"/>
              </w:rPr>
              <w:t xml:space="preserve"> nurses. Ajzen’s (1991) Theory of Planned Behavior adds another useful angle by focusing on attitudes, social norms, and how much control people feel they have over their actions. In this case, if a nurse believed she could realistically follow all hand hygiene steps while handling twice her usual workload, her sense of control his belief may have influenced her actions as much as any automatic response, which Dual-Process Theory does not fully address.</w:t>
            </w:r>
          </w:p>
          <w:p w14:paraId="683626D5" w14:textId="77777777" w:rsidR="00112ABA" w:rsidRPr="00112ABA" w:rsidRDefault="00112ABA" w:rsidP="008D55DF">
            <w:pPr>
              <w:spacing w:line="480" w:lineRule="auto"/>
              <w:jc w:val="both"/>
              <w:rPr>
                <w:rFonts w:ascii="Times New Roman" w:hAnsi="Times New Roman" w:cs="Times New Roman"/>
              </w:rPr>
            </w:pPr>
          </w:p>
          <w:p w14:paraId="7B9E843C" w14:textId="0BAEAFB7" w:rsidR="00FA38A4" w:rsidRPr="003A798E" w:rsidRDefault="00B32127" w:rsidP="008D55DF">
            <w:pPr>
              <w:spacing w:line="480" w:lineRule="auto"/>
              <w:jc w:val="both"/>
            </w:pPr>
            <w:r>
              <w:rPr>
                <w:rFonts w:ascii="Times New Roman" w:hAnsi="Times New Roman" w:cs="Times New Roman"/>
              </w:rPr>
              <w:t xml:space="preserve">        </w:t>
            </w:r>
            <w:proofErr w:type="spellStart"/>
            <w:r w:rsidR="00DD22B2">
              <w:t>S</w:t>
            </w:r>
            <w:r w:rsidR="00DD22B2" w:rsidRPr="00DD22B2">
              <w:rPr>
                <w:rFonts w:ascii="Times New Roman" w:hAnsi="Times New Roman" w:cs="Times New Roman"/>
              </w:rPr>
              <w:t>weller's</w:t>
            </w:r>
            <w:proofErr w:type="spellEnd"/>
            <w:r w:rsidR="00DD22B2" w:rsidRPr="00DD22B2">
              <w:rPr>
                <w:rFonts w:ascii="Times New Roman" w:hAnsi="Times New Roman" w:cs="Times New Roman"/>
              </w:rPr>
              <w:t xml:space="preserve"> (1988) Cognitive Load Theory provides an additional complementary explanation by indicating that when working memory is under heavy demand, there are fewer mental resources left available for consistently applying rules. In the case of the </w:t>
            </w:r>
            <w:proofErr w:type="spellStart"/>
            <w:r w:rsidR="00DD22B2" w:rsidRPr="00DD22B2">
              <w:rPr>
                <w:rFonts w:ascii="Times New Roman" w:hAnsi="Times New Roman" w:cs="Times New Roman"/>
              </w:rPr>
              <w:t>Glynafonshire</w:t>
            </w:r>
            <w:proofErr w:type="spellEnd"/>
            <w:r w:rsidR="00DD22B2" w:rsidRPr="00DD22B2">
              <w:rPr>
                <w:rFonts w:ascii="Times New Roman" w:hAnsi="Times New Roman" w:cs="Times New Roman"/>
              </w:rPr>
              <w:t xml:space="preserve"> nurses, the need to look after an unusually large number of patients during consecutive shifts must have placed continuous demands on their working memory, leaving them with fewer cognitive resources to consciously monitor and enforce hand hygiene at each visit. This is in line with Dual-Process Theory's view that System 1 takes over under pressure, and it supports the idea that interventions which directly reduce mental effort, such as the use of visual reminders, simplified routines, and changes to the working environment, should be preferred to relying solely on the nurses' willpower. Together, although Dual-Process Theory gives a strong account of the moment-to-moment cognitive failures in this situation, it is most effective when used in conjunction with other models such as the Theory of Planned Behavior and Cognitive Load Theory, since the latter highlight the influence of social expectations, confidence levels, and the pressures of organizational workload on the nurses' behavior, thereby giving a more complete explanation of the incident at the </w:t>
            </w:r>
            <w:proofErr w:type="spellStart"/>
            <w:r w:rsidR="00DD22B2" w:rsidRPr="00DD22B2">
              <w:rPr>
                <w:rFonts w:ascii="Times New Roman" w:hAnsi="Times New Roman" w:cs="Times New Roman"/>
              </w:rPr>
              <w:t>Glynafonshire</w:t>
            </w:r>
            <w:proofErr w:type="spellEnd"/>
            <w:r w:rsidR="00DD22B2" w:rsidRPr="00DD22B2">
              <w:rPr>
                <w:rFonts w:ascii="Times New Roman" w:hAnsi="Times New Roman" w:cs="Times New Roman"/>
              </w:rPr>
              <w:t xml:space="preserve"> Health Board.</w:t>
            </w:r>
          </w:p>
        </w:tc>
      </w:tr>
    </w:tbl>
    <w:p w14:paraId="04BEF220" w14:textId="77777777" w:rsidR="00B32127" w:rsidRPr="003A798E" w:rsidRDefault="00B32127"/>
    <w:tbl>
      <w:tblPr>
        <w:tblW w:w="10508" w:type="dxa"/>
        <w:shd w:val="clear" w:color="auto" w:fill="00C1C7" w:themeFill="accent2"/>
        <w:tblLayout w:type="fixed"/>
        <w:tblLook w:val="0600" w:firstRow="0" w:lastRow="0" w:firstColumn="0" w:lastColumn="0" w:noHBand="1" w:noVBand="1"/>
      </w:tblPr>
      <w:tblGrid>
        <w:gridCol w:w="851"/>
        <w:gridCol w:w="8690"/>
        <w:gridCol w:w="967"/>
      </w:tblGrid>
      <w:tr w:rsidR="0031055C" w:rsidRPr="003A798E" w14:paraId="24F1484D" w14:textId="77777777" w:rsidTr="0098239A">
        <w:trPr>
          <w:trHeight w:val="373"/>
        </w:trPr>
        <w:tc>
          <w:tcPr>
            <w:tcW w:w="851" w:type="dxa"/>
            <w:vMerge w:val="restart"/>
            <w:shd w:val="clear" w:color="auto" w:fill="00C1C7" w:themeFill="accent2"/>
          </w:tcPr>
          <w:p w14:paraId="2B59145D" w14:textId="77777777" w:rsidR="0031055C" w:rsidRPr="003A798E" w:rsidRDefault="0031055C" w:rsidP="0031055C">
            <w:pPr>
              <w:pStyle w:val="GraphicAnchor"/>
            </w:pPr>
          </w:p>
        </w:tc>
        <w:tc>
          <w:tcPr>
            <w:tcW w:w="8690" w:type="dxa"/>
            <w:tcBorders>
              <w:bottom w:val="single" w:sz="36" w:space="0" w:color="123869" w:themeColor="accent1"/>
            </w:tcBorders>
            <w:shd w:val="clear" w:color="auto" w:fill="00C1C7" w:themeFill="accent2"/>
          </w:tcPr>
          <w:p w14:paraId="136EF726" w14:textId="77777777" w:rsidR="0031055C" w:rsidRPr="003A798E" w:rsidRDefault="0031055C" w:rsidP="0031055C"/>
        </w:tc>
        <w:tc>
          <w:tcPr>
            <w:tcW w:w="967" w:type="dxa"/>
            <w:vMerge w:val="restart"/>
            <w:shd w:val="clear" w:color="auto" w:fill="00C1C7" w:themeFill="accent2"/>
          </w:tcPr>
          <w:p w14:paraId="230C2B99" w14:textId="77777777" w:rsidR="0031055C" w:rsidRPr="003A798E" w:rsidRDefault="0031055C" w:rsidP="00D6375E"/>
        </w:tc>
      </w:tr>
      <w:tr w:rsidR="0031055C" w:rsidRPr="003A798E" w14:paraId="248C2EAF" w14:textId="77777777" w:rsidTr="0098239A">
        <w:trPr>
          <w:trHeight w:val="3502"/>
        </w:trPr>
        <w:tc>
          <w:tcPr>
            <w:tcW w:w="851" w:type="dxa"/>
            <w:vMerge/>
            <w:shd w:val="clear" w:color="auto" w:fill="00C1C7" w:themeFill="accent2"/>
          </w:tcPr>
          <w:p w14:paraId="576F82E5" w14:textId="77777777" w:rsidR="0031055C" w:rsidRPr="003A798E" w:rsidRDefault="0031055C" w:rsidP="00D6375E"/>
        </w:tc>
        <w:tc>
          <w:tcPr>
            <w:tcW w:w="8690" w:type="dxa"/>
            <w:tcBorders>
              <w:top w:val="single" w:sz="36" w:space="0" w:color="123869" w:themeColor="accent1"/>
              <w:bottom w:val="single" w:sz="36" w:space="0" w:color="123869" w:themeColor="accent1"/>
            </w:tcBorders>
            <w:shd w:val="clear" w:color="auto" w:fill="FFFFFF" w:themeFill="background1"/>
            <w:vAlign w:val="center"/>
          </w:tcPr>
          <w:p w14:paraId="6BFD6B9F" w14:textId="27387AFE" w:rsidR="0031055C" w:rsidRPr="0098239A" w:rsidRDefault="0098239A" w:rsidP="00A24793">
            <w:pPr>
              <w:pStyle w:val="Quote"/>
              <w:rPr>
                <w:sz w:val="72"/>
                <w:szCs w:val="22"/>
              </w:rPr>
            </w:pPr>
            <w:r>
              <w:rPr>
                <w:sz w:val="72"/>
                <w:szCs w:val="22"/>
              </w:rPr>
              <w:t>CONCLUSION AND RECOMMENDATIONS</w:t>
            </w:r>
          </w:p>
        </w:tc>
        <w:tc>
          <w:tcPr>
            <w:tcW w:w="967" w:type="dxa"/>
            <w:vMerge/>
            <w:shd w:val="clear" w:color="auto" w:fill="00C1C7" w:themeFill="accent2"/>
          </w:tcPr>
          <w:p w14:paraId="7416AA32" w14:textId="77777777" w:rsidR="0031055C" w:rsidRPr="003A798E" w:rsidRDefault="0031055C" w:rsidP="00D6375E"/>
        </w:tc>
      </w:tr>
      <w:tr w:rsidR="0031055C" w:rsidRPr="003A798E" w14:paraId="5680728F" w14:textId="77777777" w:rsidTr="0098239A">
        <w:trPr>
          <w:trHeight w:val="9648"/>
        </w:trPr>
        <w:tc>
          <w:tcPr>
            <w:tcW w:w="851" w:type="dxa"/>
            <w:vMerge/>
            <w:shd w:val="clear" w:color="auto" w:fill="00C1C7" w:themeFill="accent2"/>
          </w:tcPr>
          <w:p w14:paraId="30E7C66B" w14:textId="77777777" w:rsidR="0031055C" w:rsidRPr="003A798E" w:rsidRDefault="0031055C" w:rsidP="00D6375E"/>
        </w:tc>
        <w:tc>
          <w:tcPr>
            <w:tcW w:w="8690" w:type="dxa"/>
            <w:tcBorders>
              <w:top w:val="single" w:sz="36" w:space="0" w:color="123869" w:themeColor="accent1"/>
            </w:tcBorders>
            <w:shd w:val="clear" w:color="auto" w:fill="00C1C7" w:themeFill="accent2"/>
          </w:tcPr>
          <w:p w14:paraId="3C7DDA93" w14:textId="77777777" w:rsidR="008D55DF" w:rsidRDefault="00952145" w:rsidP="008D55DF">
            <w:pPr>
              <w:spacing w:line="480" w:lineRule="auto"/>
              <w:jc w:val="both"/>
              <w:rPr>
                <w:rFonts w:ascii="Times New Roman" w:hAnsi="Times New Roman" w:cs="Times New Roman"/>
              </w:rPr>
            </w:pPr>
            <w:r>
              <w:rPr>
                <w:rFonts w:ascii="Times New Roman" w:hAnsi="Times New Roman" w:cs="Times New Roman"/>
              </w:rPr>
              <w:t xml:space="preserve">  </w:t>
            </w:r>
          </w:p>
          <w:p w14:paraId="329FD74E" w14:textId="1495FF3A" w:rsidR="00DD22B2" w:rsidRDefault="008D55DF" w:rsidP="008D55DF">
            <w:pPr>
              <w:spacing w:line="480" w:lineRule="auto"/>
              <w:jc w:val="both"/>
              <w:rPr>
                <w:rFonts w:ascii="Times New Roman" w:hAnsi="Times New Roman" w:cs="Times New Roman"/>
              </w:rPr>
            </w:pPr>
            <w:r>
              <w:rPr>
                <w:rFonts w:ascii="Times New Roman" w:hAnsi="Times New Roman" w:cs="Times New Roman"/>
              </w:rPr>
              <w:t xml:space="preserve">        </w:t>
            </w:r>
            <w:r w:rsidR="00DD22B2" w:rsidRPr="00DD22B2">
              <w:rPr>
                <w:rFonts w:ascii="Times New Roman" w:hAnsi="Times New Roman" w:cs="Times New Roman"/>
              </w:rPr>
              <w:t xml:space="preserve">The fact that hand hygiene compliance had broken down at the </w:t>
            </w:r>
            <w:proofErr w:type="spellStart"/>
            <w:r w:rsidR="00DD22B2" w:rsidRPr="00DD22B2">
              <w:rPr>
                <w:rFonts w:ascii="Times New Roman" w:hAnsi="Times New Roman" w:cs="Times New Roman"/>
              </w:rPr>
              <w:t>Glynafonshire</w:t>
            </w:r>
            <w:proofErr w:type="spellEnd"/>
            <w:r w:rsidR="00DD22B2" w:rsidRPr="00DD22B2">
              <w:rPr>
                <w:rFonts w:ascii="Times New Roman" w:hAnsi="Times New Roman" w:cs="Times New Roman"/>
              </w:rPr>
              <w:t xml:space="preserve"> Health Board should not be attributed to nurses not having the necessary knowledge or skills, since all of them had passed both their written and practical examinations and also had a good deal of experience in the job. According to Dual-Process Theory, the situation is instead an example of the kind of shift one would expect towards fast, automatic, System 1 behavior when prolonged staff shortages, consecutive shifts and a doubling of the number of patients have worn down the nurses' ability to maintain the slower, more strenuous System 2 vigilance that is needed for consistent hand hygiene. The Theory of Planned </w:t>
            </w:r>
            <w:proofErr w:type="spellStart"/>
            <w:r w:rsidR="00DD22B2" w:rsidRPr="00DD22B2">
              <w:rPr>
                <w:rFonts w:ascii="Times New Roman" w:hAnsi="Times New Roman" w:cs="Times New Roman"/>
              </w:rPr>
              <w:t>Behaviour</w:t>
            </w:r>
            <w:proofErr w:type="spellEnd"/>
            <w:r w:rsidR="00DD22B2" w:rsidRPr="00DD22B2">
              <w:rPr>
                <w:rFonts w:ascii="Times New Roman" w:hAnsi="Times New Roman" w:cs="Times New Roman"/>
              </w:rPr>
              <w:t xml:space="preserve"> and Cognitive Load Theory also support this explanation, demonstrating how a lack of perceived control, pressure from social norms and the high demands on working memory can all increase the pressure felt by the nurses. Evidence from the broader literature, comprising the studies by Yue and Pan (2025), </w:t>
            </w:r>
            <w:proofErr w:type="spellStart"/>
            <w:r w:rsidR="00DD22B2" w:rsidRPr="00DD22B2">
              <w:rPr>
                <w:rFonts w:ascii="Times New Roman" w:hAnsi="Times New Roman" w:cs="Times New Roman"/>
              </w:rPr>
              <w:t>Gaube</w:t>
            </w:r>
            <w:proofErr w:type="spellEnd"/>
            <w:r w:rsidR="00DD22B2" w:rsidRPr="00DD22B2">
              <w:rPr>
                <w:rFonts w:ascii="Times New Roman" w:hAnsi="Times New Roman" w:cs="Times New Roman"/>
              </w:rPr>
              <w:t xml:space="preserve"> et al. (2021), Chen and Tseng (2021), Michie et al. (2008) and Lhakhang et al. (2015), consistently indicates that hand hygiene compliance improves most reliably when motivation is combined with practical and low-effort support in the form of visual cues, self-monitoring tools, structured planning, easily accessible supplies and real organizational commitment. In the case of </w:t>
            </w:r>
            <w:proofErr w:type="spellStart"/>
            <w:r w:rsidR="00DD22B2" w:rsidRPr="00DD22B2">
              <w:rPr>
                <w:rFonts w:ascii="Times New Roman" w:hAnsi="Times New Roman" w:cs="Times New Roman"/>
              </w:rPr>
              <w:t>Glynafonshire</w:t>
            </w:r>
            <w:proofErr w:type="spellEnd"/>
            <w:r w:rsidR="00DD22B2" w:rsidRPr="00DD22B2">
              <w:rPr>
                <w:rFonts w:ascii="Times New Roman" w:hAnsi="Times New Roman" w:cs="Times New Roman"/>
              </w:rPr>
              <w:t xml:space="preserve">, any new procedure introduced </w:t>
            </w:r>
            <w:r w:rsidR="00DD22B2" w:rsidRPr="00DD22B2">
              <w:rPr>
                <w:rFonts w:ascii="Times New Roman" w:hAnsi="Times New Roman" w:cs="Times New Roman"/>
              </w:rPr>
              <w:lastRenderedPageBreak/>
              <w:t xml:space="preserve">as a result of this incident should include simple environmental prompts and planning aids together with a thorough examination of nursing workloads, and have to be put into place in such a way as to respect staff dignity and prevent the development of a punitive culture based on surveillance. Only by tackling both the cognitive and organizational </w:t>
            </w:r>
          </w:p>
          <w:p w14:paraId="29212E84" w14:textId="533BA7C3" w:rsidR="00DD22B2" w:rsidRPr="00DD22B2" w:rsidRDefault="00DD22B2" w:rsidP="008D55DF">
            <w:pPr>
              <w:spacing w:line="480" w:lineRule="auto"/>
              <w:jc w:val="both"/>
              <w:rPr>
                <w:rFonts w:ascii="Times New Roman" w:hAnsi="Times New Roman" w:cs="Times New Roman"/>
              </w:rPr>
            </w:pPr>
            <w:r w:rsidRPr="00DD22B2">
              <w:rPr>
                <w:rFonts w:ascii="Times New Roman" w:hAnsi="Times New Roman" w:cs="Times New Roman"/>
              </w:rPr>
              <w:t>causes of the mistake can the health board reasonably expect to prevent a similar incident from occurring again.</w:t>
            </w:r>
          </w:p>
          <w:p w14:paraId="46B3BE5A" w14:textId="790243DC" w:rsidR="0031055C" w:rsidRPr="00112ABA" w:rsidRDefault="0031055C" w:rsidP="008D55DF">
            <w:pPr>
              <w:spacing w:line="480" w:lineRule="auto"/>
              <w:jc w:val="both"/>
              <w:rPr>
                <w:rFonts w:ascii="Times New Roman" w:hAnsi="Times New Roman" w:cs="Times New Roman"/>
              </w:rPr>
            </w:pPr>
          </w:p>
        </w:tc>
        <w:tc>
          <w:tcPr>
            <w:tcW w:w="967" w:type="dxa"/>
            <w:vMerge/>
            <w:shd w:val="clear" w:color="auto" w:fill="00C1C7" w:themeFill="accent2"/>
          </w:tcPr>
          <w:p w14:paraId="789A6779" w14:textId="77777777" w:rsidR="0031055C" w:rsidRPr="003A798E" w:rsidRDefault="0031055C" w:rsidP="00D6375E"/>
        </w:tc>
      </w:tr>
    </w:tbl>
    <w:p w14:paraId="4DC3DEAD" w14:textId="77777777" w:rsidR="00DD22B2" w:rsidRDefault="00DD22B2" w:rsidP="008D55DF">
      <w:pPr>
        <w:pStyle w:val="Heading2"/>
        <w:rPr>
          <w:noProof/>
          <w:lang w:eastAsia="en-AU"/>
        </w:rPr>
      </w:pPr>
    </w:p>
    <w:p w14:paraId="0641E2C0" w14:textId="77777777" w:rsidR="00DD22B2" w:rsidRDefault="00DD22B2" w:rsidP="008D55DF">
      <w:pPr>
        <w:pStyle w:val="Heading2"/>
        <w:rPr>
          <w:noProof/>
          <w:lang w:eastAsia="en-AU"/>
        </w:rPr>
      </w:pPr>
    </w:p>
    <w:p w14:paraId="2691E2CC" w14:textId="77777777" w:rsidR="008D55DF" w:rsidRDefault="008D55DF" w:rsidP="0098239A">
      <w:pPr>
        <w:pStyle w:val="Heading2"/>
        <w:jc w:val="center"/>
        <w:rPr>
          <w:noProof/>
          <w:lang w:eastAsia="en-AU"/>
        </w:rPr>
      </w:pPr>
    </w:p>
    <w:p w14:paraId="02217C49" w14:textId="77777777" w:rsidR="008D55DF" w:rsidRDefault="008D55DF" w:rsidP="0098239A">
      <w:pPr>
        <w:pStyle w:val="Heading2"/>
        <w:jc w:val="center"/>
        <w:rPr>
          <w:noProof/>
          <w:lang w:eastAsia="en-AU"/>
        </w:rPr>
      </w:pPr>
    </w:p>
    <w:p w14:paraId="5F920722" w14:textId="77777777" w:rsidR="008D55DF" w:rsidRDefault="008D55DF" w:rsidP="0098239A">
      <w:pPr>
        <w:pStyle w:val="Heading2"/>
        <w:jc w:val="center"/>
        <w:rPr>
          <w:noProof/>
          <w:lang w:eastAsia="en-AU"/>
        </w:rPr>
      </w:pPr>
    </w:p>
    <w:p w14:paraId="6DDA2A1E" w14:textId="77777777" w:rsidR="008D55DF" w:rsidRDefault="008D55DF" w:rsidP="0098239A">
      <w:pPr>
        <w:pStyle w:val="Heading2"/>
        <w:jc w:val="center"/>
        <w:rPr>
          <w:noProof/>
          <w:lang w:eastAsia="en-AU"/>
        </w:rPr>
      </w:pPr>
    </w:p>
    <w:p w14:paraId="2DAA559D" w14:textId="77777777" w:rsidR="008D55DF" w:rsidRPr="008D55DF" w:rsidRDefault="008D55DF" w:rsidP="008D55DF">
      <w:pPr>
        <w:rPr>
          <w:lang w:eastAsia="en-AU"/>
        </w:rPr>
      </w:pPr>
    </w:p>
    <w:p w14:paraId="4063F1AD" w14:textId="4980D0E1" w:rsidR="006B2F4E" w:rsidRDefault="0098239A" w:rsidP="0098239A">
      <w:pPr>
        <w:pStyle w:val="Heading2"/>
        <w:jc w:val="center"/>
        <w:rPr>
          <w:noProof/>
          <w:lang w:eastAsia="en-AU"/>
        </w:rPr>
      </w:pPr>
      <w:r>
        <w:rPr>
          <w:noProof/>
          <w:lang w:eastAsia="en-AU"/>
        </w:rPr>
        <w:lastRenderedPageBreak/>
        <w:t>REFERENCE LIST</w:t>
      </w:r>
    </w:p>
    <w:p w14:paraId="61F4C25D" w14:textId="77777777" w:rsidR="006B2F4E" w:rsidRDefault="006B2F4E" w:rsidP="0098239A">
      <w:pPr>
        <w:pStyle w:val="Heading2"/>
        <w:jc w:val="center"/>
        <w:rPr>
          <w:noProof/>
          <w:lang w:eastAsia="en-AU"/>
        </w:rPr>
      </w:pPr>
    </w:p>
    <w:p w14:paraId="05D15742" w14:textId="77777777" w:rsidR="006B2F4E" w:rsidRPr="00667F9C" w:rsidRDefault="006B2F4E" w:rsidP="006B2F4E">
      <w:pPr>
        <w:jc w:val="center"/>
        <w:rPr>
          <w:b/>
          <w:i/>
        </w:rPr>
      </w:pPr>
      <w:r>
        <w:rPr>
          <w:b/>
          <w:i/>
        </w:rPr>
        <w:t>Presented in standard APA format</w:t>
      </w:r>
    </w:p>
    <w:p w14:paraId="18B7BD7B" w14:textId="553B6093" w:rsidR="00A81248" w:rsidRPr="003A798E" w:rsidRDefault="0098239A" w:rsidP="0098239A">
      <w:pPr>
        <w:pStyle w:val="Heading2"/>
        <w:jc w:val="center"/>
      </w:pPr>
      <w:r>
        <w:rPr>
          <w:noProof/>
          <w:lang w:eastAsia="en-AU"/>
        </w:rPr>
        <w:t xml:space="preserve"> </w:t>
      </w:r>
      <w:r>
        <w:rPr>
          <w:noProof/>
          <w:lang w:eastAsia="en-AU"/>
        </w:rPr>
        <mc:AlternateContent>
          <mc:Choice Requires="wps">
            <w:drawing>
              <wp:anchor distT="0" distB="0" distL="114300" distR="114300" simplePos="0" relativeHeight="251661312" behindDoc="1" locked="0" layoutInCell="1" allowOverlap="1" wp14:anchorId="6598AA6A" wp14:editId="1C28B894">
                <wp:simplePos x="0" y="0"/>
                <wp:positionH relativeFrom="column">
                  <wp:posOffset>-433449</wp:posOffset>
                </wp:positionH>
                <wp:positionV relativeFrom="paragraph">
                  <wp:posOffset>-8979487</wp:posOffset>
                </wp:positionV>
                <wp:extent cx="7771130" cy="11210307"/>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11210307"/>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06DB5D9D" id="Shape" o:spid="_x0000_s1026" alt="&quot;&quot;" style="position:absolute;margin-left:-34.15pt;margin-top:-707.05pt;width:611.9pt;height:882.7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21600,21600" o:gfxdata="UEsDBBQABgAIAAAAIQC2gziS/gAAAOEBAAATAAAAW0NvbnRlbnRfVHlwZXNdLnhtbJSRQU7DMBBF 90jcwfIWJU67QAgl6YK0S0CoHGBkTxKLZGx5TGhvj5O2G0SRWNoz/78nu9wcxkFMGNg6quQqL6RA 0s5Y6ir5vt9lD1JwBDIwOMJKHpHlpr69KfdHjyxSmriSfYz+USnWPY7AufNIadK6MEJMx9ApD/oD OlTrorhX2lFEilmcO2RdNtjC5xDF9pCuTyYBB5bi6bQ4syoJ3g9WQ0ymaiLzg5KdCXlKLjvcW893 SUOqXwnz5DrgnHtJTxOsQfEKIT7DmDSUCaxw7Rqn8787ZsmRM9e2VmPeBN4uqYvTtW7jvijg9N/y JsXecLq0q+WD6m8AAAD//wMAUEsDBBQABgAIAAAAIQA4/SH/1gAAAJQBAAALAAAAX3JlbHMvLnJl bHOkkMFqwzAMhu+DvYPRfXGawxijTi+j0GvpHsDYimMaW0Yy2fr2M4PBMnrbUb/Q94l/f/hMi1qR JVI2sOt6UJgd+ZiDgffL8ekFlFSbvV0oo4EbChzGx4f9GRdb25HMsYhqlCwG5lrLq9biZkxWOiqY 22YiTra2kYMu1l1tQD30/bPm3wwYN0x18gb45AdQl1tp5j/sFB2T0FQ7R0nTNEV3j6o9feQzro1i OWA14Fm+Q8a1a8+Bvu/d/dMb2JY5uiPbhG/ktn4cqGU/er3pcvwCAAD//wMAUEsDBBQABgAIAAAA IQBjqtlbQgIAAHEFAAAOAAAAZHJzL2Uyb0RvYy54bWyslN1u2yAUgO8n7R0Q94uN08ZRFKcXrTpN mtZK7R6AYByj8icgcfL2O2A7TtObrZov4GAO5+fjHNZ3RyXRgTsvjK4wmeUYcc1MLfSuwr9fH78t MfKB6ppKo3mFT9zju83XL+vOrnhhWiNr7hAY0X7V2Qq3IdhVlnnWckX9zFiuYbMxTtEAS7fLakc7 sK5kVuT5IuuMq60zjHsPfx/6TbxJ9puGs/DUNJ4HJCsMsYU0ujRu45ht1nS1c9S2gg1h0E9EoajQ 4PRs6oEGivZOfDClBHPGmybMmFGZaRrBeMoBsiH5VTYvLbU85QJwvD1j8v/PLPt1eLHPDjB01q88 iDGLY+NUnCE+dEywTmdY/BgQg59lWRIyB6YM9ggpSD7Py8gzm86zvQ/fuUm26OGnDz3uepRoO0rs qEGMPkFCNFZPnoBa42MIXV1gBI5amHsfoPdO/fYmj9+/HSL58jOnFlB6f+cLYEypOSjH60J0GEEh bvtCtDREIjGvKKKuwgVZQFKoPUvA3+1juz29jYyUOfBXk06F6b7IzaJcDrAmDak/avY+eqzj/jjb ZHGIAi5gns/HGxhVxvlaNXUXABj3x7nXI2Ve3qY7vdZj0njeRxMppIo6k4lAL6rKGynqRyFlzD69 GvxeOnSg0O+UMa4DGRC805Q6siVFORSMEgGeISlUhYcyGmmA96kzorQ19ekZdH9oaMP5ksTbCZcL d7nYXi6oZq2Bx4cFl4KK5qCvU4LDGxQfjst1cj+9lJs/AAAA//8DAFBLAwQUAAYACAAAACEAV1yW TOEAAAAOAQAADwAAAGRycy9kb3ducmV2LnhtbEyPwU7DMAyG70i8Q2Qkbltauo6qNJ0QUiVOkzbY PWtNW2ic0GRr9/Z4JyZfbPnT78/FZjaDOOPoe0sK4mUEAqm2TU+tgs+PapGB8EFTowdLqOCCHjbl /V2h88ZOtMPzPrSCQ8jnWkEXgsul9HWHRvuldUi8+7Kj0YHHsZXNqCcON4N8iqK1NLonvtBph28d 1j/7k1EwZdvpuQpmO7+7w/dqlx0u7rdS6vFhfn0BEXAO/zBc9VkdSnY62hM1XgwKFussYZSbeMUF 4srEaZqCOCpI0jgBWRby9o3yDwAA//8DAFBLAQItABQABgAIAAAAIQC2gziS/gAAAOEBAAATAAAA AAAAAAAAAAAAAAAAAABbQ29udGVudF9UeXBlc10ueG1sUEsBAi0AFAAGAAgAAAAhADj9If/WAAAA lAEAAAsAAAAAAAAAAAAAAAAALwEAAF9yZWxzLy5yZWxzUEsBAi0AFAAGAAgAAAAhAGOq2VtCAgAA cQUAAA4AAAAAAAAAAAAAAAAALgIAAGRycy9lMm9Eb2MueG1sUEsBAi0AFAAGAAgAAAAhAFdclkzh AAAADgEAAA8AAAAAAAAAAAAAAAAAnAQAAGRycy9kb3ducmV2LnhtbFBLBQYAAAAABAAEAPMAAACq BQAAAAA= " path="m,14678r,6922l21600,3032,21600,,17075,,,14678xe" fillcolor="#123869 [3204]" stroked="f" strokeweight="1pt">
                <v:stroke miterlimit="4" joinstyle="miter"/>
                <v:path arrowok="t" o:extrusionok="f" o:connecttype="custom" o:connectlocs="3885565,5605154;3885565,5605154;3885565,5605154;3885565,5605154" o:connectangles="0,90,180,270"/>
              </v:shape>
            </w:pict>
          </mc:Fallback>
        </mc:AlternateContent>
      </w:r>
    </w:p>
    <w:p w14:paraId="18B7BD7C" w14:textId="1F4C73E4"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Ajzen, I. (1991). The theory of planned behavior. </w:t>
      </w:r>
      <w:r w:rsidRPr="00112ABA">
        <w:rPr>
          <w:rFonts w:ascii="Times New Roman" w:hAnsi="Times New Roman" w:cs="Times New Roman"/>
          <w:i/>
          <w:iCs/>
        </w:rPr>
        <w:t>Organizational Behavior and Human Decision Processes, 50</w:t>
      </w:r>
      <w:r w:rsidRPr="00112ABA">
        <w:rPr>
          <w:rFonts w:ascii="Times New Roman" w:hAnsi="Times New Roman" w:cs="Times New Roman"/>
        </w:rPr>
        <w:t xml:space="preserve">(2), 179–211. </w:t>
      </w:r>
      <w:hyperlink r:id="rId13" w:history="1">
        <w:r w:rsidR="00112ABA" w:rsidRPr="00457607">
          <w:rPr>
            <w:rStyle w:val="Hyperlink"/>
            <w:rFonts w:ascii="Times New Roman" w:hAnsi="Times New Roman" w:cs="Times New Roman"/>
          </w:rPr>
          <w:t>https://doi.org/10.1016/0749-5978(91)90020-t</w:t>
        </w:r>
      </w:hyperlink>
    </w:p>
    <w:p w14:paraId="5A07C614" w14:textId="77777777" w:rsidR="00112ABA" w:rsidRPr="00112ABA" w:rsidRDefault="00112ABA" w:rsidP="00112ABA">
      <w:pPr>
        <w:spacing w:line="360" w:lineRule="auto"/>
        <w:ind w:left="720" w:hanging="720"/>
        <w:jc w:val="both"/>
        <w:rPr>
          <w:rFonts w:ascii="Times New Roman" w:hAnsi="Times New Roman" w:cs="Times New Roman"/>
        </w:rPr>
      </w:pPr>
    </w:p>
    <w:p w14:paraId="18B7BD7D" w14:textId="2CEF5D23"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Chen, W., &amp; Tseng, C.-L. (2021). What are healthcare workers’ preferences for hand hygiene interventions? A discrete choice experiment. </w:t>
      </w:r>
      <w:r w:rsidRPr="00112ABA">
        <w:rPr>
          <w:rFonts w:ascii="Times New Roman" w:hAnsi="Times New Roman" w:cs="Times New Roman"/>
          <w:i/>
          <w:iCs/>
        </w:rPr>
        <w:t>BMJ Open, 11</w:t>
      </w:r>
      <w:r w:rsidRPr="00112ABA">
        <w:rPr>
          <w:rFonts w:ascii="Times New Roman" w:hAnsi="Times New Roman" w:cs="Times New Roman"/>
        </w:rPr>
        <w:t xml:space="preserve">(11), e052195. </w:t>
      </w:r>
      <w:hyperlink r:id="rId14" w:history="1">
        <w:r w:rsidR="00112ABA" w:rsidRPr="00457607">
          <w:rPr>
            <w:rStyle w:val="Hyperlink"/>
            <w:rFonts w:ascii="Times New Roman" w:hAnsi="Times New Roman" w:cs="Times New Roman"/>
          </w:rPr>
          <w:t>https://doi.org/10.1136/bmjopen-2021-052195</w:t>
        </w:r>
      </w:hyperlink>
    </w:p>
    <w:p w14:paraId="59D4B52F" w14:textId="77777777" w:rsidR="00112ABA" w:rsidRPr="00112ABA" w:rsidRDefault="00112ABA" w:rsidP="00112ABA">
      <w:pPr>
        <w:spacing w:line="360" w:lineRule="auto"/>
        <w:ind w:left="720" w:hanging="720"/>
        <w:jc w:val="both"/>
        <w:rPr>
          <w:rFonts w:ascii="Times New Roman" w:hAnsi="Times New Roman" w:cs="Times New Roman"/>
        </w:rPr>
      </w:pPr>
    </w:p>
    <w:p w14:paraId="18B7BD7E" w14:textId="553B6096"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Gaube, S., Fischer, P., &amp; Lermer, E. (2021). Hand(y) hygiene insights: Applying three theoretical models to investigate hospital patients’ and visitors’ hand hygiene behavior.</w:t>
      </w:r>
    </w:p>
    <w:p w14:paraId="1F1F26D5" w14:textId="77777777" w:rsidR="00112ABA" w:rsidRPr="00112ABA" w:rsidRDefault="00112ABA" w:rsidP="00112ABA">
      <w:pPr>
        <w:spacing w:line="360" w:lineRule="auto"/>
        <w:ind w:left="720" w:hanging="720"/>
        <w:jc w:val="both"/>
        <w:rPr>
          <w:rFonts w:ascii="Times New Roman" w:hAnsi="Times New Roman" w:cs="Times New Roman"/>
        </w:rPr>
      </w:pPr>
    </w:p>
    <w:p w14:paraId="18B7BD7F" w14:textId="4C3C5FF4"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Lhakhang, P., Lippke, S., Knoll, N., &amp; Schwarzer, R. (2015). Evaluating brief motivational and self-regulatory hand hygiene interventions: A cross-over longitudinal design. </w:t>
      </w:r>
      <w:r w:rsidRPr="00112ABA">
        <w:rPr>
          <w:rFonts w:ascii="Times New Roman" w:hAnsi="Times New Roman" w:cs="Times New Roman"/>
          <w:i/>
          <w:iCs/>
        </w:rPr>
        <w:t>BMC Public Health, 15</w:t>
      </w:r>
      <w:r w:rsidRPr="00112ABA">
        <w:rPr>
          <w:rFonts w:ascii="Times New Roman" w:hAnsi="Times New Roman" w:cs="Times New Roman"/>
        </w:rPr>
        <w:t xml:space="preserve">(1). </w:t>
      </w:r>
      <w:hyperlink r:id="rId15" w:history="1">
        <w:r w:rsidR="00112ABA" w:rsidRPr="00457607">
          <w:rPr>
            <w:rStyle w:val="Hyperlink"/>
            <w:rFonts w:ascii="Times New Roman" w:hAnsi="Times New Roman" w:cs="Times New Roman"/>
          </w:rPr>
          <w:t>https://doi.org/10.1186/s12889-015-1453-7</w:t>
        </w:r>
      </w:hyperlink>
    </w:p>
    <w:p w14:paraId="65311E82" w14:textId="77777777" w:rsidR="00112ABA" w:rsidRPr="00112ABA" w:rsidRDefault="00112ABA" w:rsidP="00112ABA">
      <w:pPr>
        <w:spacing w:line="360" w:lineRule="auto"/>
        <w:ind w:left="720" w:hanging="720"/>
        <w:jc w:val="both"/>
        <w:rPr>
          <w:rFonts w:ascii="Times New Roman" w:hAnsi="Times New Roman" w:cs="Times New Roman"/>
        </w:rPr>
      </w:pPr>
    </w:p>
    <w:p w14:paraId="18B7BD80" w14:textId="553B6098"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McClure, S. M., Laibson, D. I., Loewenstein, G., &amp; Cohen, J. D. (2004). Separate neural systems value immediate and delayed monetary rewards. </w:t>
      </w:r>
      <w:r w:rsidRPr="00112ABA">
        <w:rPr>
          <w:rFonts w:ascii="Times New Roman" w:hAnsi="Times New Roman" w:cs="Times New Roman"/>
          <w:i/>
          <w:iCs/>
        </w:rPr>
        <w:t>Science, 306</w:t>
      </w:r>
      <w:r w:rsidRPr="00112ABA">
        <w:rPr>
          <w:rFonts w:ascii="Times New Roman" w:hAnsi="Times New Roman" w:cs="Times New Roman"/>
        </w:rPr>
        <w:t>(5695), 503–507.</w:t>
      </w:r>
    </w:p>
    <w:p w14:paraId="0A3AC08A" w14:textId="77777777" w:rsidR="00112ABA" w:rsidRPr="00112ABA" w:rsidRDefault="00112ABA" w:rsidP="00112ABA">
      <w:pPr>
        <w:spacing w:line="360" w:lineRule="auto"/>
        <w:ind w:left="720" w:hanging="720"/>
        <w:jc w:val="both"/>
        <w:rPr>
          <w:rFonts w:ascii="Times New Roman" w:hAnsi="Times New Roman" w:cs="Times New Roman"/>
        </w:rPr>
      </w:pPr>
    </w:p>
    <w:p w14:paraId="18B7BD81" w14:textId="0ABB70BF"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Michie, S., Johnston, M., Francis, J., Hardeman, W., &amp; Eccles, M. (2008). From theory to intervention: Mapping theoretically derived behavioural determinants to behaviour change techniques. </w:t>
      </w:r>
      <w:r w:rsidRPr="00112ABA">
        <w:rPr>
          <w:rFonts w:ascii="Times New Roman" w:hAnsi="Times New Roman" w:cs="Times New Roman"/>
          <w:i/>
          <w:iCs/>
        </w:rPr>
        <w:t>Applied Psychology, 57</w:t>
      </w:r>
      <w:r w:rsidRPr="00112ABA">
        <w:rPr>
          <w:rFonts w:ascii="Times New Roman" w:hAnsi="Times New Roman" w:cs="Times New Roman"/>
        </w:rPr>
        <w:t xml:space="preserve">(4), 660–680. </w:t>
      </w:r>
      <w:hyperlink r:id="rId16" w:history="1">
        <w:r w:rsidR="00112ABA" w:rsidRPr="00457607">
          <w:rPr>
            <w:rStyle w:val="Hyperlink"/>
            <w:rFonts w:ascii="Times New Roman" w:hAnsi="Times New Roman" w:cs="Times New Roman"/>
          </w:rPr>
          <w:t>https://doi.org/10.1111/j.1464-0597.2008.00341.x</w:t>
        </w:r>
      </w:hyperlink>
    </w:p>
    <w:p w14:paraId="110FC06B" w14:textId="77777777" w:rsidR="00112ABA" w:rsidRPr="00112ABA" w:rsidRDefault="00112ABA" w:rsidP="00112ABA">
      <w:pPr>
        <w:spacing w:line="360" w:lineRule="auto"/>
        <w:ind w:left="720" w:hanging="720"/>
        <w:jc w:val="both"/>
        <w:rPr>
          <w:rFonts w:ascii="Times New Roman" w:hAnsi="Times New Roman" w:cs="Times New Roman"/>
        </w:rPr>
      </w:pPr>
    </w:p>
    <w:p w14:paraId="18B7BD82" w14:textId="1F72164D"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Schneider, W., &amp; Shiffrin, R. M. (1977a). Controlled and automatic human information processing: I. Detection, search, and attention. </w:t>
      </w:r>
      <w:r w:rsidRPr="00112ABA">
        <w:rPr>
          <w:rFonts w:ascii="Times New Roman" w:hAnsi="Times New Roman" w:cs="Times New Roman"/>
          <w:i/>
          <w:iCs/>
        </w:rPr>
        <w:t>Psychological Review, 84</w:t>
      </w:r>
      <w:r w:rsidRPr="00112ABA">
        <w:rPr>
          <w:rFonts w:ascii="Times New Roman" w:hAnsi="Times New Roman" w:cs="Times New Roman"/>
        </w:rPr>
        <w:t xml:space="preserve">(1), 1–66. </w:t>
      </w:r>
      <w:hyperlink r:id="rId17" w:history="1">
        <w:r w:rsidR="00112ABA" w:rsidRPr="00457607">
          <w:rPr>
            <w:rStyle w:val="Hyperlink"/>
            <w:rFonts w:ascii="Times New Roman" w:hAnsi="Times New Roman" w:cs="Times New Roman"/>
          </w:rPr>
          <w:t>https://doi.org/10.1037//0033-295x.84.1.1</w:t>
        </w:r>
      </w:hyperlink>
    </w:p>
    <w:p w14:paraId="60329B40" w14:textId="77777777" w:rsidR="00112ABA" w:rsidRPr="00112ABA" w:rsidRDefault="00112ABA" w:rsidP="00112ABA">
      <w:pPr>
        <w:spacing w:line="360" w:lineRule="auto"/>
        <w:ind w:left="720" w:hanging="720"/>
        <w:jc w:val="both"/>
        <w:rPr>
          <w:rFonts w:ascii="Times New Roman" w:hAnsi="Times New Roman" w:cs="Times New Roman"/>
        </w:rPr>
      </w:pPr>
    </w:p>
    <w:p w14:paraId="18B7BD83" w14:textId="5A0FC260"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Schneider, W., &amp; Shiffrin, R. M. (1977b). Controlled and automatic human information processing: I. Detection, search, and attention. </w:t>
      </w:r>
      <w:r w:rsidRPr="00112ABA">
        <w:rPr>
          <w:rFonts w:ascii="Times New Roman" w:hAnsi="Times New Roman" w:cs="Times New Roman"/>
          <w:i/>
          <w:iCs/>
        </w:rPr>
        <w:t>Psychological Review, 84</w:t>
      </w:r>
      <w:r w:rsidRPr="00112ABA">
        <w:rPr>
          <w:rFonts w:ascii="Times New Roman" w:hAnsi="Times New Roman" w:cs="Times New Roman"/>
        </w:rPr>
        <w:t xml:space="preserve">(1), 1–66. </w:t>
      </w:r>
      <w:hyperlink r:id="rId18" w:history="1">
        <w:r w:rsidR="00112ABA" w:rsidRPr="00457607">
          <w:rPr>
            <w:rStyle w:val="Hyperlink"/>
            <w:rFonts w:ascii="Times New Roman" w:hAnsi="Times New Roman" w:cs="Times New Roman"/>
          </w:rPr>
          <w:t>https://doi.org/10.1037//0033-295x.84.1.1</w:t>
        </w:r>
      </w:hyperlink>
    </w:p>
    <w:p w14:paraId="6A89A5CC" w14:textId="77777777" w:rsidR="00112ABA" w:rsidRPr="00112ABA" w:rsidRDefault="00112ABA" w:rsidP="00112ABA">
      <w:pPr>
        <w:spacing w:line="360" w:lineRule="auto"/>
        <w:ind w:left="720" w:hanging="720"/>
        <w:jc w:val="both"/>
        <w:rPr>
          <w:rFonts w:ascii="Times New Roman" w:hAnsi="Times New Roman" w:cs="Times New Roman"/>
        </w:rPr>
      </w:pPr>
    </w:p>
    <w:p w14:paraId="18B7BD84" w14:textId="224F77B1"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Shleifer, A. (2012). Psychologists at the gate: A review of Daniel Kahneman’s Thinking, Fast and Slow. </w:t>
      </w:r>
      <w:r w:rsidRPr="00112ABA">
        <w:rPr>
          <w:rFonts w:ascii="Times New Roman" w:hAnsi="Times New Roman" w:cs="Times New Roman"/>
          <w:i/>
          <w:iCs/>
        </w:rPr>
        <w:t>Journal of Economic Literature, 50</w:t>
      </w:r>
      <w:r w:rsidRPr="00112ABA">
        <w:rPr>
          <w:rFonts w:ascii="Times New Roman" w:hAnsi="Times New Roman" w:cs="Times New Roman"/>
        </w:rPr>
        <w:t xml:space="preserve">(4), 1080–1091. </w:t>
      </w:r>
      <w:hyperlink r:id="rId19" w:history="1">
        <w:r w:rsidR="00112ABA" w:rsidRPr="00457607">
          <w:rPr>
            <w:rStyle w:val="Hyperlink"/>
            <w:rFonts w:ascii="Times New Roman" w:hAnsi="Times New Roman" w:cs="Times New Roman"/>
          </w:rPr>
          <w:t>https://doi.org/10.1257/jel.50.4.1080</w:t>
        </w:r>
      </w:hyperlink>
    </w:p>
    <w:p w14:paraId="2E61CD06" w14:textId="77777777" w:rsidR="00112ABA" w:rsidRPr="00112ABA" w:rsidRDefault="00112ABA" w:rsidP="00112ABA">
      <w:pPr>
        <w:spacing w:line="360" w:lineRule="auto"/>
        <w:ind w:left="720" w:hanging="720"/>
        <w:jc w:val="both"/>
        <w:rPr>
          <w:rFonts w:ascii="Times New Roman" w:hAnsi="Times New Roman" w:cs="Times New Roman"/>
        </w:rPr>
      </w:pPr>
    </w:p>
    <w:p w14:paraId="18B7BD85" w14:textId="50748811"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lastRenderedPageBreak/>
        <w:t xml:space="preserve">Sweller, J. (1988). Cognitive load during problem solving: Effects on learning. </w:t>
      </w:r>
      <w:r w:rsidRPr="00112ABA">
        <w:rPr>
          <w:rFonts w:ascii="Times New Roman" w:hAnsi="Times New Roman" w:cs="Times New Roman"/>
          <w:i/>
          <w:iCs/>
        </w:rPr>
        <w:t>Cognitive Science, 12</w:t>
      </w:r>
      <w:r w:rsidRPr="00112ABA">
        <w:rPr>
          <w:rFonts w:ascii="Times New Roman" w:hAnsi="Times New Roman" w:cs="Times New Roman"/>
        </w:rPr>
        <w:t xml:space="preserve">(2), 257–285. </w:t>
      </w:r>
      <w:hyperlink r:id="rId20" w:history="1">
        <w:r w:rsidR="00112ABA" w:rsidRPr="00457607">
          <w:rPr>
            <w:rStyle w:val="Hyperlink"/>
            <w:rFonts w:ascii="Times New Roman" w:hAnsi="Times New Roman" w:cs="Times New Roman"/>
          </w:rPr>
          <w:t>https://doi.org/10.1207/s15516709cog1202_4</w:t>
        </w:r>
      </w:hyperlink>
    </w:p>
    <w:p w14:paraId="5D09E872" w14:textId="77777777" w:rsidR="00112ABA" w:rsidRPr="00112ABA" w:rsidRDefault="00112ABA" w:rsidP="00112ABA">
      <w:pPr>
        <w:spacing w:line="360" w:lineRule="auto"/>
        <w:ind w:left="720" w:hanging="720"/>
        <w:jc w:val="both"/>
        <w:rPr>
          <w:rFonts w:ascii="Times New Roman" w:hAnsi="Times New Roman" w:cs="Times New Roman"/>
        </w:rPr>
      </w:pPr>
    </w:p>
    <w:p w14:paraId="18B7BD86" w14:textId="6217B72C" w:rsidR="00A81248" w:rsidRDefault="00A81248" w:rsidP="00112ABA">
      <w:pPr>
        <w:spacing w:line="360" w:lineRule="auto"/>
        <w:ind w:left="720" w:hanging="720"/>
        <w:jc w:val="both"/>
        <w:rPr>
          <w:rFonts w:ascii="Times New Roman" w:hAnsi="Times New Roman" w:cs="Times New Roman"/>
        </w:rPr>
      </w:pPr>
      <w:r w:rsidRPr="00112ABA">
        <w:rPr>
          <w:rFonts w:ascii="Times New Roman" w:hAnsi="Times New Roman" w:cs="Times New Roman"/>
        </w:rPr>
        <w:t xml:space="preserve">Yue, J., &amp; Pan, H. (2025). Enhancing hand hygiene compliance in healthcare settings: A long time intervention study. </w:t>
      </w:r>
      <w:r w:rsidRPr="00112ABA">
        <w:rPr>
          <w:rFonts w:ascii="Times New Roman" w:hAnsi="Times New Roman" w:cs="Times New Roman"/>
          <w:i/>
          <w:iCs/>
        </w:rPr>
        <w:t>Frontiers in Public Health, 13</w:t>
      </w:r>
      <w:r w:rsidRPr="00112ABA">
        <w:rPr>
          <w:rFonts w:ascii="Times New Roman" w:hAnsi="Times New Roman" w:cs="Times New Roman"/>
        </w:rPr>
        <w:t xml:space="preserve">. </w:t>
      </w:r>
      <w:hyperlink r:id="rId21" w:history="1">
        <w:r w:rsidR="00112ABA" w:rsidRPr="00457607">
          <w:rPr>
            <w:rStyle w:val="Hyperlink"/>
            <w:rFonts w:ascii="Times New Roman" w:hAnsi="Times New Roman" w:cs="Times New Roman"/>
          </w:rPr>
          <w:t>https://doi.org/10.3389/fpubh.2025.1588336</w:t>
        </w:r>
      </w:hyperlink>
    </w:p>
    <w:p w14:paraId="119A0E86" w14:textId="77777777" w:rsidR="00112ABA" w:rsidRPr="00112ABA" w:rsidRDefault="00112ABA" w:rsidP="00112ABA">
      <w:pPr>
        <w:spacing w:line="360" w:lineRule="auto"/>
        <w:ind w:left="720" w:hanging="720"/>
        <w:jc w:val="both"/>
        <w:rPr>
          <w:rFonts w:ascii="Times New Roman" w:hAnsi="Times New Roman" w:cs="Times New Roman"/>
        </w:rPr>
      </w:pPr>
    </w:p>
    <w:sectPr w:rsidR="00112ABA" w:rsidRPr="00112ABA" w:rsidSect="00A24793">
      <w:footerReference w:type="even" r:id="rId22"/>
      <w:footerReference w:type="default" r:id="rId23"/>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545EB2" w14:textId="77777777" w:rsidR="000603DA" w:rsidRDefault="000603DA" w:rsidP="001205A1">
      <w:r>
        <w:separator/>
      </w:r>
    </w:p>
  </w:endnote>
  <w:endnote w:type="continuationSeparator" w:id="0">
    <w:p w14:paraId="6BE6E3D3" w14:textId="77777777" w:rsidR="000603DA" w:rsidRDefault="000603DA"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97884697"/>
      <w:docPartObj>
        <w:docPartGallery w:val="Page Numbers (Bottom of Page)"/>
        <w:docPartUnique/>
      </w:docPartObj>
    </w:sdtPr>
    <w:sdtContent>
      <w:p w14:paraId="198F700F"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2ECA9D28"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041358343"/>
      <w:docPartObj>
        <w:docPartGallery w:val="Page Numbers (Bottom of Page)"/>
        <w:docPartUnique/>
      </w:docPartObj>
    </w:sdtPr>
    <w:sdtContent>
      <w:p w14:paraId="31DC9860" w14:textId="77777777" w:rsidR="001205A1" w:rsidRDefault="001205A1" w:rsidP="001739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21EEB6C5" w14:textId="77777777" w:rsidTr="005F4F46">
      <w:tc>
        <w:tcPr>
          <w:tcW w:w="5395" w:type="dxa"/>
        </w:tcPr>
        <w:p w14:paraId="76CE729D" w14:textId="63E679B3" w:rsidR="001205A1" w:rsidRPr="001205A1" w:rsidRDefault="000A2B5E" w:rsidP="00C66528">
          <w:pPr>
            <w:pStyle w:val="Footer"/>
          </w:pPr>
          <w:r>
            <w:rPr>
              <w:color w:val="7F7F7F" w:themeColor="text1" w:themeTint="80"/>
            </w:rPr>
            <w:t>CASE REPORT</w:t>
          </w:r>
        </w:p>
      </w:tc>
      <w:tc>
        <w:tcPr>
          <w:tcW w:w="5395" w:type="dxa"/>
        </w:tcPr>
        <w:p w14:paraId="690FE5C5" w14:textId="77777777" w:rsidR="001205A1" w:rsidRPr="001205A1" w:rsidRDefault="001205A1" w:rsidP="001205A1">
          <w:pPr>
            <w:pStyle w:val="Footer"/>
          </w:pPr>
          <w:r w:rsidRPr="001205A1">
            <w:t xml:space="preserve">   </w:t>
          </w:r>
        </w:p>
      </w:tc>
    </w:tr>
  </w:tbl>
  <w:p w14:paraId="5DE6753D"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7E8610E" w14:textId="77777777" w:rsidR="000603DA" w:rsidRDefault="000603DA" w:rsidP="001205A1">
      <w:r>
        <w:separator/>
      </w:r>
    </w:p>
  </w:footnote>
  <w:footnote w:type="continuationSeparator" w:id="0">
    <w:p w14:paraId="318EE43A" w14:textId="77777777" w:rsidR="000603DA" w:rsidRDefault="000603DA"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B57B41"/>
    <w:multiLevelType w:val="multilevel"/>
    <w:tmpl w:val="0A4C4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843EDD"/>
    <w:multiLevelType w:val="multilevel"/>
    <w:tmpl w:val="B394D1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6435124">
    <w:abstractNumId w:val="0"/>
  </w:num>
  <w:num w:numId="2" w16cid:durableId="384722168">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4F9A"/>
    <w:rsid w:val="000603DA"/>
    <w:rsid w:val="000A2B5E"/>
    <w:rsid w:val="000B0A4E"/>
    <w:rsid w:val="000C4ED1"/>
    <w:rsid w:val="000D5641"/>
    <w:rsid w:val="000E131D"/>
    <w:rsid w:val="000F0CE7"/>
    <w:rsid w:val="000F23D3"/>
    <w:rsid w:val="00112ABA"/>
    <w:rsid w:val="001205A1"/>
    <w:rsid w:val="001415CA"/>
    <w:rsid w:val="00190FA9"/>
    <w:rsid w:val="001A5D89"/>
    <w:rsid w:val="001B238C"/>
    <w:rsid w:val="002803FF"/>
    <w:rsid w:val="002877E8"/>
    <w:rsid w:val="00291796"/>
    <w:rsid w:val="002B2FD4"/>
    <w:rsid w:val="002E7C4E"/>
    <w:rsid w:val="002F08A4"/>
    <w:rsid w:val="0030419A"/>
    <w:rsid w:val="0031055C"/>
    <w:rsid w:val="00334E59"/>
    <w:rsid w:val="0034143E"/>
    <w:rsid w:val="00356039"/>
    <w:rsid w:val="00371EE1"/>
    <w:rsid w:val="00387389"/>
    <w:rsid w:val="003A798E"/>
    <w:rsid w:val="00425A99"/>
    <w:rsid w:val="00450684"/>
    <w:rsid w:val="005228C0"/>
    <w:rsid w:val="00540AEE"/>
    <w:rsid w:val="00561ABD"/>
    <w:rsid w:val="0057620D"/>
    <w:rsid w:val="005E6B25"/>
    <w:rsid w:val="005F4F46"/>
    <w:rsid w:val="00605AF1"/>
    <w:rsid w:val="00695A86"/>
    <w:rsid w:val="006B2F4E"/>
    <w:rsid w:val="006B7872"/>
    <w:rsid w:val="006C60E6"/>
    <w:rsid w:val="006C6426"/>
    <w:rsid w:val="00766C02"/>
    <w:rsid w:val="00793C9F"/>
    <w:rsid w:val="007B0740"/>
    <w:rsid w:val="007C1BAB"/>
    <w:rsid w:val="00841737"/>
    <w:rsid w:val="00871889"/>
    <w:rsid w:val="008D55DF"/>
    <w:rsid w:val="00913380"/>
    <w:rsid w:val="00943565"/>
    <w:rsid w:val="00952145"/>
    <w:rsid w:val="0098239A"/>
    <w:rsid w:val="009B4F9A"/>
    <w:rsid w:val="00A15CF7"/>
    <w:rsid w:val="00A24793"/>
    <w:rsid w:val="00A65495"/>
    <w:rsid w:val="00A81248"/>
    <w:rsid w:val="00AB1151"/>
    <w:rsid w:val="00AB4BAF"/>
    <w:rsid w:val="00B00D13"/>
    <w:rsid w:val="00B32127"/>
    <w:rsid w:val="00C424AB"/>
    <w:rsid w:val="00C615CE"/>
    <w:rsid w:val="00C66528"/>
    <w:rsid w:val="00C915F0"/>
    <w:rsid w:val="00CD2A70"/>
    <w:rsid w:val="00D720ED"/>
    <w:rsid w:val="00DD22B2"/>
    <w:rsid w:val="00DF4B00"/>
    <w:rsid w:val="00E65201"/>
    <w:rsid w:val="00E904C6"/>
    <w:rsid w:val="00E90514"/>
    <w:rsid w:val="00ED2DC4"/>
    <w:rsid w:val="00F00899"/>
    <w:rsid w:val="00F21281"/>
    <w:rsid w:val="00F72E3E"/>
    <w:rsid w:val="00F85307"/>
    <w:rsid w:val="00F95970"/>
    <w:rsid w:val="00FA38A4"/>
    <w:rsid w:val="00FB65B8"/>
    <w:rsid w:val="00FC49AE"/>
    <w:rsid w:val="00FD2FC3"/>
    <w:rsid w:val="00FF29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9D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9"/>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9"/>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semiHidden/>
    <w:rsid w:val="00112ABA"/>
    <w:rPr>
      <w:color w:val="0000FF" w:themeColor="hyperlink"/>
      <w:u w:val="single"/>
    </w:rPr>
  </w:style>
  <w:style w:type="character" w:styleId="UnresolvedMention">
    <w:name w:val="Unresolved Mention"/>
    <w:basedOn w:val="DefaultParagraphFont"/>
    <w:uiPriority w:val="99"/>
    <w:semiHidden/>
    <w:unhideWhenUsed/>
    <w:rsid w:val="00112ABA"/>
    <w:rPr>
      <w:color w:val="605E5C"/>
      <w:shd w:val="clear" w:color="auto" w:fill="E1DFDD"/>
    </w:rPr>
  </w:style>
  <w:style w:type="paragraph" w:styleId="NormalWeb">
    <w:name w:val="Normal (Web)"/>
    <w:basedOn w:val="Normal"/>
    <w:uiPriority w:val="99"/>
    <w:semiHidden/>
    <w:unhideWhenUsed/>
    <w:rsid w:val="00B32127"/>
    <w:pPr>
      <w:spacing w:before="100" w:beforeAutospacing="1" w:after="100" w:afterAutospacing="1"/>
    </w:pPr>
    <w:rPr>
      <w:rFonts w:ascii="Times New Roman" w:eastAsia="Times New Roman" w:hAnsi="Times New Roman" w:cs="Times New Roman"/>
      <w:lang w:val="en-MY"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0749-5978(91)90020-t" TargetMode="External"/><Relationship Id="rId18" Type="http://schemas.openxmlformats.org/officeDocument/2006/relationships/hyperlink" Target="https://doi.org/10.1037//0033-295x.84.1.1" TargetMode="External"/><Relationship Id="rId3" Type="http://schemas.openxmlformats.org/officeDocument/2006/relationships/customXml" Target="../customXml/item3.xml"/><Relationship Id="rId21" Type="http://schemas.openxmlformats.org/officeDocument/2006/relationships/hyperlink" Target="https://doi.org/10.3389/fpubh.2025.1588336" TargetMode="External"/><Relationship Id="rId7" Type="http://schemas.openxmlformats.org/officeDocument/2006/relationships/settings" Target="settings.xml"/><Relationship Id="rId12" Type="http://schemas.openxmlformats.org/officeDocument/2006/relationships/hyperlink" Target="https://app.grammarly.com/" TargetMode="External"/><Relationship Id="rId17" Type="http://schemas.openxmlformats.org/officeDocument/2006/relationships/hyperlink" Target="https://doi.org/10.1037//0033-295x.84.1.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11/j.1464-0597.2008.00341.x" TargetMode="External"/><Relationship Id="rId20" Type="http://schemas.openxmlformats.org/officeDocument/2006/relationships/hyperlink" Target="https://doi.org/10.1207/s15516709cog1202_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laude.ai/new"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oi.org/10.1186/s12889-015-1453-7"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doi.org/10.1257/jel.50.4.108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36/bmjopen-2021-052195" TargetMode="External"/><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kw\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63f3a6f-16eb-4ca4-beb2-4f87f0c91b55" xsi:nil="true"/>
    <lcf76f155ced4ddcb4097134ff3c332f xmlns="5e4a8a2b-071a-43f3-ba94-c7426236c764">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44A2AAC6175794380721E2EDD335AA4" ma:contentTypeVersion="16" ma:contentTypeDescription="Create a new document." ma:contentTypeScope="" ma:versionID="e65abad5fd8ac9d36829a7eb55bf3c5a">
  <xsd:schema xmlns:xsd="http://www.w3.org/2001/XMLSchema" xmlns:xs="http://www.w3.org/2001/XMLSchema" xmlns:p="http://schemas.microsoft.com/office/2006/metadata/properties" xmlns:ns2="5e4a8a2b-071a-43f3-ba94-c7426236c764" xmlns:ns3="a63f3a6f-16eb-4ca4-beb2-4f87f0c91b55" targetNamespace="http://schemas.microsoft.com/office/2006/metadata/properties" ma:root="true" ma:fieldsID="68b2d94620b269db46ec7966c03d026b" ns2:_="" ns3:_="">
    <xsd:import namespace="5e4a8a2b-071a-43f3-ba94-c7426236c764"/>
    <xsd:import namespace="a63f3a6f-16eb-4ca4-beb2-4f87f0c91b5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element ref="ns3:SharedWithUsers" minOccurs="0"/>
                <xsd:element ref="ns3:SharedWithDetails" minOccurs="0"/>
                <xsd:element ref="ns2:MediaServiceLocatio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a8a2b-071a-43f3-ba94-c7426236c7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63f3a6f-16eb-4ca4-beb2-4f87f0c91b55"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d44cc8fb-8599-462b-a272-dbf4b6e35c80}" ma:internalName="TaxCatchAll" ma:showField="CatchAllData" ma:web="a63f3a6f-16eb-4ca4-beb2-4f87f0c91b55">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a63f3a6f-16eb-4ca4-beb2-4f87f0c91b55"/>
    <ds:schemaRef ds:uri="5e4a8a2b-071a-43f3-ba94-c7426236c764"/>
  </ds:schemaRefs>
</ds:datastoreItem>
</file>

<file path=customXml/itemProps2.xml><?xml version="1.0" encoding="utf-8"?>
<ds:datastoreItem xmlns:ds="http://schemas.openxmlformats.org/officeDocument/2006/customXml" ds:itemID="{EED32308-DE96-4352-9784-054A384780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a8a2b-071a-43f3-ba94-c7426236c764"/>
    <ds:schemaRef ds:uri="a63f3a6f-16eb-4ca4-beb2-4f87f0c91b5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56B97B-6D3E-2840-8EC5-696750CBCCCB}">
  <ds:schemaRefs>
    <ds:schemaRef ds:uri="http://schemas.openxmlformats.org/officeDocument/2006/bibliography"/>
  </ds:schemaRefs>
</ds:datastoreItem>
</file>

<file path=customXml/itemProps4.xml><?xml version="1.0" encoding="utf-8"?>
<ds:datastoreItem xmlns:ds="http://schemas.openxmlformats.org/officeDocument/2006/customXml" ds:itemID="{EF425F07-5221-4468-81DD-0F0C28E7FD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C:\Users\edu-kw\AppData\Roaming\Microsoft\Templates\Jazzy student report.dotx</Template>
  <TotalTime>0</TotalTime>
  <Pages>14</Pages>
  <Words>2558</Words>
  <Characters>14581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2026-08-16T04:05:00Z</dcterms:created>
  <dcterms:modified xsi:type="dcterms:W3CDTF">2026-08-26T13:03:00Z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0x010100244A2AAC6175794380721E2EDD335AA4</vt:lpwstr>
  </property>
  <property fmtid="{D5CDD505-2E9C-101B-9397-08002B2CF9AE}" pid="3" name="GrammarlyDocumentId">
    <vt:lpwstr>3e1e57a8ec0d65d0fa0e806bbb2c7747ac3d0b8ba8b62b01ad2333f6ed14c95f</vt:lpwstr>
  </property>
</Properties>
</file>