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7DD56F" w14:textId="77777777" w:rsidR="004826A7" w:rsidRPr="007D4E52" w:rsidRDefault="00B0195C">
      <w:pPr>
        <w:rPr>
          <w:u w:val="single"/>
        </w:rPr>
      </w:pPr>
      <w:r w:rsidRPr="007D4E52">
        <w:rPr>
          <w:u w:val="single"/>
        </w:rPr>
        <w:t xml:space="preserve">Secondary </w:t>
      </w:r>
      <w:r w:rsidR="004826A7" w:rsidRPr="007D4E52">
        <w:rPr>
          <w:u w:val="single"/>
        </w:rPr>
        <w:t>Literature Review:</w:t>
      </w:r>
    </w:p>
    <w:p w14:paraId="3DC3369A" w14:textId="1138A4EA" w:rsidR="004D36DF" w:rsidRPr="007D4E52" w:rsidRDefault="00B0195C">
      <w:pPr>
        <w:rPr>
          <w:u w:val="single"/>
        </w:rPr>
      </w:pPr>
      <w:r w:rsidRPr="007D4E52">
        <w:rPr>
          <w:u w:val="single"/>
        </w:rPr>
        <w:t>Judith Butler, Gender Trouble: Feminism and the Subversion of Identity (Routledge, 2007).</w:t>
      </w:r>
    </w:p>
    <w:p w14:paraId="567A0B32" w14:textId="783F2FFC" w:rsidR="00F53C6A" w:rsidRPr="00426A2A" w:rsidRDefault="00F33E31" w:rsidP="00741AF5">
      <w:r>
        <w:t>‘</w:t>
      </w:r>
      <w:r w:rsidR="00F53C6A" w:rsidRPr="00F33E31">
        <w:t xml:space="preserve">Gender Trouble: Feminism and the </w:t>
      </w:r>
      <w:r w:rsidR="00FC5AE9" w:rsidRPr="00F33E31">
        <w:t>Subversion of Identity</w:t>
      </w:r>
      <w:r>
        <w:t>’</w:t>
      </w:r>
      <w:r w:rsidR="00FC5AE9" w:rsidRPr="00426A2A">
        <w:t xml:space="preserve"> </w:t>
      </w:r>
      <w:r w:rsidR="008262E4" w:rsidRPr="00426A2A">
        <w:t xml:space="preserve">by Judith Butler </w:t>
      </w:r>
      <w:r w:rsidR="00C36A15" w:rsidRPr="00426A2A">
        <w:t xml:space="preserve">covers </w:t>
      </w:r>
      <w:r w:rsidR="00E82EB7" w:rsidRPr="00426A2A">
        <w:t xml:space="preserve">many topics </w:t>
      </w:r>
      <w:r w:rsidR="0098456A" w:rsidRPr="00426A2A">
        <w:t>that concern the issues involved with feminist history</w:t>
      </w:r>
      <w:r w:rsidR="00CD30C8" w:rsidRPr="00426A2A">
        <w:t xml:space="preserve">. </w:t>
      </w:r>
      <w:r w:rsidR="007D4E52" w:rsidRPr="00426A2A">
        <w:t>For example</w:t>
      </w:r>
      <w:r w:rsidR="001F328F" w:rsidRPr="00426A2A">
        <w:t>:</w:t>
      </w:r>
      <w:r w:rsidR="007D4E52" w:rsidRPr="00426A2A">
        <w:t xml:space="preserve"> </w:t>
      </w:r>
      <w:r w:rsidR="001F328F" w:rsidRPr="00426A2A">
        <w:t xml:space="preserve">feminist theory, identity, </w:t>
      </w:r>
      <w:r w:rsidR="006C0A4A" w:rsidRPr="00426A2A">
        <w:t xml:space="preserve">gender and ‘sex </w:t>
      </w:r>
      <w:proofErr w:type="gramStart"/>
      <w:r w:rsidR="006C0A4A" w:rsidRPr="00426A2A">
        <w:t>differences’</w:t>
      </w:r>
      <w:proofErr w:type="gramEnd"/>
      <w:r w:rsidR="006C0A4A" w:rsidRPr="00426A2A">
        <w:t>.</w:t>
      </w:r>
      <w:r w:rsidR="00C06B85">
        <w:t xml:space="preserve"> This book is described as being ‘</w:t>
      </w:r>
      <w:r w:rsidR="002C0C48">
        <w:t>a</w:t>
      </w:r>
      <w:r w:rsidR="00C06B85">
        <w:t>s celeb</w:t>
      </w:r>
      <w:r w:rsidR="00AD7AEF">
        <w:t>rated as it is controversial’</w:t>
      </w:r>
      <w:r w:rsidR="002C0C48">
        <w:t>.</w:t>
      </w:r>
      <w:r w:rsidR="002C0C48">
        <w:rPr>
          <w:rStyle w:val="FootnoteReference"/>
        </w:rPr>
        <w:footnoteReference w:id="1"/>
      </w:r>
      <w:r w:rsidR="00C022E5">
        <w:t xml:space="preserve"> </w:t>
      </w:r>
    </w:p>
    <w:p w14:paraId="39E588D3" w14:textId="57EE43CC" w:rsidR="00E03FF0" w:rsidRDefault="00E03FF0" w:rsidP="00741AF5">
      <w:r w:rsidRPr="00426A2A">
        <w:t xml:space="preserve">As stated by the author in the </w:t>
      </w:r>
      <w:r w:rsidR="00E335BB" w:rsidRPr="00426A2A">
        <w:t>1999 preface</w:t>
      </w:r>
      <w:r w:rsidR="0063065D">
        <w:t>,</w:t>
      </w:r>
      <w:r w:rsidR="00E335BB" w:rsidRPr="00426A2A">
        <w:t xml:space="preserve"> </w:t>
      </w:r>
      <w:r w:rsidR="001169ED" w:rsidRPr="00426A2A">
        <w:t>the book</w:t>
      </w:r>
      <w:r w:rsidR="00E335BB" w:rsidRPr="00426A2A">
        <w:t xml:space="preserve"> </w:t>
      </w:r>
      <w:r w:rsidR="001169ED" w:rsidRPr="00426A2A">
        <w:t>‘</w:t>
      </w:r>
      <w:r w:rsidR="00E335BB" w:rsidRPr="00426A2A">
        <w:t xml:space="preserve">sought to uncover the ways in which the very thinking </w:t>
      </w:r>
      <w:r w:rsidR="00CC49E5" w:rsidRPr="00426A2A">
        <w:t>of what is possible in gendered life is foreclosed by certain habitual and violent presumptions’.</w:t>
      </w:r>
      <w:r w:rsidR="00CC49E5" w:rsidRPr="00426A2A">
        <w:rPr>
          <w:rStyle w:val="FootnoteReference"/>
        </w:rPr>
        <w:footnoteReference w:id="2"/>
      </w:r>
      <w:r w:rsidR="0065111C">
        <w:t xml:space="preserve"> This preface also discusses</w:t>
      </w:r>
      <w:r w:rsidR="00D42B14">
        <w:t xml:space="preserve"> gender hierarchy</w:t>
      </w:r>
      <w:r w:rsidR="00170A26">
        <w:t>. I</w:t>
      </w:r>
      <w:r w:rsidR="0063065D">
        <w:t>t is</w:t>
      </w:r>
      <w:r w:rsidR="00170A26">
        <w:t xml:space="preserve"> </w:t>
      </w:r>
      <w:r w:rsidR="005A63AA">
        <w:t xml:space="preserve">interesting that </w:t>
      </w:r>
      <w:r w:rsidR="00A26859">
        <w:t>the author also mentions within this pre</w:t>
      </w:r>
      <w:r w:rsidR="00656E73">
        <w:t>face that if they were to rewrite this whole text they would include</w:t>
      </w:r>
      <w:r w:rsidR="00C20E53">
        <w:t xml:space="preserve"> </w:t>
      </w:r>
      <w:r w:rsidR="007B07C0">
        <w:t xml:space="preserve">a </w:t>
      </w:r>
      <w:r w:rsidR="00A029A1">
        <w:t>‘</w:t>
      </w:r>
      <w:r w:rsidR="007B07C0">
        <w:t xml:space="preserve">discussion </w:t>
      </w:r>
      <w:r w:rsidR="00A029A1">
        <w:t xml:space="preserve">of transgender </w:t>
      </w:r>
      <w:r w:rsidR="00CC785F">
        <w:t>and intersexuality</w:t>
      </w:r>
      <w:r w:rsidR="00F25A20">
        <w:t>’.</w:t>
      </w:r>
      <w:r w:rsidR="00F25A20">
        <w:rPr>
          <w:rStyle w:val="FootnoteReference"/>
        </w:rPr>
        <w:footnoteReference w:id="3"/>
      </w:r>
      <w:r w:rsidR="00F23B59">
        <w:t xml:space="preserve"> </w:t>
      </w:r>
    </w:p>
    <w:p w14:paraId="34D49CE6" w14:textId="5FA6A68B" w:rsidR="00D926DB" w:rsidRPr="00426A2A" w:rsidRDefault="003973BF" w:rsidP="00741AF5">
      <w:r>
        <w:t xml:space="preserve">The previous </w:t>
      </w:r>
      <w:r w:rsidR="009839EE">
        <w:t xml:space="preserve">1990 preface </w:t>
      </w:r>
      <w:r w:rsidR="0018235A">
        <w:t xml:space="preserve">states that ‘To expose the foundational </w:t>
      </w:r>
      <w:r w:rsidR="00D038BB">
        <w:t xml:space="preserve">categories </w:t>
      </w:r>
      <w:r w:rsidR="00FE6E97">
        <w:t xml:space="preserve">of sex, gender and desire as effects of a specific </w:t>
      </w:r>
      <w:r w:rsidR="00146CF0">
        <w:t xml:space="preserve">formation </w:t>
      </w:r>
      <w:r w:rsidR="00E102D2">
        <w:t xml:space="preserve">of power requires a form of critical inquiry </w:t>
      </w:r>
      <w:r w:rsidR="00B016D1">
        <w:t xml:space="preserve">that Foucault, reformulating </w:t>
      </w:r>
      <w:r w:rsidR="00E83FD3">
        <w:t xml:space="preserve">Nietzsche designates </w:t>
      </w:r>
      <w:r w:rsidR="000C2417">
        <w:t>as ‘</w:t>
      </w:r>
      <w:r w:rsidR="00FF1A33">
        <w:t>genealogy</w:t>
      </w:r>
      <w:r w:rsidR="000C2417">
        <w:t>’’.</w:t>
      </w:r>
      <w:r w:rsidR="000C2417">
        <w:rPr>
          <w:rStyle w:val="FootnoteReference"/>
        </w:rPr>
        <w:footnoteReference w:id="4"/>
      </w:r>
      <w:r w:rsidR="00FF1A33">
        <w:t xml:space="preserve"> </w:t>
      </w:r>
      <w:r w:rsidR="00B64F3C">
        <w:t xml:space="preserve">This suggests the complicated nature </w:t>
      </w:r>
      <w:r w:rsidR="009E0A4E">
        <w:t>of the conten</w:t>
      </w:r>
      <w:r w:rsidR="005406A9">
        <w:t>t discussed</w:t>
      </w:r>
      <w:r w:rsidR="000C5B28">
        <w:t xml:space="preserve">. </w:t>
      </w:r>
    </w:p>
    <w:p w14:paraId="742A6C7A" w14:textId="75BFD2F1" w:rsidR="00824D5F" w:rsidRPr="00426A2A" w:rsidRDefault="00FD725F" w:rsidP="00741AF5">
      <w:pPr>
        <w:rPr>
          <w:rFonts w:eastAsia="Times New Roman" w:cs="Arial"/>
          <w:color w:val="000000"/>
          <w:shd w:val="clear" w:color="auto" w:fill="FEFEFE"/>
        </w:rPr>
      </w:pPr>
      <w:r w:rsidRPr="00426A2A">
        <w:t xml:space="preserve">Judith Butler </w:t>
      </w:r>
      <w:r w:rsidR="00022511" w:rsidRPr="00426A2A">
        <w:t xml:space="preserve">is an American academic </w:t>
      </w:r>
      <w:r w:rsidR="00824D5F" w:rsidRPr="00426A2A">
        <w:t>who</w:t>
      </w:r>
      <w:r w:rsidR="00022511" w:rsidRPr="00426A2A">
        <w:t xml:space="preserve"> </w:t>
      </w:r>
      <w:r w:rsidR="00824D5F" w:rsidRPr="00426A2A">
        <w:t xml:space="preserve">has key theories </w:t>
      </w:r>
      <w:r w:rsidR="005E7643" w:rsidRPr="00426A2A">
        <w:t>about the</w:t>
      </w:r>
      <w:r w:rsidR="00022511" w:rsidRPr="00426A2A">
        <w:t xml:space="preserve"> </w:t>
      </w:r>
      <w:r w:rsidR="00EE3198" w:rsidRPr="00426A2A">
        <w:t>performative</w:t>
      </w:r>
      <w:r w:rsidR="00022511" w:rsidRPr="00426A2A">
        <w:t xml:space="preserve"> nature of gender and sex</w:t>
      </w:r>
      <w:r w:rsidR="00824D5F" w:rsidRPr="00426A2A">
        <w:t>.</w:t>
      </w:r>
      <w:r w:rsidR="00EE07E6" w:rsidRPr="00426A2A">
        <w:rPr>
          <w:rStyle w:val="FootnoteReference"/>
        </w:rPr>
        <w:footnoteReference w:id="5"/>
      </w:r>
      <w:r w:rsidR="00EE07E6" w:rsidRPr="00426A2A">
        <w:t xml:space="preserve"> </w:t>
      </w:r>
      <w:r w:rsidR="00CF70D5" w:rsidRPr="00426A2A">
        <w:rPr>
          <w:rFonts w:eastAsia="Times New Roman" w:cs="Arial"/>
          <w:color w:val="000000"/>
          <w:shd w:val="clear" w:color="auto" w:fill="FEFEFE"/>
        </w:rPr>
        <w:t>The book’s wide-ranging line of inquiry, unforgiving style, and often abrupt shifts in focus are well known—and widely lamented among readers.</w:t>
      </w:r>
      <w:r w:rsidR="00EE07E6" w:rsidRPr="00426A2A">
        <w:rPr>
          <w:rStyle w:val="FootnoteReference"/>
          <w:rFonts w:eastAsia="Times New Roman" w:cs="Arial"/>
          <w:color w:val="000000"/>
          <w:shd w:val="clear" w:color="auto" w:fill="FEFEFE"/>
        </w:rPr>
        <w:footnoteReference w:id="6"/>
      </w:r>
      <w:r w:rsidR="00BC3528" w:rsidRPr="00426A2A">
        <w:rPr>
          <w:rFonts w:eastAsia="Times New Roman" w:cs="Arial"/>
          <w:color w:val="000000"/>
          <w:shd w:val="clear" w:color="auto" w:fill="FEFEFE"/>
        </w:rPr>
        <w:t xml:space="preserve"> </w:t>
      </w:r>
      <w:r w:rsidR="00FB451A" w:rsidRPr="00FB451A">
        <w:rPr>
          <w:rFonts w:eastAsia="Times New Roman" w:cs="Arial"/>
          <w:color w:val="000000"/>
          <w:shd w:val="clear" w:color="auto" w:fill="FEFEFE"/>
        </w:rPr>
        <w:t>The author is approaching this topic from a feminist perspective. Some points are also drawn from French poststructuralism.</w:t>
      </w:r>
    </w:p>
    <w:p w14:paraId="5124855B" w14:textId="4818363B" w:rsidR="00426A2A" w:rsidRDefault="00426A2A" w:rsidP="00741AF5">
      <w:pPr>
        <w:rPr>
          <w:rFonts w:eastAsia="Times New Roman" w:cs="Arial"/>
          <w:color w:val="000000"/>
          <w:shd w:val="clear" w:color="auto" w:fill="FEFEFE"/>
        </w:rPr>
      </w:pPr>
      <w:r>
        <w:rPr>
          <w:rFonts w:eastAsia="Times New Roman" w:cs="Arial"/>
          <w:color w:val="000000"/>
          <w:shd w:val="clear" w:color="auto" w:fill="FEFEFE"/>
        </w:rPr>
        <w:t>Chapter one of this text dis</w:t>
      </w:r>
      <w:r w:rsidR="00134CF1">
        <w:rPr>
          <w:rFonts w:eastAsia="Times New Roman" w:cs="Arial"/>
          <w:color w:val="000000"/>
          <w:shd w:val="clear" w:color="auto" w:fill="FEFEFE"/>
        </w:rPr>
        <w:t>cusses ‘subjects of sex/gender/desire’</w:t>
      </w:r>
      <w:r w:rsidR="00D25DE0">
        <w:rPr>
          <w:rFonts w:eastAsia="Times New Roman" w:cs="Arial"/>
          <w:color w:val="000000"/>
          <w:shd w:val="clear" w:color="auto" w:fill="FEFEFE"/>
        </w:rPr>
        <w:t xml:space="preserve">, as well as reconsidering the status of ‘women’ </w:t>
      </w:r>
      <w:r w:rsidR="00C824F1">
        <w:rPr>
          <w:rFonts w:eastAsia="Times New Roman" w:cs="Arial"/>
          <w:color w:val="000000"/>
          <w:shd w:val="clear" w:color="auto" w:fill="FEFEFE"/>
        </w:rPr>
        <w:t>as the subject of feminism and the sex/gender</w:t>
      </w:r>
      <w:r w:rsidR="00381EB2">
        <w:rPr>
          <w:rFonts w:eastAsia="Times New Roman" w:cs="Arial"/>
          <w:color w:val="000000"/>
          <w:shd w:val="clear" w:color="auto" w:fill="FEFEFE"/>
        </w:rPr>
        <w:t xml:space="preserve"> distinction.</w:t>
      </w:r>
      <w:r w:rsidR="004A3F1E">
        <w:rPr>
          <w:rFonts w:eastAsia="Times New Roman" w:cs="Arial"/>
          <w:color w:val="000000"/>
          <w:shd w:val="clear" w:color="auto" w:fill="FEFEFE"/>
        </w:rPr>
        <w:t xml:space="preserve"> </w:t>
      </w:r>
      <w:r w:rsidR="001673A8">
        <w:rPr>
          <w:rFonts w:eastAsia="Times New Roman" w:cs="Arial"/>
          <w:color w:val="000000"/>
          <w:shd w:val="clear" w:color="auto" w:fill="FEFEFE"/>
        </w:rPr>
        <w:t xml:space="preserve">It also states that ‘representation’ will be shown to make sense </w:t>
      </w:r>
      <w:r w:rsidR="00233D8A">
        <w:rPr>
          <w:rFonts w:eastAsia="Times New Roman" w:cs="Arial"/>
          <w:color w:val="000000"/>
          <w:shd w:val="clear" w:color="auto" w:fill="FEFEFE"/>
        </w:rPr>
        <w:t xml:space="preserve">for feminism only when the subject of ‘women’ is </w:t>
      </w:r>
      <w:r w:rsidR="00E97265">
        <w:rPr>
          <w:rFonts w:eastAsia="Times New Roman" w:cs="Arial"/>
          <w:color w:val="000000"/>
          <w:shd w:val="clear" w:color="auto" w:fill="FEFEFE"/>
        </w:rPr>
        <w:t>presumed.</w:t>
      </w:r>
      <w:r w:rsidR="00E97265">
        <w:rPr>
          <w:rStyle w:val="FootnoteReference"/>
          <w:rFonts w:eastAsia="Times New Roman" w:cs="Arial"/>
          <w:color w:val="000000"/>
          <w:shd w:val="clear" w:color="auto" w:fill="FEFEFE"/>
        </w:rPr>
        <w:footnoteReference w:id="7"/>
      </w:r>
      <w:r w:rsidR="002644E9">
        <w:rPr>
          <w:rFonts w:eastAsia="Times New Roman" w:cs="Arial"/>
          <w:color w:val="000000"/>
          <w:shd w:val="clear" w:color="auto" w:fill="FEFEFE"/>
        </w:rPr>
        <w:t xml:space="preserve"> This chapter also discusses </w:t>
      </w:r>
      <w:r w:rsidR="004676E1">
        <w:rPr>
          <w:rFonts w:eastAsia="Times New Roman" w:cs="Arial"/>
          <w:color w:val="000000"/>
          <w:shd w:val="clear" w:color="auto" w:fill="FEFEFE"/>
        </w:rPr>
        <w:t xml:space="preserve">the </w:t>
      </w:r>
      <w:r w:rsidR="004B29BB">
        <w:rPr>
          <w:rFonts w:eastAsia="Times New Roman" w:cs="Arial"/>
          <w:color w:val="000000"/>
          <w:shd w:val="clear" w:color="auto" w:fill="FEFEFE"/>
        </w:rPr>
        <w:t xml:space="preserve">theorizing </w:t>
      </w:r>
      <w:r w:rsidR="00644234">
        <w:rPr>
          <w:rFonts w:eastAsia="Times New Roman" w:cs="Arial"/>
          <w:color w:val="000000"/>
          <w:shd w:val="clear" w:color="auto" w:fill="FEFEFE"/>
        </w:rPr>
        <w:t xml:space="preserve">the binary, the unitary and beyond, and identity, sex, </w:t>
      </w:r>
      <w:r w:rsidR="006A03E2">
        <w:rPr>
          <w:rFonts w:eastAsia="Times New Roman" w:cs="Arial"/>
          <w:color w:val="000000"/>
          <w:shd w:val="clear" w:color="auto" w:fill="FEFEFE"/>
        </w:rPr>
        <w:t xml:space="preserve">and the metaphysics of substance. The author also states in this chapter </w:t>
      </w:r>
      <w:r w:rsidR="000D2171">
        <w:rPr>
          <w:rFonts w:eastAsia="Times New Roman" w:cs="Arial"/>
          <w:color w:val="000000"/>
          <w:shd w:val="clear" w:color="auto" w:fill="FEFEFE"/>
        </w:rPr>
        <w:t xml:space="preserve">‘there is no gender identity beyond </w:t>
      </w:r>
      <w:r w:rsidR="004A3C9D">
        <w:rPr>
          <w:rFonts w:eastAsia="Times New Roman" w:cs="Arial"/>
          <w:color w:val="000000"/>
          <w:shd w:val="clear" w:color="auto" w:fill="FEFEFE"/>
        </w:rPr>
        <w:t>the expressions of gender; that i</w:t>
      </w:r>
      <w:r w:rsidR="009C4514">
        <w:rPr>
          <w:rFonts w:eastAsia="Times New Roman" w:cs="Arial"/>
          <w:color w:val="000000"/>
          <w:shd w:val="clear" w:color="auto" w:fill="FEFEFE"/>
        </w:rPr>
        <w:t xml:space="preserve">dentity is performatively </w:t>
      </w:r>
      <w:r w:rsidR="008221DE">
        <w:rPr>
          <w:rFonts w:eastAsia="Times New Roman" w:cs="Arial"/>
          <w:color w:val="000000"/>
          <w:shd w:val="clear" w:color="auto" w:fill="FEFEFE"/>
        </w:rPr>
        <w:t>const</w:t>
      </w:r>
      <w:r w:rsidR="002A5B37">
        <w:rPr>
          <w:rFonts w:eastAsia="Times New Roman" w:cs="Arial"/>
          <w:color w:val="000000"/>
          <w:shd w:val="clear" w:color="auto" w:fill="FEFEFE"/>
        </w:rPr>
        <w:t xml:space="preserve">ituted by the very ‘expressions’ </w:t>
      </w:r>
      <w:r w:rsidR="00425F80">
        <w:rPr>
          <w:rFonts w:eastAsia="Times New Roman" w:cs="Arial"/>
          <w:color w:val="000000"/>
          <w:shd w:val="clear" w:color="auto" w:fill="FEFEFE"/>
        </w:rPr>
        <w:t>that are said to be its results’.</w:t>
      </w:r>
      <w:r w:rsidR="00425F80">
        <w:rPr>
          <w:rStyle w:val="FootnoteReference"/>
          <w:rFonts w:eastAsia="Times New Roman" w:cs="Arial"/>
          <w:color w:val="000000"/>
          <w:shd w:val="clear" w:color="auto" w:fill="FEFEFE"/>
        </w:rPr>
        <w:footnoteReference w:id="8"/>
      </w:r>
      <w:r w:rsidR="002A5B37">
        <w:rPr>
          <w:rFonts w:eastAsia="Times New Roman" w:cs="Arial"/>
          <w:color w:val="000000"/>
          <w:shd w:val="clear" w:color="auto" w:fill="FEFEFE"/>
        </w:rPr>
        <w:t xml:space="preserve"> </w:t>
      </w:r>
    </w:p>
    <w:p w14:paraId="6DD3B3B1" w14:textId="6B991B77" w:rsidR="004826A7" w:rsidRDefault="00381EB2" w:rsidP="00741AF5">
      <w:pPr>
        <w:rPr>
          <w:rFonts w:eastAsia="Times New Roman" w:cs="Arial"/>
          <w:color w:val="000000"/>
          <w:shd w:val="clear" w:color="auto" w:fill="FEFEFE"/>
        </w:rPr>
      </w:pPr>
      <w:r>
        <w:rPr>
          <w:rFonts w:eastAsia="Times New Roman" w:cs="Arial"/>
          <w:color w:val="000000"/>
          <w:shd w:val="clear" w:color="auto" w:fill="FEFEFE"/>
        </w:rPr>
        <w:t xml:space="preserve">Chapter </w:t>
      </w:r>
      <w:r w:rsidR="00BE3D0E">
        <w:rPr>
          <w:rFonts w:eastAsia="Times New Roman" w:cs="Arial"/>
          <w:color w:val="000000"/>
          <w:shd w:val="clear" w:color="auto" w:fill="FEFEFE"/>
        </w:rPr>
        <w:t xml:space="preserve">two offers </w:t>
      </w:r>
      <w:r w:rsidR="00445B43">
        <w:rPr>
          <w:rFonts w:eastAsia="Times New Roman" w:cs="Arial"/>
          <w:color w:val="000000"/>
          <w:shd w:val="clear" w:color="auto" w:fill="FEFEFE"/>
        </w:rPr>
        <w:t>a selective reading of</w:t>
      </w:r>
      <w:r w:rsidR="00BC78F1">
        <w:rPr>
          <w:rFonts w:eastAsia="Times New Roman" w:cs="Arial"/>
          <w:color w:val="000000"/>
          <w:shd w:val="clear" w:color="auto" w:fill="FEFEFE"/>
        </w:rPr>
        <w:t xml:space="preserve"> structuralism</w:t>
      </w:r>
      <w:r w:rsidR="00AD21FA">
        <w:rPr>
          <w:rFonts w:eastAsia="Times New Roman" w:cs="Arial"/>
          <w:color w:val="000000"/>
          <w:shd w:val="clear" w:color="auto" w:fill="FEFEFE"/>
        </w:rPr>
        <w:t xml:space="preserve">, </w:t>
      </w:r>
      <w:r w:rsidR="000007A4">
        <w:rPr>
          <w:rFonts w:eastAsia="Times New Roman" w:cs="Arial"/>
          <w:color w:val="000000"/>
          <w:shd w:val="clear" w:color="auto" w:fill="FEFEFE"/>
        </w:rPr>
        <w:t>psychoanalytic</w:t>
      </w:r>
      <w:r w:rsidR="00AD21FA">
        <w:rPr>
          <w:rFonts w:eastAsia="Times New Roman" w:cs="Arial"/>
          <w:color w:val="000000"/>
          <w:shd w:val="clear" w:color="auto" w:fill="FEFEFE"/>
        </w:rPr>
        <w:t xml:space="preserve"> </w:t>
      </w:r>
      <w:r w:rsidR="000007A4">
        <w:rPr>
          <w:rFonts w:eastAsia="Times New Roman" w:cs="Arial"/>
          <w:color w:val="000000"/>
          <w:shd w:val="clear" w:color="auto" w:fill="FEFEFE"/>
        </w:rPr>
        <w:t xml:space="preserve">and feminist accounts of the </w:t>
      </w:r>
      <w:r w:rsidR="00E06C87">
        <w:rPr>
          <w:rFonts w:eastAsia="Times New Roman" w:cs="Arial"/>
          <w:color w:val="000000"/>
          <w:shd w:val="clear" w:color="auto" w:fill="FEFEFE"/>
        </w:rPr>
        <w:t xml:space="preserve">incest taboo </w:t>
      </w:r>
      <w:r w:rsidR="00751905">
        <w:rPr>
          <w:rFonts w:eastAsia="Times New Roman" w:cs="Arial"/>
          <w:color w:val="000000"/>
          <w:shd w:val="clear" w:color="auto" w:fill="FEFEFE"/>
        </w:rPr>
        <w:t xml:space="preserve">as the mechanism that tries to enforce </w:t>
      </w:r>
      <w:r w:rsidR="00E971FB">
        <w:rPr>
          <w:rFonts w:eastAsia="Times New Roman" w:cs="Arial"/>
          <w:color w:val="000000"/>
          <w:shd w:val="clear" w:color="auto" w:fill="FEFEFE"/>
        </w:rPr>
        <w:t>dis</w:t>
      </w:r>
      <w:r w:rsidR="00D03C3C">
        <w:rPr>
          <w:rFonts w:eastAsia="Times New Roman" w:cs="Arial"/>
          <w:color w:val="000000"/>
          <w:shd w:val="clear" w:color="auto" w:fill="FEFEFE"/>
        </w:rPr>
        <w:t xml:space="preserve">crete and </w:t>
      </w:r>
      <w:r w:rsidR="003B56F2">
        <w:rPr>
          <w:rFonts w:eastAsia="Times New Roman" w:cs="Arial"/>
          <w:color w:val="000000"/>
          <w:shd w:val="clear" w:color="auto" w:fill="FEFEFE"/>
        </w:rPr>
        <w:t xml:space="preserve">internally </w:t>
      </w:r>
      <w:r w:rsidR="005C261F">
        <w:rPr>
          <w:rFonts w:eastAsia="Times New Roman" w:cs="Arial"/>
          <w:color w:val="000000"/>
          <w:shd w:val="clear" w:color="auto" w:fill="FEFEFE"/>
        </w:rPr>
        <w:t xml:space="preserve">coherent gender </w:t>
      </w:r>
      <w:r w:rsidR="00AE3E81">
        <w:rPr>
          <w:rFonts w:eastAsia="Times New Roman" w:cs="Arial"/>
          <w:color w:val="000000"/>
          <w:shd w:val="clear" w:color="auto" w:fill="FEFEFE"/>
        </w:rPr>
        <w:t>identities</w:t>
      </w:r>
      <w:r w:rsidR="005C261F">
        <w:rPr>
          <w:rFonts w:eastAsia="Times New Roman" w:cs="Arial"/>
          <w:color w:val="000000"/>
          <w:shd w:val="clear" w:color="auto" w:fill="FEFEFE"/>
        </w:rPr>
        <w:t xml:space="preserve"> </w:t>
      </w:r>
      <w:r w:rsidR="00AE3E81">
        <w:rPr>
          <w:rFonts w:eastAsia="Times New Roman" w:cs="Arial"/>
          <w:color w:val="000000"/>
          <w:shd w:val="clear" w:color="auto" w:fill="FEFEFE"/>
        </w:rPr>
        <w:t>within a heter</w:t>
      </w:r>
      <w:r w:rsidR="0021536F">
        <w:rPr>
          <w:rFonts w:eastAsia="Times New Roman" w:cs="Arial"/>
          <w:color w:val="000000"/>
          <w:shd w:val="clear" w:color="auto" w:fill="FEFEFE"/>
        </w:rPr>
        <w:t>osexual frame.</w:t>
      </w:r>
      <w:r w:rsidR="0021536F">
        <w:rPr>
          <w:rStyle w:val="FootnoteReference"/>
          <w:rFonts w:eastAsia="Times New Roman" w:cs="Arial"/>
          <w:color w:val="000000"/>
          <w:shd w:val="clear" w:color="auto" w:fill="FEFEFE"/>
        </w:rPr>
        <w:footnoteReference w:id="9"/>
      </w:r>
      <w:r w:rsidR="003F0EDC">
        <w:rPr>
          <w:rFonts w:eastAsia="Times New Roman" w:cs="Arial"/>
          <w:color w:val="000000"/>
          <w:shd w:val="clear" w:color="auto" w:fill="FEFEFE"/>
        </w:rPr>
        <w:t xml:space="preserve"> </w:t>
      </w:r>
      <w:r w:rsidR="008138C3">
        <w:rPr>
          <w:rFonts w:eastAsia="Times New Roman" w:cs="Arial"/>
          <w:color w:val="000000"/>
          <w:shd w:val="clear" w:color="auto" w:fill="FEFEFE"/>
        </w:rPr>
        <w:t xml:space="preserve">It also discusses the work of other </w:t>
      </w:r>
      <w:r w:rsidR="002F0C31">
        <w:rPr>
          <w:rFonts w:eastAsia="Times New Roman" w:cs="Arial"/>
          <w:color w:val="000000"/>
          <w:shd w:val="clear" w:color="auto" w:fill="FEFEFE"/>
        </w:rPr>
        <w:t xml:space="preserve">people in this </w:t>
      </w:r>
      <w:r w:rsidR="00227ACB">
        <w:rPr>
          <w:rFonts w:eastAsia="Times New Roman" w:cs="Arial"/>
          <w:color w:val="000000"/>
          <w:shd w:val="clear" w:color="auto" w:fill="FEFEFE"/>
        </w:rPr>
        <w:t>field such as Lacan</w:t>
      </w:r>
      <w:r w:rsidR="00AC1748">
        <w:rPr>
          <w:rFonts w:eastAsia="Times New Roman" w:cs="Arial"/>
          <w:color w:val="000000"/>
          <w:shd w:val="clear" w:color="auto" w:fill="FEFEFE"/>
        </w:rPr>
        <w:t>, Freud</w:t>
      </w:r>
      <w:r w:rsidR="00227ACB">
        <w:rPr>
          <w:rFonts w:eastAsia="Times New Roman" w:cs="Arial"/>
          <w:color w:val="000000"/>
          <w:shd w:val="clear" w:color="auto" w:fill="FEFEFE"/>
        </w:rPr>
        <w:t xml:space="preserve"> and Riviere. </w:t>
      </w:r>
      <w:r w:rsidR="008450DB">
        <w:rPr>
          <w:rFonts w:eastAsia="Times New Roman" w:cs="Arial"/>
          <w:color w:val="000000"/>
          <w:shd w:val="clear" w:color="auto" w:fill="FEFEFE"/>
        </w:rPr>
        <w:t xml:space="preserve">The author also </w:t>
      </w:r>
      <w:r w:rsidR="00003618">
        <w:rPr>
          <w:rFonts w:eastAsia="Times New Roman" w:cs="Arial"/>
          <w:color w:val="000000"/>
          <w:shd w:val="clear" w:color="auto" w:fill="FEFEFE"/>
        </w:rPr>
        <w:t>states,</w:t>
      </w:r>
      <w:r w:rsidR="008450DB">
        <w:rPr>
          <w:rFonts w:eastAsia="Times New Roman" w:cs="Arial"/>
          <w:color w:val="000000"/>
          <w:shd w:val="clear" w:color="auto" w:fill="FEFEFE"/>
        </w:rPr>
        <w:t xml:space="preserve"> </w:t>
      </w:r>
      <w:r w:rsidR="003713EC">
        <w:rPr>
          <w:rFonts w:eastAsia="Times New Roman" w:cs="Arial"/>
          <w:color w:val="000000"/>
          <w:shd w:val="clear" w:color="auto" w:fill="FEFEFE"/>
        </w:rPr>
        <w:t xml:space="preserve">‘when we consider </w:t>
      </w:r>
      <w:r w:rsidR="00AC1EF6">
        <w:rPr>
          <w:rFonts w:eastAsia="Times New Roman" w:cs="Arial"/>
          <w:color w:val="000000"/>
          <w:shd w:val="clear" w:color="auto" w:fill="FEFEFE"/>
        </w:rPr>
        <w:t>gender identity as a melancholic structure</w:t>
      </w:r>
      <w:r w:rsidR="008E2D5B">
        <w:rPr>
          <w:rFonts w:eastAsia="Times New Roman" w:cs="Arial"/>
          <w:color w:val="000000"/>
          <w:shd w:val="clear" w:color="auto" w:fill="FEFEFE"/>
        </w:rPr>
        <w:t xml:space="preserve">, it makes sense to choose </w:t>
      </w:r>
      <w:r w:rsidR="00C058C8">
        <w:rPr>
          <w:rFonts w:eastAsia="Times New Roman" w:cs="Arial"/>
          <w:color w:val="000000"/>
          <w:shd w:val="clear" w:color="auto" w:fill="FEFEFE"/>
        </w:rPr>
        <w:t>‘incorporation</w:t>
      </w:r>
      <w:r w:rsidR="00D5083F">
        <w:rPr>
          <w:rFonts w:eastAsia="Times New Roman" w:cs="Arial"/>
          <w:color w:val="000000"/>
          <w:shd w:val="clear" w:color="auto" w:fill="FEFEFE"/>
        </w:rPr>
        <w:t>’ as the manner by which that identification is accompl</w:t>
      </w:r>
      <w:r w:rsidR="00765E5C">
        <w:rPr>
          <w:rFonts w:eastAsia="Times New Roman" w:cs="Arial"/>
          <w:color w:val="000000"/>
          <w:shd w:val="clear" w:color="auto" w:fill="FEFEFE"/>
        </w:rPr>
        <w:t>ished’.</w:t>
      </w:r>
      <w:r w:rsidR="00765E5C">
        <w:rPr>
          <w:rStyle w:val="FootnoteReference"/>
          <w:rFonts w:eastAsia="Times New Roman" w:cs="Arial"/>
          <w:color w:val="000000"/>
          <w:shd w:val="clear" w:color="auto" w:fill="FEFEFE"/>
        </w:rPr>
        <w:footnoteReference w:id="10"/>
      </w:r>
      <w:r w:rsidR="00765E5C">
        <w:rPr>
          <w:rFonts w:eastAsia="Times New Roman" w:cs="Arial"/>
          <w:color w:val="000000"/>
          <w:shd w:val="clear" w:color="auto" w:fill="FEFEFE"/>
        </w:rPr>
        <w:t xml:space="preserve"> </w:t>
      </w:r>
    </w:p>
    <w:p w14:paraId="1CF446C7" w14:textId="54DC7AAB" w:rsidR="00323547" w:rsidRDefault="00323547" w:rsidP="00741AF5">
      <w:pPr>
        <w:rPr>
          <w:rFonts w:eastAsia="Times New Roman" w:cs="Arial"/>
          <w:color w:val="000000"/>
          <w:shd w:val="clear" w:color="auto" w:fill="FEFEFE"/>
        </w:rPr>
      </w:pPr>
      <w:r>
        <w:rPr>
          <w:rFonts w:eastAsia="Times New Roman" w:cs="Arial"/>
          <w:color w:val="000000"/>
          <w:shd w:val="clear" w:color="auto" w:fill="FEFEFE"/>
        </w:rPr>
        <w:lastRenderedPageBreak/>
        <w:t xml:space="preserve">Chapter three discusses </w:t>
      </w:r>
      <w:r w:rsidR="003734D9">
        <w:rPr>
          <w:rFonts w:eastAsia="Times New Roman" w:cs="Arial"/>
          <w:color w:val="000000"/>
          <w:shd w:val="clear" w:color="auto" w:fill="FEFEFE"/>
        </w:rPr>
        <w:t>subversive bodily acts.</w:t>
      </w:r>
      <w:r w:rsidR="00BE69C9">
        <w:rPr>
          <w:rFonts w:eastAsia="Times New Roman" w:cs="Arial"/>
          <w:color w:val="000000"/>
          <w:shd w:val="clear" w:color="auto" w:fill="FEFEFE"/>
        </w:rPr>
        <w:t xml:space="preserve"> </w:t>
      </w:r>
      <w:r w:rsidR="003734D9">
        <w:rPr>
          <w:rFonts w:eastAsia="Times New Roman" w:cs="Arial"/>
          <w:color w:val="000000"/>
          <w:shd w:val="clear" w:color="auto" w:fill="FEFEFE"/>
        </w:rPr>
        <w:t xml:space="preserve">This includes the </w:t>
      </w:r>
      <w:r w:rsidR="00BE69C9">
        <w:rPr>
          <w:rFonts w:eastAsia="Times New Roman" w:cs="Arial"/>
          <w:color w:val="000000"/>
          <w:shd w:val="clear" w:color="auto" w:fill="FEFEFE"/>
        </w:rPr>
        <w:t xml:space="preserve">body </w:t>
      </w:r>
      <w:r w:rsidR="00615DD7">
        <w:rPr>
          <w:rFonts w:eastAsia="Times New Roman" w:cs="Arial"/>
          <w:color w:val="000000"/>
          <w:shd w:val="clear" w:color="auto" w:fill="FEFEFE"/>
        </w:rPr>
        <w:t xml:space="preserve">politics </w:t>
      </w:r>
      <w:r w:rsidR="00BA0F86">
        <w:rPr>
          <w:rFonts w:eastAsia="Times New Roman" w:cs="Arial"/>
          <w:color w:val="000000"/>
          <w:shd w:val="clear" w:color="auto" w:fill="FEFEFE"/>
        </w:rPr>
        <w:t xml:space="preserve">of Julia </w:t>
      </w:r>
      <w:r w:rsidR="00742DB9">
        <w:rPr>
          <w:rFonts w:eastAsia="Times New Roman" w:cs="Arial"/>
          <w:color w:val="000000"/>
          <w:shd w:val="clear" w:color="auto" w:fill="FEFEFE"/>
        </w:rPr>
        <w:t xml:space="preserve">Kristeva </w:t>
      </w:r>
      <w:r w:rsidR="00E43AE6">
        <w:rPr>
          <w:rFonts w:eastAsia="Times New Roman" w:cs="Arial"/>
          <w:color w:val="000000"/>
          <w:shd w:val="clear" w:color="auto" w:fill="FEFEFE"/>
        </w:rPr>
        <w:t xml:space="preserve">and </w:t>
      </w:r>
      <w:r w:rsidR="00BE7E49">
        <w:rPr>
          <w:rFonts w:eastAsia="Times New Roman" w:cs="Arial"/>
          <w:color w:val="000000"/>
          <w:shd w:val="clear" w:color="auto" w:fill="FEFEFE"/>
        </w:rPr>
        <w:t>the politics of sexual discontinuity</w:t>
      </w:r>
      <w:r w:rsidR="0063065D">
        <w:rPr>
          <w:rFonts w:eastAsia="Times New Roman" w:cs="Arial"/>
          <w:color w:val="000000"/>
          <w:shd w:val="clear" w:color="auto" w:fill="FEFEFE"/>
        </w:rPr>
        <w:t>, a</w:t>
      </w:r>
      <w:r w:rsidR="00C841B1">
        <w:rPr>
          <w:rFonts w:eastAsia="Times New Roman" w:cs="Arial"/>
          <w:color w:val="000000"/>
          <w:shd w:val="clear" w:color="auto" w:fill="FEFEFE"/>
        </w:rPr>
        <w:t xml:space="preserve">s well as </w:t>
      </w:r>
      <w:r w:rsidR="0051368F">
        <w:rPr>
          <w:rFonts w:eastAsia="Times New Roman" w:cs="Arial"/>
          <w:color w:val="000000"/>
          <w:shd w:val="clear" w:color="auto" w:fill="FEFEFE"/>
        </w:rPr>
        <w:t xml:space="preserve">bodily disintegration </w:t>
      </w:r>
      <w:r w:rsidR="0041786D">
        <w:rPr>
          <w:rFonts w:eastAsia="Times New Roman" w:cs="Arial"/>
          <w:color w:val="000000"/>
          <w:shd w:val="clear" w:color="auto" w:fill="FEFEFE"/>
        </w:rPr>
        <w:t xml:space="preserve">and </w:t>
      </w:r>
      <w:r w:rsidR="004E5955">
        <w:rPr>
          <w:rFonts w:eastAsia="Times New Roman" w:cs="Arial"/>
          <w:color w:val="000000"/>
          <w:shd w:val="clear" w:color="auto" w:fill="FEFEFE"/>
        </w:rPr>
        <w:t>fictive sex</w:t>
      </w:r>
      <w:r w:rsidR="00471FF3">
        <w:rPr>
          <w:rFonts w:eastAsia="Times New Roman" w:cs="Arial"/>
          <w:color w:val="000000"/>
          <w:shd w:val="clear" w:color="auto" w:fill="FEFEFE"/>
        </w:rPr>
        <w:t xml:space="preserve"> and bodily inscriptions</w:t>
      </w:r>
      <w:r w:rsidR="00E755FC">
        <w:rPr>
          <w:rFonts w:eastAsia="Times New Roman" w:cs="Arial"/>
          <w:color w:val="000000"/>
          <w:shd w:val="clear" w:color="auto" w:fill="FEFEFE"/>
        </w:rPr>
        <w:t xml:space="preserve"> and performative subversions. </w:t>
      </w:r>
      <w:r w:rsidR="008574CE">
        <w:rPr>
          <w:rFonts w:eastAsia="Times New Roman" w:cs="Arial"/>
          <w:color w:val="000000"/>
          <w:shd w:val="clear" w:color="auto" w:fill="FEFEFE"/>
        </w:rPr>
        <w:t xml:space="preserve"> </w:t>
      </w:r>
      <w:r w:rsidR="00D42DB2">
        <w:rPr>
          <w:rFonts w:eastAsia="Times New Roman" w:cs="Arial"/>
          <w:color w:val="000000"/>
          <w:shd w:val="clear" w:color="auto" w:fill="FEFEFE"/>
        </w:rPr>
        <w:t>In this chapter the author states ‘Categories of the true sex</w:t>
      </w:r>
      <w:r w:rsidR="000E6DB4">
        <w:rPr>
          <w:rFonts w:eastAsia="Times New Roman" w:cs="Arial"/>
          <w:color w:val="000000"/>
          <w:shd w:val="clear" w:color="auto" w:fill="FEFEFE"/>
        </w:rPr>
        <w:t>, discrete gender, and specific sexuality have constituted</w:t>
      </w:r>
      <w:r w:rsidR="00C218BC">
        <w:rPr>
          <w:rFonts w:eastAsia="Times New Roman" w:cs="Arial"/>
          <w:color w:val="000000"/>
          <w:shd w:val="clear" w:color="auto" w:fill="FEFEFE"/>
        </w:rPr>
        <w:t xml:space="preserve"> the stab</w:t>
      </w:r>
      <w:r w:rsidR="00280DC1">
        <w:rPr>
          <w:rFonts w:eastAsia="Times New Roman" w:cs="Arial"/>
          <w:color w:val="000000"/>
          <w:shd w:val="clear" w:color="auto" w:fill="FEFEFE"/>
        </w:rPr>
        <w:t xml:space="preserve">le point of reference for a great deal of feminist theory </w:t>
      </w:r>
      <w:r w:rsidR="00D07113">
        <w:rPr>
          <w:rFonts w:eastAsia="Times New Roman" w:cs="Arial"/>
          <w:color w:val="000000"/>
          <w:shd w:val="clear" w:color="auto" w:fill="FEFEFE"/>
        </w:rPr>
        <w:t>and politics’</w:t>
      </w:r>
      <w:r w:rsidR="00D07113">
        <w:rPr>
          <w:rStyle w:val="FootnoteReference"/>
          <w:rFonts w:eastAsia="Times New Roman" w:cs="Arial"/>
          <w:color w:val="000000"/>
          <w:shd w:val="clear" w:color="auto" w:fill="FEFEFE"/>
        </w:rPr>
        <w:footnoteReference w:id="11"/>
      </w:r>
    </w:p>
    <w:p w14:paraId="3F7D1FA0" w14:textId="6F992662" w:rsidR="001668A6" w:rsidRDefault="00F3014E" w:rsidP="00741AF5">
      <w:pPr>
        <w:rPr>
          <w:rFonts w:eastAsia="Times New Roman" w:cs="Arial"/>
          <w:color w:val="000000"/>
          <w:shd w:val="clear" w:color="auto" w:fill="FEFEFE"/>
        </w:rPr>
      </w:pPr>
      <w:r>
        <w:rPr>
          <w:rFonts w:eastAsia="Times New Roman" w:cs="Arial"/>
          <w:color w:val="000000"/>
          <w:shd w:val="clear" w:color="auto" w:fill="FEFEFE"/>
        </w:rPr>
        <w:t xml:space="preserve">The conclusion of this book </w:t>
      </w:r>
      <w:r w:rsidR="00AF0383">
        <w:rPr>
          <w:rFonts w:eastAsia="Times New Roman" w:cs="Arial"/>
          <w:color w:val="000000"/>
          <w:shd w:val="clear" w:color="auto" w:fill="FEFEFE"/>
        </w:rPr>
        <w:t>is titled ‘</w:t>
      </w:r>
      <w:r w:rsidR="005D41E1">
        <w:rPr>
          <w:rFonts w:eastAsia="Times New Roman" w:cs="Arial"/>
          <w:color w:val="000000"/>
          <w:shd w:val="clear" w:color="auto" w:fill="FEFEFE"/>
        </w:rPr>
        <w:t>From parody to politics’</w:t>
      </w:r>
      <w:r w:rsidR="006F52B7">
        <w:rPr>
          <w:rFonts w:eastAsia="Times New Roman" w:cs="Arial"/>
          <w:color w:val="000000"/>
          <w:shd w:val="clear" w:color="auto" w:fill="FEFEFE"/>
        </w:rPr>
        <w:t xml:space="preserve"> and summarises the key points this book makes. </w:t>
      </w:r>
      <w:r w:rsidR="00FF166E">
        <w:rPr>
          <w:rFonts w:eastAsia="Times New Roman" w:cs="Arial"/>
          <w:color w:val="000000"/>
          <w:shd w:val="clear" w:color="auto" w:fill="FEFEFE"/>
        </w:rPr>
        <w:t xml:space="preserve">This ends with the question ‘What other local strategies </w:t>
      </w:r>
      <w:r w:rsidR="00892468">
        <w:rPr>
          <w:rFonts w:eastAsia="Times New Roman" w:cs="Arial"/>
          <w:color w:val="000000"/>
          <w:shd w:val="clear" w:color="auto" w:fill="FEFEFE"/>
        </w:rPr>
        <w:t>for engaging the ‘</w:t>
      </w:r>
      <w:r w:rsidR="00E75A20">
        <w:rPr>
          <w:rFonts w:eastAsia="Times New Roman" w:cs="Arial"/>
          <w:color w:val="000000"/>
          <w:shd w:val="clear" w:color="auto" w:fill="FEFEFE"/>
        </w:rPr>
        <w:t>un</w:t>
      </w:r>
      <w:r w:rsidR="00595777">
        <w:rPr>
          <w:rFonts w:eastAsia="Times New Roman" w:cs="Arial"/>
          <w:color w:val="000000"/>
          <w:shd w:val="clear" w:color="auto" w:fill="FEFEFE"/>
        </w:rPr>
        <w:t>natural’ might lead to the denaturali</w:t>
      </w:r>
      <w:r w:rsidR="001668A6">
        <w:rPr>
          <w:rFonts w:eastAsia="Times New Roman" w:cs="Arial"/>
          <w:color w:val="000000"/>
          <w:shd w:val="clear" w:color="auto" w:fill="FEFEFE"/>
        </w:rPr>
        <w:t>zation of gender as such?’.</w:t>
      </w:r>
      <w:r w:rsidR="001668A6">
        <w:rPr>
          <w:rStyle w:val="FootnoteReference"/>
          <w:rFonts w:eastAsia="Times New Roman" w:cs="Arial"/>
          <w:color w:val="000000"/>
          <w:shd w:val="clear" w:color="auto" w:fill="FEFEFE"/>
        </w:rPr>
        <w:footnoteReference w:id="12"/>
      </w:r>
    </w:p>
    <w:p w14:paraId="152535EA" w14:textId="26CAC316" w:rsidR="00866132" w:rsidRDefault="00D137D9" w:rsidP="00741AF5">
      <w:pPr>
        <w:rPr>
          <w:rFonts w:eastAsia="Times New Roman" w:cs="Arial"/>
          <w:color w:val="000000"/>
          <w:shd w:val="clear" w:color="auto" w:fill="FEFEFE"/>
        </w:rPr>
      </w:pPr>
      <w:r w:rsidRPr="00D137D9">
        <w:rPr>
          <w:rFonts w:eastAsia="Times New Roman" w:cs="Arial"/>
          <w:color w:val="000000"/>
          <w:shd w:val="clear" w:color="auto" w:fill="FEFEFE"/>
        </w:rPr>
        <w:t>This text may be useful to a historian studying gender history or anyone interested in this topic and the effects it has had on society throughout time.</w:t>
      </w:r>
      <w:r w:rsidR="00F33E31">
        <w:rPr>
          <w:rFonts w:eastAsia="Times New Roman" w:cs="Arial"/>
          <w:color w:val="000000"/>
          <w:shd w:val="clear" w:color="auto" w:fill="FEFEFE"/>
        </w:rPr>
        <w:t xml:space="preserve"> </w:t>
      </w:r>
      <w:r w:rsidR="001E44B4">
        <w:rPr>
          <w:rFonts w:eastAsia="Times New Roman" w:cs="Arial"/>
          <w:color w:val="000000"/>
          <w:shd w:val="clear" w:color="auto" w:fill="FEFEFE"/>
        </w:rPr>
        <w:t xml:space="preserve">This book has been reviewed by many and has </w:t>
      </w:r>
      <w:r w:rsidR="0063065D">
        <w:rPr>
          <w:rFonts w:eastAsia="Times New Roman" w:cs="Arial"/>
          <w:color w:val="000000"/>
          <w:shd w:val="clear" w:color="auto" w:fill="FEFEFE"/>
        </w:rPr>
        <w:t>had mixed reviews</w:t>
      </w:r>
      <w:r w:rsidR="001E44B4">
        <w:rPr>
          <w:rFonts w:eastAsia="Times New Roman" w:cs="Arial"/>
          <w:color w:val="000000"/>
          <w:shd w:val="clear" w:color="auto" w:fill="FEFEFE"/>
        </w:rPr>
        <w:t xml:space="preserve">. </w:t>
      </w:r>
      <w:r w:rsidR="00B252C8">
        <w:rPr>
          <w:rFonts w:eastAsia="Times New Roman" w:cs="Arial"/>
          <w:color w:val="000000"/>
          <w:shd w:val="clear" w:color="auto" w:fill="FEFEFE"/>
        </w:rPr>
        <w:t xml:space="preserve">For example, William Haver </w:t>
      </w:r>
      <w:r w:rsidR="007C2E09">
        <w:rPr>
          <w:rFonts w:eastAsia="Times New Roman" w:cs="Arial"/>
          <w:color w:val="000000"/>
          <w:shd w:val="clear" w:color="auto" w:fill="FEFEFE"/>
        </w:rPr>
        <w:t xml:space="preserve">states that ‘Butler argues that the very concept of gender </w:t>
      </w:r>
      <w:r w:rsidR="00841972">
        <w:rPr>
          <w:rFonts w:eastAsia="Times New Roman" w:cs="Arial"/>
          <w:color w:val="000000"/>
          <w:shd w:val="clear" w:color="auto" w:fill="FEFEFE"/>
        </w:rPr>
        <w:t>is itself no less unstable’.</w:t>
      </w:r>
      <w:r w:rsidR="00841972">
        <w:rPr>
          <w:rStyle w:val="FootnoteReference"/>
          <w:rFonts w:eastAsia="Times New Roman" w:cs="Arial"/>
          <w:color w:val="000000"/>
          <w:shd w:val="clear" w:color="auto" w:fill="FEFEFE"/>
        </w:rPr>
        <w:footnoteReference w:id="13"/>
      </w:r>
      <w:r w:rsidR="00153503">
        <w:rPr>
          <w:rFonts w:eastAsia="Times New Roman" w:cs="Arial"/>
          <w:color w:val="000000"/>
          <w:shd w:val="clear" w:color="auto" w:fill="FEFEFE"/>
        </w:rPr>
        <w:t xml:space="preserve"> Whereas Fred Matthews states that ‘The frankly political </w:t>
      </w:r>
      <w:r w:rsidR="008516D1">
        <w:rPr>
          <w:rFonts w:eastAsia="Times New Roman" w:cs="Arial"/>
          <w:color w:val="000000"/>
          <w:shd w:val="clear" w:color="auto" w:fill="FEFEFE"/>
        </w:rPr>
        <w:t xml:space="preserve">agenda of this analysis will offend </w:t>
      </w:r>
      <w:r w:rsidR="00063114">
        <w:rPr>
          <w:rFonts w:eastAsia="Times New Roman" w:cs="Arial"/>
          <w:color w:val="000000"/>
          <w:shd w:val="clear" w:color="auto" w:fill="FEFEFE"/>
        </w:rPr>
        <w:t xml:space="preserve">many believers </w:t>
      </w:r>
      <w:r w:rsidR="00537156">
        <w:rPr>
          <w:rFonts w:eastAsia="Times New Roman" w:cs="Arial"/>
          <w:color w:val="000000"/>
          <w:shd w:val="clear" w:color="auto" w:fill="FEFEFE"/>
        </w:rPr>
        <w:t>in scholarly neutrality’.</w:t>
      </w:r>
      <w:r w:rsidR="00537156">
        <w:rPr>
          <w:rStyle w:val="FootnoteReference"/>
          <w:rFonts w:eastAsia="Times New Roman" w:cs="Arial"/>
          <w:color w:val="000000"/>
          <w:shd w:val="clear" w:color="auto" w:fill="FEFEFE"/>
        </w:rPr>
        <w:footnoteReference w:id="14"/>
      </w:r>
      <w:r w:rsidR="006F16AA">
        <w:rPr>
          <w:rFonts w:eastAsia="Times New Roman" w:cs="Arial"/>
          <w:color w:val="000000"/>
          <w:shd w:val="clear" w:color="auto" w:fill="FEFEFE"/>
        </w:rPr>
        <w:t xml:space="preserve"> Finally, </w:t>
      </w:r>
      <w:r w:rsidR="00C66A19">
        <w:rPr>
          <w:rFonts w:eastAsia="Times New Roman" w:cs="Arial"/>
          <w:color w:val="000000"/>
          <w:shd w:val="clear" w:color="auto" w:fill="FEFEFE"/>
        </w:rPr>
        <w:t xml:space="preserve">Constance Jordan states </w:t>
      </w:r>
      <w:r w:rsidR="00DA4ACD">
        <w:rPr>
          <w:rFonts w:eastAsia="Times New Roman" w:cs="Arial"/>
          <w:color w:val="000000"/>
          <w:shd w:val="clear" w:color="auto" w:fill="FEFEFE"/>
        </w:rPr>
        <w:t xml:space="preserve">‘Butler’s chief concern is to demonstrate </w:t>
      </w:r>
      <w:r w:rsidR="00375720">
        <w:rPr>
          <w:rFonts w:eastAsia="Times New Roman" w:cs="Arial"/>
          <w:color w:val="000000"/>
          <w:shd w:val="clear" w:color="auto" w:fill="FEFEFE"/>
        </w:rPr>
        <w:t xml:space="preserve">that a politics predicted </w:t>
      </w:r>
      <w:r w:rsidR="00AE3871">
        <w:rPr>
          <w:rFonts w:eastAsia="Times New Roman" w:cs="Arial"/>
          <w:color w:val="000000"/>
          <w:shd w:val="clear" w:color="auto" w:fill="FEFEFE"/>
        </w:rPr>
        <w:t xml:space="preserve">on a feminine </w:t>
      </w:r>
      <w:r w:rsidR="00241A1B">
        <w:rPr>
          <w:rFonts w:eastAsia="Times New Roman" w:cs="Arial"/>
          <w:color w:val="000000"/>
          <w:shd w:val="clear" w:color="auto" w:fill="FEFEFE"/>
        </w:rPr>
        <w:t xml:space="preserve">or female identity considered as prior </w:t>
      </w:r>
      <w:r w:rsidR="00EC4BD1">
        <w:rPr>
          <w:rFonts w:eastAsia="Times New Roman" w:cs="Arial"/>
          <w:color w:val="000000"/>
          <w:shd w:val="clear" w:color="auto" w:fill="FEFEFE"/>
        </w:rPr>
        <w:t>to language and cultural construction remains illusionistic’</w:t>
      </w:r>
      <w:r w:rsidR="00C66A19">
        <w:rPr>
          <w:rFonts w:eastAsia="Times New Roman" w:cs="Arial"/>
          <w:color w:val="000000"/>
          <w:shd w:val="clear" w:color="auto" w:fill="FEFEFE"/>
        </w:rPr>
        <w:t>.</w:t>
      </w:r>
      <w:r w:rsidR="00C66A19">
        <w:rPr>
          <w:rStyle w:val="FootnoteReference"/>
          <w:rFonts w:eastAsia="Times New Roman" w:cs="Arial"/>
          <w:color w:val="000000"/>
          <w:shd w:val="clear" w:color="auto" w:fill="FEFEFE"/>
        </w:rPr>
        <w:footnoteReference w:id="15"/>
      </w:r>
    </w:p>
    <w:p w14:paraId="2A3B80A8" w14:textId="27D239F3" w:rsidR="00CD2B35" w:rsidRDefault="00CD2B35" w:rsidP="00741AF5">
      <w:pPr>
        <w:rPr>
          <w:rFonts w:eastAsia="Times New Roman" w:cs="Arial"/>
          <w:color w:val="000000"/>
          <w:shd w:val="clear" w:color="auto" w:fill="FEFEFE"/>
        </w:rPr>
      </w:pPr>
      <w:r>
        <w:rPr>
          <w:rFonts w:eastAsia="Times New Roman" w:cs="Arial"/>
          <w:color w:val="000000"/>
          <w:shd w:val="clear" w:color="auto" w:fill="FEFEFE"/>
        </w:rPr>
        <w:t xml:space="preserve">This text </w:t>
      </w:r>
      <w:r w:rsidR="007328D2">
        <w:rPr>
          <w:rFonts w:eastAsia="Times New Roman" w:cs="Arial"/>
          <w:color w:val="000000"/>
          <w:shd w:val="clear" w:color="auto" w:fill="FEFEFE"/>
        </w:rPr>
        <w:t>presents many key ideas that are also communicated in other similar works</w:t>
      </w:r>
      <w:r w:rsidR="00F80D42">
        <w:rPr>
          <w:rFonts w:eastAsia="Times New Roman" w:cs="Arial"/>
          <w:color w:val="000000"/>
          <w:shd w:val="clear" w:color="auto" w:fill="FEFEFE"/>
        </w:rPr>
        <w:t xml:space="preserve">, this therefore suggests that this is an accurate piece of work. It is also well supported in terms of evidence as this author has clearly drawn </w:t>
      </w:r>
      <w:r w:rsidR="00E1497B">
        <w:rPr>
          <w:rFonts w:eastAsia="Times New Roman" w:cs="Arial"/>
          <w:color w:val="000000"/>
          <w:shd w:val="clear" w:color="auto" w:fill="FEFEFE"/>
        </w:rPr>
        <w:t xml:space="preserve">from many </w:t>
      </w:r>
      <w:r w:rsidR="00776298">
        <w:rPr>
          <w:rFonts w:eastAsia="Times New Roman" w:cs="Arial"/>
          <w:color w:val="000000"/>
          <w:shd w:val="clear" w:color="auto" w:fill="FEFEFE"/>
        </w:rPr>
        <w:t>other texts and pieces of work that also discuss this category.</w:t>
      </w:r>
    </w:p>
    <w:p w14:paraId="5595CBD8" w14:textId="50871AEE" w:rsidR="0063065D" w:rsidRPr="00F33E31" w:rsidRDefault="0063065D" w:rsidP="0063065D">
      <w:pPr>
        <w:rPr>
          <w:rFonts w:eastAsia="Times New Roman" w:cs="Arial"/>
          <w:shd w:val="clear" w:color="auto" w:fill="FEFEFE"/>
        </w:rPr>
      </w:pPr>
      <w:r w:rsidRPr="00F33E31">
        <w:rPr>
          <w:rFonts w:eastAsia="Times New Roman" w:cs="Arial"/>
          <w:shd w:val="clear" w:color="auto" w:fill="FEFEFE"/>
        </w:rPr>
        <w:t>Overall, this text is very useful and informative</w:t>
      </w:r>
      <w:r w:rsidR="00F33E31" w:rsidRPr="00F33E31">
        <w:rPr>
          <w:rFonts w:eastAsia="Times New Roman" w:cs="Arial"/>
          <w:shd w:val="clear" w:color="auto" w:fill="FEFEFE"/>
        </w:rPr>
        <w:t xml:space="preserve"> </w:t>
      </w:r>
      <w:r w:rsidRPr="00F33E31">
        <w:rPr>
          <w:rFonts w:eastAsia="Times New Roman" w:cs="Arial"/>
          <w:shd w:val="clear" w:color="auto" w:fill="FEFEFE"/>
        </w:rPr>
        <w:t xml:space="preserve"> </w:t>
      </w:r>
      <w:r w:rsidR="00F33E31" w:rsidRPr="00F33E31">
        <w:rPr>
          <w:rFonts w:eastAsia="Times New Roman" w:cs="Arial"/>
          <w:shd w:val="clear" w:color="auto" w:fill="FEFEFE"/>
        </w:rPr>
        <w:t xml:space="preserve">allowing those readers who are interested to discover far more about the topic. </w:t>
      </w:r>
      <w:r w:rsidRPr="00F33E31">
        <w:rPr>
          <w:rFonts w:eastAsia="Times New Roman" w:cs="Arial"/>
          <w:shd w:val="clear" w:color="auto" w:fill="FEFEFE"/>
        </w:rPr>
        <w:t>The arguments presented are convincing and the author achieves their aims in discussing their topic. This text can be recommended to anyone interested in delving deeper into ‘gender trouble’ and the ‘feminine identity’.</w:t>
      </w:r>
    </w:p>
    <w:p w14:paraId="7FD8048C" w14:textId="77777777" w:rsidR="005D0604" w:rsidRDefault="005D0604" w:rsidP="00741AF5">
      <w:pPr>
        <w:rPr>
          <w:rFonts w:eastAsia="Times New Roman" w:cs="Arial"/>
          <w:color w:val="000000"/>
          <w:shd w:val="clear" w:color="auto" w:fill="FEFEFE"/>
        </w:rPr>
      </w:pPr>
    </w:p>
    <w:sdt>
      <w:sdtPr>
        <w:rPr>
          <w:rFonts w:asciiTheme="minorHAnsi" w:eastAsiaTheme="minorHAnsi" w:hAnsiTheme="minorHAnsi" w:cstheme="minorBidi"/>
          <w:color w:val="auto"/>
          <w:sz w:val="22"/>
          <w:szCs w:val="22"/>
        </w:rPr>
        <w:id w:val="-1325114959"/>
        <w:docPartObj>
          <w:docPartGallery w:val="Bibliographies"/>
          <w:docPartUnique/>
        </w:docPartObj>
      </w:sdtPr>
      <w:sdtContent>
        <w:p w14:paraId="6A254AB8" w14:textId="50E88D21" w:rsidR="002F5C42" w:rsidRDefault="002F5C42">
          <w:pPr>
            <w:pStyle w:val="Heading1"/>
          </w:pPr>
          <w:r>
            <w:t>Bibliography:</w:t>
          </w:r>
        </w:p>
        <w:sdt>
          <w:sdtPr>
            <w:id w:val="111145805"/>
            <w:bibliography/>
          </w:sdtPr>
          <w:sdtContent>
            <w:p w14:paraId="26D2459B" w14:textId="3E27932D" w:rsidR="002F5C42" w:rsidRDefault="002F5C42" w:rsidP="002F5C42">
              <w:r>
                <w:t>Author unknown, ‘Judith Butler’</w:t>
              </w:r>
              <w:r w:rsidR="00804ADF">
                <w:t xml:space="preserve"> </w:t>
              </w:r>
              <w:hyperlink r:id="rId10" w:history="1">
                <w:r w:rsidR="00804ADF" w:rsidRPr="006A2585">
                  <w:rPr>
                    <w:rStyle w:val="Hyperlink"/>
                  </w:rPr>
                  <w:t>https://www.britannica.com/biography/Judith-Butler</w:t>
                </w:r>
              </w:hyperlink>
            </w:p>
            <w:p w14:paraId="6E802676" w14:textId="408A60F5" w:rsidR="00804ADF" w:rsidRDefault="00804ADF" w:rsidP="002F5C42">
              <w:r w:rsidRPr="00804ADF">
                <w:t>Butler, Judith, Gender Trouble</w:t>
              </w:r>
              <w:r w:rsidRPr="00804ADF">
                <w:rPr>
                  <w:rFonts w:ascii="Arial" w:hAnsi="Arial" w:cs="Arial"/>
                </w:rPr>
                <w:t> </w:t>
              </w:r>
              <w:r w:rsidRPr="00804ADF">
                <w:t>: Feminism and the Subversion of Identity (Routledge, 2007)</w:t>
              </w:r>
            </w:p>
            <w:p w14:paraId="38BC0169" w14:textId="050DBCD5" w:rsidR="002F5C42" w:rsidRDefault="002F5C42" w:rsidP="002F5C42">
              <w:r w:rsidRPr="002F5C42">
                <w:t>Butler, Judith, and Constance Jordan, ‘Gender Trouble - Feminism and the Subversion of Identity’, Women’s Studies, 1993, pp. 257–257</w:t>
              </w:r>
            </w:p>
            <w:p w14:paraId="1928C00E" w14:textId="37056726" w:rsidR="002F5C42" w:rsidRDefault="002F5C42" w:rsidP="002F5C42">
              <w:r>
                <w:t>Butler, Judith, and Fred Matthews, ‘Gender Trouble. Feminism and the Subversion of Identity’, Comparative Studies in Society and History, 1993, pp. 647–647</w:t>
              </w:r>
            </w:p>
            <w:p w14:paraId="2CF6F9D8" w14:textId="46BB4CFF" w:rsidR="00804ADF" w:rsidRDefault="00804ADF" w:rsidP="002F5C42">
              <w:r w:rsidRPr="00804ADF">
                <w:lastRenderedPageBreak/>
                <w:t xml:space="preserve">Gleeson, Jules ‘Judith Butler: The Early Years’ </w:t>
              </w:r>
              <w:hyperlink r:id="rId11" w:history="1">
                <w:r w:rsidRPr="006A2585">
                  <w:rPr>
                    <w:rStyle w:val="Hyperlink"/>
                  </w:rPr>
                  <w:t>https://daily.jstor.org/judith-butler-the-early-years/</w:t>
                </w:r>
              </w:hyperlink>
              <w:r>
                <w:t xml:space="preserve"> </w:t>
              </w:r>
            </w:p>
            <w:p w14:paraId="1309C1AB" w14:textId="05BD2E28" w:rsidR="002F5C42" w:rsidRDefault="002F5C42" w:rsidP="002F5C42">
              <w:r w:rsidRPr="002F5C42">
                <w:t>Haver, William, ‘Judith Butler “Gender Trouble: Feminism and the Subversion of Identity” (Book Review)’, Educational Studies (Ames) (American Educational Studies Association, 1993), p. 246</w:t>
              </w:r>
            </w:p>
            <w:p w14:paraId="33B063E3" w14:textId="637C7E5F" w:rsidR="002F5C42" w:rsidRDefault="00000000" w:rsidP="002F5C42"/>
          </w:sdtContent>
        </w:sdt>
      </w:sdtContent>
    </w:sdt>
    <w:p w14:paraId="2F6DA698" w14:textId="08701658" w:rsidR="00003618" w:rsidRDefault="00003618" w:rsidP="00741AF5">
      <w:pPr>
        <w:rPr>
          <w:rFonts w:eastAsia="Times New Roman" w:cs="Arial"/>
          <w:color w:val="000000"/>
          <w:shd w:val="clear" w:color="auto" w:fill="FEFEFE"/>
        </w:rPr>
      </w:pPr>
    </w:p>
    <w:p w14:paraId="6A4224D3" w14:textId="77777777" w:rsidR="00FB451A" w:rsidRDefault="00FB451A" w:rsidP="00741AF5">
      <w:pPr>
        <w:rPr>
          <w:rFonts w:eastAsia="Times New Roman" w:cs="Arial"/>
          <w:color w:val="000000"/>
          <w:shd w:val="clear" w:color="auto" w:fill="FEFEFE"/>
        </w:rPr>
      </w:pPr>
    </w:p>
    <w:p w14:paraId="028C098F" w14:textId="77777777" w:rsidR="009419E3" w:rsidRPr="007B6178" w:rsidRDefault="009419E3" w:rsidP="00741AF5">
      <w:pPr>
        <w:rPr>
          <w:rFonts w:eastAsia="Times New Roman" w:cs="Arial"/>
          <w:color w:val="000000"/>
          <w:shd w:val="clear" w:color="auto" w:fill="FEFEFE"/>
        </w:rPr>
      </w:pPr>
    </w:p>
    <w:sectPr w:rsidR="009419E3" w:rsidRPr="007B61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686525" w14:textId="77777777" w:rsidR="00D208DE" w:rsidRDefault="00D208DE" w:rsidP="00EE07E6">
      <w:pPr>
        <w:spacing w:after="0" w:line="240" w:lineRule="auto"/>
      </w:pPr>
      <w:r>
        <w:separator/>
      </w:r>
    </w:p>
  </w:endnote>
  <w:endnote w:type="continuationSeparator" w:id="0">
    <w:p w14:paraId="78750386" w14:textId="77777777" w:rsidR="00D208DE" w:rsidRDefault="00D208DE" w:rsidP="00EE07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801443" w14:textId="77777777" w:rsidR="00D208DE" w:rsidRDefault="00D208DE" w:rsidP="00EE07E6">
      <w:pPr>
        <w:spacing w:after="0" w:line="240" w:lineRule="auto"/>
      </w:pPr>
      <w:r>
        <w:separator/>
      </w:r>
    </w:p>
  </w:footnote>
  <w:footnote w:type="continuationSeparator" w:id="0">
    <w:p w14:paraId="525F098F" w14:textId="77777777" w:rsidR="00D208DE" w:rsidRDefault="00D208DE" w:rsidP="00EE07E6">
      <w:pPr>
        <w:spacing w:after="0" w:line="240" w:lineRule="auto"/>
      </w:pPr>
      <w:r>
        <w:continuationSeparator/>
      </w:r>
    </w:p>
  </w:footnote>
  <w:footnote w:id="1">
    <w:p w14:paraId="7D7D1CC5" w14:textId="011F54C8" w:rsidR="002C0C48" w:rsidRDefault="002C0C48">
      <w:pPr>
        <w:pStyle w:val="FootnoteText"/>
      </w:pPr>
      <w:r>
        <w:rPr>
          <w:rStyle w:val="FootnoteReference"/>
        </w:rPr>
        <w:footnoteRef/>
      </w:r>
      <w:r>
        <w:t xml:space="preserve"> </w:t>
      </w:r>
      <w:r w:rsidR="00A562A2">
        <w:t xml:space="preserve">Description on library </w:t>
      </w:r>
      <w:r w:rsidR="002F4FDE">
        <w:t>website</w:t>
      </w:r>
    </w:p>
  </w:footnote>
  <w:footnote w:id="2">
    <w:p w14:paraId="15DC45E9" w14:textId="7B362FF0" w:rsidR="00CC49E5" w:rsidRDefault="00CC49E5" w:rsidP="001169ED">
      <w:pPr>
        <w:pStyle w:val="FootnoteText"/>
      </w:pPr>
      <w:r>
        <w:rPr>
          <w:rStyle w:val="FootnoteReference"/>
        </w:rPr>
        <w:footnoteRef/>
      </w:r>
      <w:r>
        <w:t xml:space="preserve"> </w:t>
      </w:r>
      <w:r w:rsidR="001169ED">
        <w:t xml:space="preserve"> Butler, Judith, Gender Trouble</w:t>
      </w:r>
      <w:r w:rsidR="001169ED">
        <w:rPr>
          <w:rFonts w:ascii="Arial" w:hAnsi="Arial" w:cs="Arial"/>
        </w:rPr>
        <w:t> </w:t>
      </w:r>
      <w:r w:rsidR="001169ED">
        <w:t>: Feminism and the Subversion of Identity (Routledge, 2007)</w:t>
      </w:r>
      <w:r w:rsidR="00DE1B4C">
        <w:t xml:space="preserve"> page viii</w:t>
      </w:r>
    </w:p>
  </w:footnote>
  <w:footnote w:id="3">
    <w:p w14:paraId="1FEF08C0" w14:textId="5FEFF32C" w:rsidR="00F25A20" w:rsidRDefault="00F25A20">
      <w:pPr>
        <w:pStyle w:val="FootnoteText"/>
      </w:pPr>
      <w:r>
        <w:rPr>
          <w:rStyle w:val="FootnoteReference"/>
        </w:rPr>
        <w:footnoteRef/>
      </w:r>
      <w:r>
        <w:t xml:space="preserve"> </w:t>
      </w:r>
      <w:r w:rsidRPr="00F25A20">
        <w:t>Butler, Judith, Gender Trouble</w:t>
      </w:r>
      <w:r w:rsidRPr="00F25A20">
        <w:rPr>
          <w:rFonts w:ascii="Arial" w:hAnsi="Arial" w:cs="Arial"/>
        </w:rPr>
        <w:t> </w:t>
      </w:r>
      <w:r w:rsidRPr="00F25A20">
        <w:t>: Feminism and the Subversion of Identity (Routledge, 2007) page</w:t>
      </w:r>
      <w:r>
        <w:t xml:space="preserve"> </w:t>
      </w:r>
      <w:r w:rsidR="003E4BF9">
        <w:t>xxvii</w:t>
      </w:r>
    </w:p>
  </w:footnote>
  <w:footnote w:id="4">
    <w:p w14:paraId="4C35A561" w14:textId="6B712B9D" w:rsidR="000C2417" w:rsidRDefault="000C2417">
      <w:pPr>
        <w:pStyle w:val="FootnoteText"/>
      </w:pPr>
      <w:r>
        <w:rPr>
          <w:rStyle w:val="FootnoteReference"/>
        </w:rPr>
        <w:footnoteRef/>
      </w:r>
      <w:r>
        <w:t xml:space="preserve"> </w:t>
      </w:r>
      <w:r w:rsidRPr="000C2417">
        <w:t>Butler, Judith, Gender Trouble</w:t>
      </w:r>
      <w:r w:rsidRPr="000C2417">
        <w:rPr>
          <w:rFonts w:ascii="Arial" w:hAnsi="Arial" w:cs="Arial"/>
        </w:rPr>
        <w:t> </w:t>
      </w:r>
      <w:r w:rsidRPr="000C2417">
        <w:t>: Feminism and the Subversion of Identity (Routledge, 2007)</w:t>
      </w:r>
      <w:r>
        <w:t xml:space="preserve"> page </w:t>
      </w:r>
      <w:r w:rsidR="00FF1A33">
        <w:t>xxxi</w:t>
      </w:r>
    </w:p>
  </w:footnote>
  <w:footnote w:id="5">
    <w:p w14:paraId="23AC1A2C" w14:textId="1933B6E5" w:rsidR="00EE07E6" w:rsidRDefault="00EE07E6">
      <w:pPr>
        <w:pStyle w:val="FootnoteText"/>
      </w:pPr>
      <w:r>
        <w:rPr>
          <w:rStyle w:val="FootnoteReference"/>
        </w:rPr>
        <w:footnoteRef/>
      </w:r>
      <w:r>
        <w:t xml:space="preserve"> </w:t>
      </w:r>
      <w:r w:rsidR="00D029D6">
        <w:t xml:space="preserve">Author unknown, </w:t>
      </w:r>
      <w:r w:rsidR="002F5C42">
        <w:t>‘Judith Butler’</w:t>
      </w:r>
      <w:hyperlink r:id="rId1" w:history="1">
        <w:r w:rsidR="002F5C42" w:rsidRPr="005A6F4D">
          <w:rPr>
            <w:rStyle w:val="Hyperlink"/>
          </w:rPr>
          <w:t>https://www.britannica.com/biography/Judith-Butler</w:t>
        </w:r>
      </w:hyperlink>
    </w:p>
  </w:footnote>
  <w:footnote w:id="6">
    <w:p w14:paraId="54B8CF91" w14:textId="3D072884" w:rsidR="005E7643" w:rsidRDefault="00EE07E6">
      <w:pPr>
        <w:pStyle w:val="FootnoteText"/>
      </w:pPr>
      <w:r>
        <w:rPr>
          <w:rStyle w:val="FootnoteReference"/>
        </w:rPr>
        <w:footnoteRef/>
      </w:r>
      <w:r>
        <w:t xml:space="preserve"> </w:t>
      </w:r>
      <w:r w:rsidR="00EA346E">
        <w:t>Gleeson, Jules ‘</w:t>
      </w:r>
      <w:r w:rsidR="00D20A03">
        <w:t xml:space="preserve">Judith Butler: The Early Years’ </w:t>
      </w:r>
      <w:hyperlink r:id="rId2" w:history="1">
        <w:r w:rsidR="00D20A03" w:rsidRPr="005A6F4D">
          <w:rPr>
            <w:rStyle w:val="Hyperlink"/>
          </w:rPr>
          <w:t>https://daily.jstor.org/judith-butler-the-early-years/</w:t>
        </w:r>
      </w:hyperlink>
      <w:r w:rsidR="005E7643">
        <w:t xml:space="preserve"> </w:t>
      </w:r>
    </w:p>
  </w:footnote>
  <w:footnote w:id="7">
    <w:p w14:paraId="7FC96B61" w14:textId="1C8E9EDC" w:rsidR="00E97265" w:rsidRDefault="00E97265">
      <w:pPr>
        <w:pStyle w:val="FootnoteText"/>
      </w:pPr>
      <w:r>
        <w:rPr>
          <w:rStyle w:val="FootnoteReference"/>
        </w:rPr>
        <w:footnoteRef/>
      </w:r>
      <w:r>
        <w:t xml:space="preserve"> </w:t>
      </w:r>
      <w:bookmarkStart w:id="0" w:name="_Hlk213854986"/>
      <w:r w:rsidRPr="00E97265">
        <w:t>Butler, Judith, Gender Trouble</w:t>
      </w:r>
      <w:r w:rsidRPr="00E97265">
        <w:rPr>
          <w:rFonts w:ascii="Arial" w:hAnsi="Arial" w:cs="Arial"/>
        </w:rPr>
        <w:t> </w:t>
      </w:r>
      <w:r w:rsidRPr="00E97265">
        <w:t>: Feminism and the Subversion of Identity (Routledge, 2007)</w:t>
      </w:r>
      <w:r>
        <w:t xml:space="preserve"> page </w:t>
      </w:r>
      <w:bookmarkEnd w:id="0"/>
      <w:r>
        <w:t>8</w:t>
      </w:r>
    </w:p>
  </w:footnote>
  <w:footnote w:id="8">
    <w:p w14:paraId="63E53DF6" w14:textId="49633482" w:rsidR="00425F80" w:rsidRDefault="00425F80">
      <w:pPr>
        <w:pStyle w:val="FootnoteText"/>
      </w:pPr>
      <w:r>
        <w:rPr>
          <w:rStyle w:val="FootnoteReference"/>
        </w:rPr>
        <w:footnoteRef/>
      </w:r>
      <w:r>
        <w:t xml:space="preserve"> </w:t>
      </w:r>
      <w:r w:rsidRPr="00425F80">
        <w:t>Butler, Judith, Gender Trouble</w:t>
      </w:r>
      <w:r w:rsidRPr="00425F80">
        <w:rPr>
          <w:rFonts w:ascii="Arial" w:hAnsi="Arial" w:cs="Arial"/>
        </w:rPr>
        <w:t> </w:t>
      </w:r>
      <w:r w:rsidRPr="00425F80">
        <w:t>: Feminism and the Subversion of Identity (Routledge, 2007) page</w:t>
      </w:r>
      <w:r>
        <w:t xml:space="preserve"> 34</w:t>
      </w:r>
    </w:p>
  </w:footnote>
  <w:footnote w:id="9">
    <w:p w14:paraId="394C5F7C" w14:textId="64923894" w:rsidR="0021536F" w:rsidRDefault="0021536F">
      <w:pPr>
        <w:pStyle w:val="FootnoteText"/>
      </w:pPr>
      <w:r>
        <w:rPr>
          <w:rStyle w:val="FootnoteReference"/>
        </w:rPr>
        <w:footnoteRef/>
      </w:r>
      <w:bookmarkStart w:id="1" w:name="_Hlk213853766"/>
      <w:r w:rsidR="00D34139">
        <w:t xml:space="preserve"> </w:t>
      </w:r>
      <w:r w:rsidRPr="0021536F">
        <w:t>Butler, Judith, Gender Trouble</w:t>
      </w:r>
      <w:r w:rsidRPr="0021536F">
        <w:rPr>
          <w:rFonts w:ascii="Arial" w:hAnsi="Arial" w:cs="Arial"/>
        </w:rPr>
        <w:t> </w:t>
      </w:r>
      <w:r w:rsidRPr="0021536F">
        <w:t>: Feminism and the Subversion of Identity (Routledge, 2007)</w:t>
      </w:r>
      <w:bookmarkEnd w:id="1"/>
    </w:p>
  </w:footnote>
  <w:footnote w:id="10">
    <w:p w14:paraId="287970ED" w14:textId="328AF227" w:rsidR="00765E5C" w:rsidRDefault="00765E5C">
      <w:pPr>
        <w:pStyle w:val="FootnoteText"/>
      </w:pPr>
      <w:r>
        <w:rPr>
          <w:rStyle w:val="FootnoteReference"/>
        </w:rPr>
        <w:footnoteRef/>
      </w:r>
      <w:r>
        <w:t xml:space="preserve"> </w:t>
      </w:r>
      <w:r w:rsidRPr="00765E5C">
        <w:t>Butler, Judith, Gender Trouble</w:t>
      </w:r>
      <w:r w:rsidRPr="00765E5C">
        <w:rPr>
          <w:rFonts w:ascii="Arial" w:hAnsi="Arial" w:cs="Arial"/>
        </w:rPr>
        <w:t> </w:t>
      </w:r>
      <w:r w:rsidRPr="00765E5C">
        <w:t>: Feminism and the Subversion of Identity (Routledge, 2007) page</w:t>
      </w:r>
      <w:r>
        <w:t xml:space="preserve"> 93</w:t>
      </w:r>
    </w:p>
  </w:footnote>
  <w:footnote w:id="11">
    <w:p w14:paraId="0167DBAE" w14:textId="034D08BF" w:rsidR="00D07113" w:rsidRDefault="00D07113">
      <w:pPr>
        <w:pStyle w:val="FootnoteText"/>
      </w:pPr>
      <w:r>
        <w:rPr>
          <w:rStyle w:val="FootnoteReference"/>
        </w:rPr>
        <w:footnoteRef/>
      </w:r>
      <w:r>
        <w:t xml:space="preserve"> </w:t>
      </w:r>
      <w:r w:rsidRPr="00D07113">
        <w:t>Butler, Judith, Gender Trouble</w:t>
      </w:r>
      <w:r w:rsidRPr="00D07113">
        <w:rPr>
          <w:rFonts w:ascii="Arial" w:hAnsi="Arial" w:cs="Arial"/>
        </w:rPr>
        <w:t> </w:t>
      </w:r>
      <w:r w:rsidRPr="00D07113">
        <w:t>: Feminism and the Subversion of Identity (Routledge, 2007) page</w:t>
      </w:r>
      <w:r>
        <w:t xml:space="preserve"> 175</w:t>
      </w:r>
    </w:p>
  </w:footnote>
  <w:footnote w:id="12">
    <w:p w14:paraId="6162830C" w14:textId="71F56731" w:rsidR="001668A6" w:rsidRDefault="001668A6">
      <w:pPr>
        <w:pStyle w:val="FootnoteText"/>
      </w:pPr>
      <w:r>
        <w:rPr>
          <w:rStyle w:val="FootnoteReference"/>
        </w:rPr>
        <w:footnoteRef/>
      </w:r>
      <w:r>
        <w:t xml:space="preserve"> </w:t>
      </w:r>
      <w:r w:rsidR="00650A06" w:rsidRPr="00650A06">
        <w:t>Butler, Judith, Gender Trouble</w:t>
      </w:r>
      <w:r w:rsidR="00650A06" w:rsidRPr="00650A06">
        <w:rPr>
          <w:rFonts w:ascii="Arial" w:hAnsi="Arial" w:cs="Arial"/>
        </w:rPr>
        <w:t> </w:t>
      </w:r>
      <w:r w:rsidR="00650A06" w:rsidRPr="00650A06">
        <w:t>: Feminism and the Subversion of Identity (Routledge, 2007) page</w:t>
      </w:r>
      <w:r w:rsidR="00650A06">
        <w:t xml:space="preserve"> 203</w:t>
      </w:r>
    </w:p>
  </w:footnote>
  <w:footnote w:id="13">
    <w:p w14:paraId="665B3C21" w14:textId="04CF839F" w:rsidR="00841972" w:rsidRDefault="00841972" w:rsidP="00153503">
      <w:pPr>
        <w:pStyle w:val="FootnoteText"/>
      </w:pPr>
      <w:r>
        <w:rPr>
          <w:rStyle w:val="FootnoteReference"/>
        </w:rPr>
        <w:footnoteRef/>
      </w:r>
      <w:r>
        <w:t xml:space="preserve"> </w:t>
      </w:r>
      <w:r w:rsidR="00153503">
        <w:t>Haver, William, ‘Judith Butler “Gender Trouble: Feminism and the Subversion of Identity” (Book Review)’, Educational Studies (Ames) (American Educational Studies Association, 1993), p. 246</w:t>
      </w:r>
    </w:p>
  </w:footnote>
  <w:footnote w:id="14">
    <w:p w14:paraId="65168EE3" w14:textId="52E9EFFA" w:rsidR="00537156" w:rsidRDefault="00537156" w:rsidP="00EA5C3B">
      <w:pPr>
        <w:pStyle w:val="FootnoteText"/>
      </w:pPr>
      <w:r>
        <w:rPr>
          <w:rStyle w:val="FootnoteReference"/>
        </w:rPr>
        <w:footnoteRef/>
      </w:r>
      <w:r>
        <w:t xml:space="preserve"> </w:t>
      </w:r>
      <w:r w:rsidR="00EA5C3B">
        <w:t>Butler, Judith, and Fred Matthews, ‘Gender Trouble. Feminism and the Subversion of Identity’, Comparative Studies in Society and History, 1993, pp. 647–647</w:t>
      </w:r>
    </w:p>
  </w:footnote>
  <w:footnote w:id="15">
    <w:p w14:paraId="432877F8" w14:textId="14411DB5" w:rsidR="00C66A19" w:rsidRDefault="00C66A19" w:rsidP="005D0604">
      <w:pPr>
        <w:pStyle w:val="FootnoteText"/>
      </w:pPr>
      <w:r>
        <w:rPr>
          <w:rStyle w:val="FootnoteReference"/>
        </w:rPr>
        <w:footnoteRef/>
      </w:r>
      <w:r>
        <w:t xml:space="preserve"> </w:t>
      </w:r>
      <w:r w:rsidR="005D0604">
        <w:t>Butler, Judith, and Constance Jordan, ‘Gender Trouble - Feminism and the Subversion of Identity’, Women’s Studies, 1993, pp. 257–257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E8C"/>
    <w:rsid w:val="000007A4"/>
    <w:rsid w:val="00003618"/>
    <w:rsid w:val="00022511"/>
    <w:rsid w:val="00063114"/>
    <w:rsid w:val="00074AEB"/>
    <w:rsid w:val="000C2417"/>
    <w:rsid w:val="000C5B28"/>
    <w:rsid w:val="000D0259"/>
    <w:rsid w:val="000D2171"/>
    <w:rsid w:val="000E6DB4"/>
    <w:rsid w:val="001169ED"/>
    <w:rsid w:val="00134CF1"/>
    <w:rsid w:val="00146CF0"/>
    <w:rsid w:val="00153503"/>
    <w:rsid w:val="001668A6"/>
    <w:rsid w:val="001673A8"/>
    <w:rsid w:val="00170A26"/>
    <w:rsid w:val="0018235A"/>
    <w:rsid w:val="001C5E35"/>
    <w:rsid w:val="001C6F10"/>
    <w:rsid w:val="001E2939"/>
    <w:rsid w:val="001E44B4"/>
    <w:rsid w:val="001F328F"/>
    <w:rsid w:val="0021536F"/>
    <w:rsid w:val="00227ACB"/>
    <w:rsid w:val="00233D8A"/>
    <w:rsid w:val="00241A1B"/>
    <w:rsid w:val="002644E9"/>
    <w:rsid w:val="0027122A"/>
    <w:rsid w:val="00280DC1"/>
    <w:rsid w:val="00281B00"/>
    <w:rsid w:val="00282436"/>
    <w:rsid w:val="00297ED7"/>
    <w:rsid w:val="002A5B37"/>
    <w:rsid w:val="002C0C48"/>
    <w:rsid w:val="002F0C31"/>
    <w:rsid w:val="002F4FDE"/>
    <w:rsid w:val="002F5C42"/>
    <w:rsid w:val="00317982"/>
    <w:rsid w:val="00323547"/>
    <w:rsid w:val="003713EC"/>
    <w:rsid w:val="003734D9"/>
    <w:rsid w:val="00375720"/>
    <w:rsid w:val="00381EB2"/>
    <w:rsid w:val="00387E8C"/>
    <w:rsid w:val="0039220D"/>
    <w:rsid w:val="003973BF"/>
    <w:rsid w:val="003B56F2"/>
    <w:rsid w:val="003E4BF9"/>
    <w:rsid w:val="003F0EDC"/>
    <w:rsid w:val="0041786D"/>
    <w:rsid w:val="00425F80"/>
    <w:rsid w:val="00426A2A"/>
    <w:rsid w:val="00444ED5"/>
    <w:rsid w:val="00445B43"/>
    <w:rsid w:val="004676E1"/>
    <w:rsid w:val="00471FF3"/>
    <w:rsid w:val="0047424E"/>
    <w:rsid w:val="004826A7"/>
    <w:rsid w:val="004863A6"/>
    <w:rsid w:val="004A3C9D"/>
    <w:rsid w:val="004A3F1E"/>
    <w:rsid w:val="004B29BB"/>
    <w:rsid w:val="004D36DF"/>
    <w:rsid w:val="004E3EA4"/>
    <w:rsid w:val="004E5955"/>
    <w:rsid w:val="0051368F"/>
    <w:rsid w:val="00537156"/>
    <w:rsid w:val="005406A9"/>
    <w:rsid w:val="00595777"/>
    <w:rsid w:val="00596D3F"/>
    <w:rsid w:val="005A63AA"/>
    <w:rsid w:val="005A77A3"/>
    <w:rsid w:val="005C261F"/>
    <w:rsid w:val="005D0604"/>
    <w:rsid w:val="005D41E1"/>
    <w:rsid w:val="005D7BF2"/>
    <w:rsid w:val="005E7643"/>
    <w:rsid w:val="00615DD7"/>
    <w:rsid w:val="0063065D"/>
    <w:rsid w:val="00644234"/>
    <w:rsid w:val="00645618"/>
    <w:rsid w:val="00646E3E"/>
    <w:rsid w:val="00650A06"/>
    <w:rsid w:val="0065111C"/>
    <w:rsid w:val="00654C8D"/>
    <w:rsid w:val="00656E73"/>
    <w:rsid w:val="00687DB6"/>
    <w:rsid w:val="006A03E2"/>
    <w:rsid w:val="006C0A4A"/>
    <w:rsid w:val="006C5293"/>
    <w:rsid w:val="006F16AA"/>
    <w:rsid w:val="006F52B7"/>
    <w:rsid w:val="007328D2"/>
    <w:rsid w:val="00741AF5"/>
    <w:rsid w:val="00742DB9"/>
    <w:rsid w:val="00751905"/>
    <w:rsid w:val="00765E5C"/>
    <w:rsid w:val="00776298"/>
    <w:rsid w:val="007B07C0"/>
    <w:rsid w:val="007B6178"/>
    <w:rsid w:val="007C0FE6"/>
    <w:rsid w:val="007C2E09"/>
    <w:rsid w:val="007D4E52"/>
    <w:rsid w:val="00804ADF"/>
    <w:rsid w:val="008138C3"/>
    <w:rsid w:val="008221DE"/>
    <w:rsid w:val="00822ED9"/>
    <w:rsid w:val="00824D5F"/>
    <w:rsid w:val="008262E4"/>
    <w:rsid w:val="00841972"/>
    <w:rsid w:val="008450DB"/>
    <w:rsid w:val="008516D1"/>
    <w:rsid w:val="008574CE"/>
    <w:rsid w:val="00866132"/>
    <w:rsid w:val="00886933"/>
    <w:rsid w:val="00892468"/>
    <w:rsid w:val="008B1618"/>
    <w:rsid w:val="008C77C3"/>
    <w:rsid w:val="008E2D5B"/>
    <w:rsid w:val="009419E3"/>
    <w:rsid w:val="009839EE"/>
    <w:rsid w:val="0098456A"/>
    <w:rsid w:val="009C4514"/>
    <w:rsid w:val="009E0A4E"/>
    <w:rsid w:val="00A029A1"/>
    <w:rsid w:val="00A04686"/>
    <w:rsid w:val="00A26859"/>
    <w:rsid w:val="00A43D54"/>
    <w:rsid w:val="00A56126"/>
    <w:rsid w:val="00A562A2"/>
    <w:rsid w:val="00A76DAE"/>
    <w:rsid w:val="00AB3A11"/>
    <w:rsid w:val="00AB6725"/>
    <w:rsid w:val="00AC1748"/>
    <w:rsid w:val="00AC1EF6"/>
    <w:rsid w:val="00AD21FA"/>
    <w:rsid w:val="00AD7AEF"/>
    <w:rsid w:val="00AE3871"/>
    <w:rsid w:val="00AE3E81"/>
    <w:rsid w:val="00AF0383"/>
    <w:rsid w:val="00AF20D7"/>
    <w:rsid w:val="00B016D1"/>
    <w:rsid w:val="00B0195C"/>
    <w:rsid w:val="00B03AD6"/>
    <w:rsid w:val="00B252C8"/>
    <w:rsid w:val="00B64F3C"/>
    <w:rsid w:val="00B7369B"/>
    <w:rsid w:val="00BA0F86"/>
    <w:rsid w:val="00BB7F4E"/>
    <w:rsid w:val="00BC3528"/>
    <w:rsid w:val="00BC78F1"/>
    <w:rsid w:val="00BD42FA"/>
    <w:rsid w:val="00BE3D0E"/>
    <w:rsid w:val="00BE69C9"/>
    <w:rsid w:val="00BE7E49"/>
    <w:rsid w:val="00C022E5"/>
    <w:rsid w:val="00C058C8"/>
    <w:rsid w:val="00C06B85"/>
    <w:rsid w:val="00C20E53"/>
    <w:rsid w:val="00C218BC"/>
    <w:rsid w:val="00C36A15"/>
    <w:rsid w:val="00C66A19"/>
    <w:rsid w:val="00C824F1"/>
    <w:rsid w:val="00C841B1"/>
    <w:rsid w:val="00CC49E5"/>
    <w:rsid w:val="00CC785F"/>
    <w:rsid w:val="00CD2B35"/>
    <w:rsid w:val="00CD30C8"/>
    <w:rsid w:val="00CD3822"/>
    <w:rsid w:val="00CE11DC"/>
    <w:rsid w:val="00CE156C"/>
    <w:rsid w:val="00CE4723"/>
    <w:rsid w:val="00CF70D5"/>
    <w:rsid w:val="00D029D6"/>
    <w:rsid w:val="00D03114"/>
    <w:rsid w:val="00D038BB"/>
    <w:rsid w:val="00D03C3C"/>
    <w:rsid w:val="00D07113"/>
    <w:rsid w:val="00D137D9"/>
    <w:rsid w:val="00D208DE"/>
    <w:rsid w:val="00D20A03"/>
    <w:rsid w:val="00D25DE0"/>
    <w:rsid w:val="00D34139"/>
    <w:rsid w:val="00D42B14"/>
    <w:rsid w:val="00D42DB2"/>
    <w:rsid w:val="00D5083F"/>
    <w:rsid w:val="00D90EC3"/>
    <w:rsid w:val="00D926DB"/>
    <w:rsid w:val="00D93BE4"/>
    <w:rsid w:val="00DA4ACD"/>
    <w:rsid w:val="00DE1B4C"/>
    <w:rsid w:val="00DE41A9"/>
    <w:rsid w:val="00E03FF0"/>
    <w:rsid w:val="00E06C87"/>
    <w:rsid w:val="00E102D2"/>
    <w:rsid w:val="00E1497B"/>
    <w:rsid w:val="00E335BB"/>
    <w:rsid w:val="00E43AE6"/>
    <w:rsid w:val="00E644AD"/>
    <w:rsid w:val="00E755FC"/>
    <w:rsid w:val="00E75A20"/>
    <w:rsid w:val="00E82EB7"/>
    <w:rsid w:val="00E83FD3"/>
    <w:rsid w:val="00E971FB"/>
    <w:rsid w:val="00E97265"/>
    <w:rsid w:val="00EA346E"/>
    <w:rsid w:val="00EA5C3B"/>
    <w:rsid w:val="00EA5CBC"/>
    <w:rsid w:val="00EC4BD1"/>
    <w:rsid w:val="00EE07E6"/>
    <w:rsid w:val="00EE3198"/>
    <w:rsid w:val="00F23B59"/>
    <w:rsid w:val="00F25A20"/>
    <w:rsid w:val="00F3014E"/>
    <w:rsid w:val="00F33E31"/>
    <w:rsid w:val="00F50A9E"/>
    <w:rsid w:val="00F53C6A"/>
    <w:rsid w:val="00F80D42"/>
    <w:rsid w:val="00FB451A"/>
    <w:rsid w:val="00FC5AE9"/>
    <w:rsid w:val="00FD725F"/>
    <w:rsid w:val="00FE6E97"/>
    <w:rsid w:val="00FF166E"/>
    <w:rsid w:val="00FF1A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97C13"/>
  <w15:chartTrackingRefBased/>
  <w15:docId w15:val="{E8FCCF17-8AE1-489C-AEA9-F894E0327B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7E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7E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7E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7E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7E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7E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7E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7E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7E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7E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7E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7E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7E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7E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7E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7E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7E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7E8C"/>
    <w:rPr>
      <w:rFonts w:eastAsiaTheme="majorEastAsia" w:cstheme="majorBidi"/>
      <w:color w:val="272727" w:themeColor="text1" w:themeTint="D8"/>
    </w:rPr>
  </w:style>
  <w:style w:type="paragraph" w:styleId="Title">
    <w:name w:val="Title"/>
    <w:basedOn w:val="Normal"/>
    <w:next w:val="Normal"/>
    <w:link w:val="TitleChar"/>
    <w:uiPriority w:val="10"/>
    <w:qFormat/>
    <w:rsid w:val="00387E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7E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7E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7E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7E8C"/>
    <w:pPr>
      <w:spacing w:before="160"/>
      <w:jc w:val="center"/>
    </w:pPr>
    <w:rPr>
      <w:i/>
      <w:iCs/>
      <w:color w:val="404040" w:themeColor="text1" w:themeTint="BF"/>
    </w:rPr>
  </w:style>
  <w:style w:type="character" w:customStyle="1" w:styleId="QuoteChar">
    <w:name w:val="Quote Char"/>
    <w:basedOn w:val="DefaultParagraphFont"/>
    <w:link w:val="Quote"/>
    <w:uiPriority w:val="29"/>
    <w:rsid w:val="00387E8C"/>
    <w:rPr>
      <w:i/>
      <w:iCs/>
      <w:color w:val="404040" w:themeColor="text1" w:themeTint="BF"/>
    </w:rPr>
  </w:style>
  <w:style w:type="paragraph" w:styleId="ListParagraph">
    <w:name w:val="List Paragraph"/>
    <w:basedOn w:val="Normal"/>
    <w:uiPriority w:val="34"/>
    <w:qFormat/>
    <w:rsid w:val="00387E8C"/>
    <w:pPr>
      <w:ind w:left="720"/>
      <w:contextualSpacing/>
    </w:pPr>
  </w:style>
  <w:style w:type="character" w:styleId="IntenseEmphasis">
    <w:name w:val="Intense Emphasis"/>
    <w:basedOn w:val="DefaultParagraphFont"/>
    <w:uiPriority w:val="21"/>
    <w:qFormat/>
    <w:rsid w:val="00387E8C"/>
    <w:rPr>
      <w:i/>
      <w:iCs/>
      <w:color w:val="0F4761" w:themeColor="accent1" w:themeShade="BF"/>
    </w:rPr>
  </w:style>
  <w:style w:type="paragraph" w:styleId="IntenseQuote">
    <w:name w:val="Intense Quote"/>
    <w:basedOn w:val="Normal"/>
    <w:next w:val="Normal"/>
    <w:link w:val="IntenseQuoteChar"/>
    <w:uiPriority w:val="30"/>
    <w:qFormat/>
    <w:rsid w:val="00387E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7E8C"/>
    <w:rPr>
      <w:i/>
      <w:iCs/>
      <w:color w:val="0F4761" w:themeColor="accent1" w:themeShade="BF"/>
    </w:rPr>
  </w:style>
  <w:style w:type="character" w:styleId="IntenseReference">
    <w:name w:val="Intense Reference"/>
    <w:basedOn w:val="DefaultParagraphFont"/>
    <w:uiPriority w:val="32"/>
    <w:qFormat/>
    <w:rsid w:val="00387E8C"/>
    <w:rPr>
      <w:b/>
      <w:bCs/>
      <w:smallCaps/>
      <w:color w:val="0F4761" w:themeColor="accent1" w:themeShade="BF"/>
      <w:spacing w:val="5"/>
    </w:rPr>
  </w:style>
  <w:style w:type="character" w:styleId="Hyperlink">
    <w:name w:val="Hyperlink"/>
    <w:basedOn w:val="DefaultParagraphFont"/>
    <w:uiPriority w:val="99"/>
    <w:unhideWhenUsed/>
    <w:rsid w:val="00EE3198"/>
    <w:rPr>
      <w:color w:val="467886" w:themeColor="hyperlink"/>
      <w:u w:val="single"/>
    </w:rPr>
  </w:style>
  <w:style w:type="character" w:styleId="UnresolvedMention">
    <w:name w:val="Unresolved Mention"/>
    <w:basedOn w:val="DefaultParagraphFont"/>
    <w:uiPriority w:val="99"/>
    <w:semiHidden/>
    <w:unhideWhenUsed/>
    <w:rsid w:val="00EE3198"/>
    <w:rPr>
      <w:color w:val="605E5C"/>
      <w:shd w:val="clear" w:color="auto" w:fill="E1DFDD"/>
    </w:rPr>
  </w:style>
  <w:style w:type="paragraph" w:styleId="FootnoteText">
    <w:name w:val="footnote text"/>
    <w:basedOn w:val="Normal"/>
    <w:link w:val="FootnoteTextChar"/>
    <w:uiPriority w:val="99"/>
    <w:semiHidden/>
    <w:unhideWhenUsed/>
    <w:rsid w:val="00EE07E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E07E6"/>
    <w:rPr>
      <w:sz w:val="20"/>
      <w:szCs w:val="20"/>
    </w:rPr>
  </w:style>
  <w:style w:type="character" w:styleId="FootnoteReference">
    <w:name w:val="footnote reference"/>
    <w:basedOn w:val="DefaultParagraphFont"/>
    <w:uiPriority w:val="99"/>
    <w:semiHidden/>
    <w:unhideWhenUsed/>
    <w:rsid w:val="00EE07E6"/>
    <w:rPr>
      <w:vertAlign w:val="superscript"/>
    </w:rPr>
  </w:style>
  <w:style w:type="paragraph" w:styleId="Header">
    <w:name w:val="header"/>
    <w:basedOn w:val="Normal"/>
    <w:link w:val="HeaderChar"/>
    <w:uiPriority w:val="99"/>
    <w:unhideWhenUsed/>
    <w:rsid w:val="007C0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0FE6"/>
  </w:style>
  <w:style w:type="paragraph" w:styleId="Footer">
    <w:name w:val="footer"/>
    <w:basedOn w:val="Normal"/>
    <w:link w:val="FooterChar"/>
    <w:uiPriority w:val="99"/>
    <w:unhideWhenUsed/>
    <w:rsid w:val="007C0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0FE6"/>
  </w:style>
  <w:style w:type="character" w:styleId="FollowedHyperlink">
    <w:name w:val="FollowedHyperlink"/>
    <w:basedOn w:val="DefaultParagraphFont"/>
    <w:uiPriority w:val="99"/>
    <w:semiHidden/>
    <w:unhideWhenUsed/>
    <w:rsid w:val="002F4FD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aily.jstor.org/judith-butler-the-early-years/" TargetMode="External"/><Relationship Id="rId5" Type="http://schemas.openxmlformats.org/officeDocument/2006/relationships/styles" Target="styles.xml"/><Relationship Id="rId10" Type="http://schemas.openxmlformats.org/officeDocument/2006/relationships/hyperlink" Target="https://www.britannica.com/biography/Judith-Butler" TargetMode="External"/><Relationship Id="rId4" Type="http://schemas.openxmlformats.org/officeDocument/2006/relationships/customXml" Target="../customXml/item4.xml"/><Relationship Id="rId9" Type="http://schemas.openxmlformats.org/officeDocument/2006/relationships/endnotes" Target="endnotes.xml"/></Relationships>
</file>

<file path=word/_rels/footnotes.xml.rels><?xml version="1.0" encoding="UTF-8" standalone="yes"?>
<Relationships xmlns="http://schemas.openxmlformats.org/package/2006/relationships"><Relationship Id="rId2" Type="http://schemas.openxmlformats.org/officeDocument/2006/relationships/hyperlink" Target="https://daily.jstor.org/judith-butler-the-early-years/" TargetMode="External"/><Relationship Id="rId1" Type="http://schemas.openxmlformats.org/officeDocument/2006/relationships/hyperlink" Target="https://www.britannica.com/biography/Judith-Butl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c3415d2da2f78a4af43c5a008b2848be">
  <xsd:schema xmlns:xsd="http://www.w3.org/2001/XMLSchema" xmlns:xs="http://www.w3.org/2001/XMLSchema" xmlns:p="http://schemas.microsoft.com/office/2006/metadata/properties" xmlns:ns3="0085e1a2-9cbf-4b92-866b-21f3c89040b6" targetNamespace="http://schemas.microsoft.com/office/2006/metadata/properties" ma:root="true" ma:fieldsID="34204d9e6ec510ac400337f2afbbfe79"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FE77BA-8D82-4412-9AD8-F7234318165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824AE4C-49F6-4232-A351-BDD3C4362F4F}">
  <ds:schemaRefs>
    <ds:schemaRef ds:uri="http://schemas.microsoft.com/sharepoint/v3/contenttype/forms"/>
  </ds:schemaRefs>
</ds:datastoreItem>
</file>

<file path=customXml/itemProps3.xml><?xml version="1.0" encoding="utf-8"?>
<ds:datastoreItem xmlns:ds="http://schemas.openxmlformats.org/officeDocument/2006/customXml" ds:itemID="{AB85FE35-2B46-45B3-8E8F-41D861FBAAB4}">
  <ds:schemaRefs>
    <ds:schemaRef ds:uri="http://schemas.microsoft.com/office/2006/metadata/properties"/>
    <ds:schemaRef ds:uri="http://schemas.microsoft.com/office/infopath/2007/PartnerControls"/>
    <ds:schemaRef ds:uri="0085e1a2-9cbf-4b92-866b-21f3c89040b6"/>
  </ds:schemaRefs>
</ds:datastoreItem>
</file>

<file path=customXml/itemProps4.xml><?xml version="1.0" encoding="utf-8"?>
<ds:datastoreItem xmlns:ds="http://schemas.openxmlformats.org/officeDocument/2006/customXml" ds:itemID="{F5C52C02-6638-442C-B2AA-80296BC3F8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3211</TotalTime>
  <Pages>3</Pages>
  <Words>843</Words>
  <Characters>4806</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Dabell (2400501)</dc:creator>
  <cp:keywords/>
  <dc:description/>
  <cp:lastModifiedBy>Megan Dabell (2400501)</cp:lastModifiedBy>
  <cp:revision>219</cp:revision>
  <dcterms:created xsi:type="dcterms:W3CDTF">2025-11-04T11:55:00Z</dcterms:created>
  <dcterms:modified xsi:type="dcterms:W3CDTF">2025-11-14T13:49:00Z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