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A2AE0D9" wp14:paraId="2C078E63" wp14:textId="6ABF2916">
      <w:pPr>
        <w:rPr>
          <w:rFonts w:ascii="Calibri" w:hAnsi="Calibri" w:eastAsia="Calibri" w:cs="Calibri" w:asciiTheme="minorAscii" w:hAnsiTheme="minorAscii" w:eastAsiaTheme="minorAscii" w:cstheme="minorAscii"/>
        </w:rPr>
      </w:pPr>
      <w:r w:rsidRPr="5A2AE0D9" w:rsidR="12690909">
        <w:rPr>
          <w:rFonts w:ascii="Calibri" w:hAnsi="Calibri" w:eastAsia="Calibri" w:cs="Calibri" w:asciiTheme="minorAscii" w:hAnsiTheme="minorAscii" w:eastAsiaTheme="minorAscii" w:cstheme="minorAscii"/>
        </w:rPr>
        <w:t xml:space="preserve">Criminal Law Assignment 1 – </w:t>
      </w:r>
      <w:r w:rsidRPr="5A2AE0D9" w:rsidR="620D38DF">
        <w:rPr>
          <w:rFonts w:ascii="Calibri" w:hAnsi="Calibri" w:eastAsia="Calibri" w:cs="Calibri" w:asciiTheme="minorAscii" w:hAnsiTheme="minorAscii" w:eastAsiaTheme="minorAscii" w:cstheme="minorAscii"/>
        </w:rPr>
        <w:t xml:space="preserve">Understanding Consent and Battery in the </w:t>
      </w:r>
      <w:r w:rsidRPr="5A2AE0D9" w:rsidR="620D38DF">
        <w:rPr>
          <w:rFonts w:ascii="Calibri" w:hAnsi="Calibri" w:eastAsia="Calibri" w:cs="Calibri" w:asciiTheme="minorAscii" w:hAnsiTheme="minorAscii" w:eastAsiaTheme="minorAscii" w:cstheme="minorAscii"/>
        </w:rPr>
        <w:t xml:space="preserve">UK - </w:t>
      </w:r>
      <w:r w:rsidRPr="5A2AE0D9" w:rsidR="12690909">
        <w:rPr>
          <w:rFonts w:ascii="Calibri" w:hAnsi="Calibri" w:eastAsia="Calibri" w:cs="Calibri" w:asciiTheme="minorAscii" w:hAnsiTheme="minorAscii" w:eastAsiaTheme="minorAscii" w:cstheme="minorAscii"/>
        </w:rPr>
        <w:t>Daniel</w:t>
      </w:r>
      <w:r w:rsidRPr="5A2AE0D9" w:rsidR="12690909">
        <w:rPr>
          <w:rFonts w:ascii="Calibri" w:hAnsi="Calibri" w:eastAsia="Calibri" w:cs="Calibri" w:asciiTheme="minorAscii" w:hAnsiTheme="minorAscii" w:eastAsiaTheme="minorAscii" w:cstheme="minorAscii"/>
        </w:rPr>
        <w:t xml:space="preserve"> Phillips 2305529</w:t>
      </w:r>
    </w:p>
    <w:p w:rsidR="17CF7497" w:rsidP="5A2AE0D9" w:rsidRDefault="17CF7497" w14:paraId="390C34E5" w14:textId="1053F281">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r w:rsidRPr="5A2AE0D9" w:rsidR="17CF7497">
        <w:rPr>
          <w:rFonts w:ascii="Calibri" w:hAnsi="Calibri" w:eastAsia="Calibri" w:cs="Calibri" w:asciiTheme="minorAscii" w:hAnsiTheme="minorAscii" w:eastAsiaTheme="minorAscii" w:cstheme="minorAscii"/>
        </w:rPr>
        <w:t xml:space="preserve">In this assignment I will be evaluating the concept of consent in the United </w:t>
      </w:r>
      <w:r w:rsidRPr="5A2AE0D9" w:rsidR="2A7F05A1">
        <w:rPr>
          <w:rFonts w:ascii="Calibri" w:hAnsi="Calibri" w:eastAsia="Calibri" w:cs="Calibri" w:asciiTheme="minorAscii" w:hAnsiTheme="minorAscii" w:eastAsiaTheme="minorAscii" w:cstheme="minorAscii"/>
        </w:rPr>
        <w:t>Kingdom</w:t>
      </w:r>
      <w:r w:rsidRPr="5A2AE0D9" w:rsidR="17CF7497">
        <w:rPr>
          <w:rFonts w:ascii="Calibri" w:hAnsi="Calibri" w:eastAsia="Calibri" w:cs="Calibri" w:asciiTheme="minorAscii" w:hAnsiTheme="minorAscii" w:eastAsiaTheme="minorAscii" w:cstheme="minorAscii"/>
        </w:rPr>
        <w:t xml:space="preserve"> and its significance involving cases of battery</w:t>
      </w:r>
      <w:r w:rsidRPr="5A2AE0D9" w:rsidR="6319EFB5">
        <w:rPr>
          <w:rFonts w:ascii="Calibri" w:hAnsi="Calibri" w:eastAsia="Calibri" w:cs="Calibri" w:asciiTheme="minorAscii" w:hAnsiTheme="minorAscii" w:eastAsiaTheme="minorAscii" w:cstheme="minorAscii"/>
        </w:rPr>
        <w:t>.</w:t>
      </w:r>
      <w:r w:rsidRPr="5A2AE0D9" w:rsidR="6BD58CA4">
        <w:rPr>
          <w:rFonts w:ascii="Calibri" w:hAnsi="Calibri" w:eastAsia="Calibri" w:cs="Calibri" w:asciiTheme="minorAscii" w:hAnsiTheme="minorAscii" w:eastAsiaTheme="minorAscii" w:cstheme="minorAscii"/>
        </w:rPr>
        <w:t xml:space="preserve"> </w:t>
      </w:r>
      <w:r w:rsidRPr="5A2AE0D9" w:rsidR="6BD58CA4">
        <w:rPr>
          <w:rFonts w:ascii="Calibri" w:hAnsi="Calibri" w:eastAsia="Calibri" w:cs="Calibri" w:asciiTheme="minorAscii" w:hAnsiTheme="minorAscii" w:eastAsiaTheme="minorAscii" w:cstheme="minorAscii"/>
        </w:rPr>
        <w:t>Con</w:t>
      </w:r>
      <w:r w:rsidRPr="5A2AE0D9" w:rsidR="7CA0E15B">
        <w:rPr>
          <w:rFonts w:ascii="Calibri" w:hAnsi="Calibri" w:eastAsia="Calibri" w:cs="Calibri" w:asciiTheme="minorAscii" w:hAnsiTheme="minorAscii" w:eastAsiaTheme="minorAscii" w:cstheme="minorAscii"/>
        </w:rPr>
        <w:t>sent</w:t>
      </w:r>
      <w:r w:rsidRPr="5A2AE0D9" w:rsidR="6BD58CA4">
        <w:rPr>
          <w:rFonts w:ascii="Calibri" w:hAnsi="Calibri" w:eastAsia="Calibri" w:cs="Calibri" w:asciiTheme="minorAscii" w:hAnsiTheme="minorAscii" w:eastAsiaTheme="minorAscii" w:cstheme="minorAscii"/>
        </w:rPr>
        <w:t xml:space="preserve"> and battery </w:t>
      </w:r>
      <w:r w:rsidRPr="5A2AE0D9" w:rsidR="723C2308">
        <w:rPr>
          <w:rFonts w:ascii="Calibri" w:hAnsi="Calibri" w:eastAsia="Calibri" w:cs="Calibri" w:asciiTheme="minorAscii" w:hAnsiTheme="minorAscii" w:eastAsiaTheme="minorAscii" w:cstheme="minorAscii"/>
        </w:rPr>
        <w:t xml:space="preserve">are terms that </w:t>
      </w:r>
      <w:r w:rsidRPr="5A2AE0D9" w:rsidR="45132A49">
        <w:rPr>
          <w:rFonts w:ascii="Calibri" w:hAnsi="Calibri" w:eastAsia="Calibri" w:cs="Calibri" w:asciiTheme="minorAscii" w:hAnsiTheme="minorAscii" w:eastAsiaTheme="minorAscii" w:cstheme="minorAscii"/>
        </w:rPr>
        <w:t>few</w:t>
      </w:r>
      <w:r w:rsidRPr="5A2AE0D9" w:rsidR="723C2308">
        <w:rPr>
          <w:rFonts w:ascii="Calibri" w:hAnsi="Calibri" w:eastAsia="Calibri" w:cs="Calibri" w:asciiTheme="minorAscii" w:hAnsiTheme="minorAscii" w:eastAsiaTheme="minorAscii" w:cstheme="minorAscii"/>
        </w:rPr>
        <w:t xml:space="preserve"> </w:t>
      </w:r>
      <w:bookmarkStart w:name="_Int_nhVROvga" w:id="2130477335"/>
      <w:r w:rsidRPr="5A2AE0D9" w:rsidR="723C2308">
        <w:rPr>
          <w:rFonts w:ascii="Calibri" w:hAnsi="Calibri" w:eastAsia="Calibri" w:cs="Calibri" w:asciiTheme="minorAscii" w:hAnsiTheme="minorAscii" w:eastAsiaTheme="minorAscii" w:cstheme="minorAscii"/>
        </w:rPr>
        <w:t xml:space="preserve">people </w:t>
      </w:r>
      <w:r w:rsidRPr="5A2AE0D9" w:rsidR="3263993F">
        <w:rPr>
          <w:rFonts w:ascii="Calibri" w:hAnsi="Calibri" w:eastAsia="Calibri" w:cs="Calibri" w:asciiTheme="minorAscii" w:hAnsiTheme="minorAscii" w:eastAsiaTheme="minorAscii" w:cstheme="minorAscii"/>
        </w:rPr>
        <w:t>can</w:t>
      </w:r>
      <w:bookmarkEnd w:id="2130477335"/>
      <w:r w:rsidRPr="5A2AE0D9" w:rsidR="723C2308">
        <w:rPr>
          <w:rFonts w:ascii="Calibri" w:hAnsi="Calibri" w:eastAsia="Calibri" w:cs="Calibri" w:asciiTheme="minorAscii" w:hAnsiTheme="minorAscii" w:eastAsiaTheme="minorAscii" w:cstheme="minorAscii"/>
        </w:rPr>
        <w:t xml:space="preserve"> fully </w:t>
      </w:r>
      <w:r w:rsidRPr="5A2AE0D9" w:rsidR="02078334">
        <w:rPr>
          <w:rFonts w:ascii="Calibri" w:hAnsi="Calibri" w:eastAsia="Calibri" w:cs="Calibri" w:asciiTheme="minorAscii" w:hAnsiTheme="minorAscii" w:eastAsiaTheme="minorAscii" w:cstheme="minorAscii"/>
        </w:rPr>
        <w:t>understand</w:t>
      </w:r>
      <w:r w:rsidRPr="5A2AE0D9" w:rsidR="0000830F">
        <w:rPr>
          <w:rFonts w:ascii="Calibri" w:hAnsi="Calibri" w:eastAsia="Calibri" w:cs="Calibri" w:asciiTheme="minorAscii" w:hAnsiTheme="minorAscii" w:eastAsiaTheme="minorAscii" w:cstheme="minorAscii"/>
        </w:rPr>
        <w:t xml:space="preserve"> </w:t>
      </w:r>
      <w:r w:rsidRPr="5A2AE0D9" w:rsidR="5CD65C61">
        <w:rPr>
          <w:rFonts w:ascii="Calibri" w:hAnsi="Calibri" w:eastAsia="Calibri" w:cs="Calibri" w:asciiTheme="minorAscii" w:hAnsiTheme="minorAscii" w:eastAsiaTheme="minorAscii" w:cstheme="minorAscii"/>
        </w:rPr>
        <w:t>or</w:t>
      </w:r>
      <w:r w:rsidRPr="5A2AE0D9" w:rsidR="723C2308">
        <w:rPr>
          <w:rFonts w:ascii="Calibri" w:hAnsi="Calibri" w:eastAsia="Calibri" w:cs="Calibri" w:asciiTheme="minorAscii" w:hAnsiTheme="minorAscii" w:eastAsiaTheme="minorAscii" w:cstheme="minorAscii"/>
        </w:rPr>
        <w:t xml:space="preserve"> are confused as to what they </w:t>
      </w:r>
      <w:r w:rsidRPr="5A2AE0D9" w:rsidR="723C2308">
        <w:rPr>
          <w:rFonts w:ascii="Calibri" w:hAnsi="Calibri" w:eastAsia="Calibri" w:cs="Calibri" w:asciiTheme="minorAscii" w:hAnsiTheme="minorAscii" w:eastAsiaTheme="minorAscii" w:cstheme="minorAscii"/>
        </w:rPr>
        <w:t>are.</w:t>
      </w:r>
      <w:r w:rsidRPr="5A2AE0D9" w:rsidR="723C2308">
        <w:rPr>
          <w:rFonts w:ascii="Calibri" w:hAnsi="Calibri" w:eastAsia="Calibri" w:cs="Calibri" w:asciiTheme="minorAscii" w:hAnsiTheme="minorAscii" w:eastAsiaTheme="minorAscii" w:cstheme="minorAscii"/>
        </w:rPr>
        <w:t xml:space="preserve"> In this essay I will define both ter</w:t>
      </w:r>
      <w:r w:rsidRPr="5A2AE0D9" w:rsidR="09CCE46F">
        <w:rPr>
          <w:rFonts w:ascii="Calibri" w:hAnsi="Calibri" w:eastAsia="Calibri" w:cs="Calibri" w:asciiTheme="minorAscii" w:hAnsiTheme="minorAscii" w:eastAsiaTheme="minorAscii" w:cstheme="minorAscii"/>
        </w:rPr>
        <w:t xml:space="preserve">ms, in a legal context and then discuss the elements </w:t>
      </w:r>
      <w:r w:rsidRPr="5A2AE0D9" w:rsidR="09CCE46F">
        <w:rPr>
          <w:rFonts w:ascii="Calibri" w:hAnsi="Calibri" w:eastAsia="Calibri" w:cs="Calibri" w:asciiTheme="minorAscii" w:hAnsiTheme="minorAscii" w:eastAsiaTheme="minorAscii" w:cstheme="minorAscii"/>
        </w:rPr>
        <w:t>regarding</w:t>
      </w:r>
      <w:r w:rsidRPr="5A2AE0D9" w:rsidR="09CCE46F">
        <w:rPr>
          <w:rFonts w:ascii="Calibri" w:hAnsi="Calibri" w:eastAsia="Calibri" w:cs="Calibri" w:asciiTheme="minorAscii" w:hAnsiTheme="minorAscii" w:eastAsiaTheme="minorAscii" w:cstheme="minorAscii"/>
        </w:rPr>
        <w:t xml:space="preserve"> both.</w:t>
      </w:r>
      <w:r w:rsidRPr="5A2AE0D9" w:rsidR="437407BF">
        <w:rPr>
          <w:rFonts w:ascii="Calibri" w:hAnsi="Calibri" w:eastAsia="Calibri" w:cs="Calibri" w:asciiTheme="minorAscii" w:hAnsiTheme="minorAscii" w:eastAsiaTheme="minorAscii" w:cstheme="minorAscii"/>
        </w:rPr>
        <w:t xml:space="preserve"> I will then explore the role of consent in battery cases and then discuss the challenges in </w:t>
      </w:r>
      <w:r w:rsidRPr="5A2AE0D9" w:rsidR="437407BF">
        <w:rPr>
          <w:rFonts w:ascii="Calibri" w:hAnsi="Calibri" w:eastAsia="Calibri" w:cs="Calibri" w:asciiTheme="minorAscii" w:hAnsiTheme="minorAscii" w:eastAsiaTheme="minorAscii" w:cstheme="minorAscii"/>
        </w:rPr>
        <w:t>determining</w:t>
      </w:r>
      <w:r w:rsidRPr="5A2AE0D9" w:rsidR="437407BF">
        <w:rPr>
          <w:rFonts w:ascii="Calibri" w:hAnsi="Calibri" w:eastAsia="Calibri" w:cs="Calibri" w:asciiTheme="minorAscii" w:hAnsiTheme="minorAscii" w:eastAsiaTheme="minorAscii" w:cstheme="minorAscii"/>
        </w:rPr>
        <w:t xml:space="preserve"> consent in legal frameworks</w:t>
      </w:r>
      <w:r w:rsidRPr="5A2AE0D9" w:rsidR="0716AED2">
        <w:rPr>
          <w:rFonts w:ascii="Calibri" w:hAnsi="Calibri" w:eastAsia="Calibri" w:cs="Calibri" w:asciiTheme="minorAscii" w:hAnsiTheme="minorAscii" w:eastAsiaTheme="minorAscii" w:cstheme="minorAscii"/>
        </w:rPr>
        <w:t xml:space="preserve">. I will then give a conclusion in which I will </w:t>
      </w:r>
      <w:r w:rsidRPr="5A2AE0D9" w:rsidR="0716AED2">
        <w:rPr>
          <w:rFonts w:ascii="Calibri" w:hAnsi="Calibri" w:eastAsia="Calibri" w:cs="Calibri" w:asciiTheme="minorAscii" w:hAnsiTheme="minorAscii" w:eastAsiaTheme="minorAscii" w:cstheme="minorAscii"/>
        </w:rPr>
        <w:t>summari</w:t>
      </w:r>
      <w:r w:rsidRPr="5A2AE0D9" w:rsidR="74C7C21C">
        <w:rPr>
          <w:rFonts w:ascii="Calibri" w:hAnsi="Calibri" w:eastAsia="Calibri" w:cs="Calibri" w:asciiTheme="minorAscii" w:hAnsiTheme="minorAscii" w:eastAsiaTheme="minorAscii" w:cstheme="minorAscii"/>
        </w:rPr>
        <w:t>se</w:t>
      </w:r>
      <w:r w:rsidRPr="5A2AE0D9" w:rsidR="0716AED2">
        <w:rPr>
          <w:rFonts w:ascii="Calibri" w:hAnsi="Calibri" w:eastAsia="Calibri" w:cs="Calibri" w:asciiTheme="minorAscii" w:hAnsiTheme="minorAscii" w:eastAsiaTheme="minorAscii" w:cstheme="minorAscii"/>
        </w:rPr>
        <w:t xml:space="preserve"> </w:t>
      </w:r>
      <w:r w:rsidRPr="5A2AE0D9" w:rsidR="37F1AB86">
        <w:rPr>
          <w:rFonts w:ascii="Calibri" w:hAnsi="Calibri" w:eastAsia="Calibri" w:cs="Calibri" w:asciiTheme="minorAscii" w:hAnsiTheme="minorAscii" w:eastAsiaTheme="minorAscii" w:cstheme="minorAscii"/>
        </w:rPr>
        <w:t>the</w:t>
      </w:r>
      <w:r w:rsidRPr="5A2AE0D9" w:rsidR="0716AED2">
        <w:rPr>
          <w:rFonts w:ascii="Calibri" w:hAnsi="Calibri" w:eastAsia="Calibri" w:cs="Calibri" w:asciiTheme="minorAscii" w:hAnsiTheme="minorAscii" w:eastAsiaTheme="minorAscii" w:cstheme="minorAscii"/>
        </w:rPr>
        <w:t xml:space="preserve"> key points. </w:t>
      </w:r>
      <w:r w:rsidRPr="5A2AE0D9" w:rsidR="6E035F93">
        <w:rPr>
          <w:rFonts w:ascii="Calibri" w:hAnsi="Calibri" w:eastAsia="Calibri" w:cs="Calibri" w:asciiTheme="minorAscii" w:hAnsiTheme="minorAscii" w:eastAsiaTheme="minorAscii" w:cstheme="minorAscii"/>
        </w:rPr>
        <w:t xml:space="preserve">It is clear from the main body of information </w:t>
      </w:r>
      <w:r w:rsidRPr="5A2AE0D9" w:rsidR="6E035F93">
        <w:rPr>
          <w:rFonts w:ascii="Calibri" w:hAnsi="Calibri" w:eastAsia="Calibri" w:cs="Calibri" w:asciiTheme="minorAscii" w:hAnsiTheme="minorAscii" w:eastAsiaTheme="minorAscii" w:cstheme="minorAscii"/>
        </w:rPr>
        <w:t>provided</w:t>
      </w:r>
      <w:r w:rsidRPr="5A2AE0D9" w:rsidR="6E035F93">
        <w:rPr>
          <w:rFonts w:ascii="Calibri" w:hAnsi="Calibri" w:eastAsia="Calibri" w:cs="Calibri" w:asciiTheme="minorAscii" w:hAnsiTheme="minorAscii" w:eastAsiaTheme="minorAscii" w:cstheme="minorAscii"/>
        </w:rPr>
        <w:t xml:space="preserve"> below that the concept of consent does </w:t>
      </w:r>
      <w:r w:rsidRPr="5A2AE0D9" w:rsidR="2CA844C5">
        <w:rPr>
          <w:rFonts w:ascii="Calibri" w:hAnsi="Calibri" w:eastAsia="Calibri" w:cs="Calibri" w:asciiTheme="minorAscii" w:hAnsiTheme="minorAscii" w:eastAsiaTheme="minorAscii" w:cstheme="minorAscii"/>
        </w:rPr>
        <w:t xml:space="preserve">in fact </w:t>
      </w:r>
      <w:r w:rsidRPr="5A2AE0D9" w:rsidR="6E035F93">
        <w:rPr>
          <w:rFonts w:ascii="Calibri" w:hAnsi="Calibri" w:eastAsia="Calibri" w:cs="Calibri" w:asciiTheme="minorAscii" w:hAnsiTheme="minorAscii" w:eastAsiaTheme="minorAscii" w:cstheme="minorAscii"/>
        </w:rPr>
        <w:t>play a significant role in battery cases in the United Kingdom.</w:t>
      </w:r>
      <w:r w:rsidRPr="5A2AE0D9" w:rsidR="2641AE61">
        <w:rPr>
          <w:rFonts w:ascii="Calibri" w:hAnsi="Calibri" w:eastAsia="Calibri" w:cs="Calibri" w:asciiTheme="minorAscii" w:hAnsiTheme="minorAscii" w:eastAsiaTheme="minorAscii" w:cstheme="minorAscii"/>
        </w:rPr>
        <w:t xml:space="preserve"> </w:t>
      </w:r>
      <w:r w:rsidRPr="5A2AE0D9" w:rsidR="0BFAB75E">
        <w:rPr>
          <w:rFonts w:ascii="Calibri" w:hAnsi="Calibri" w:eastAsia="Calibri" w:cs="Calibri" w:asciiTheme="minorAscii" w:hAnsiTheme="minorAscii" w:eastAsiaTheme="minorAscii" w:cstheme="minorAscii"/>
        </w:rPr>
        <w:t>The legal concept of consent in the U</w:t>
      </w:r>
      <w:r w:rsidRPr="5A2AE0D9" w:rsidR="7B2D4176">
        <w:rPr>
          <w:rFonts w:ascii="Calibri" w:hAnsi="Calibri" w:eastAsia="Calibri" w:cs="Calibri" w:asciiTheme="minorAscii" w:hAnsiTheme="minorAscii" w:eastAsiaTheme="minorAscii" w:cstheme="minorAscii"/>
        </w:rPr>
        <w:t xml:space="preserve">nited Kingdom </w:t>
      </w:r>
      <w:r w:rsidRPr="5A2AE0D9" w:rsidR="0BFAB75E">
        <w:rPr>
          <w:rFonts w:ascii="Calibri" w:hAnsi="Calibri" w:eastAsia="Calibri" w:cs="Calibri" w:asciiTheme="minorAscii" w:hAnsiTheme="minorAscii" w:eastAsiaTheme="minorAscii" w:cstheme="minorAscii"/>
        </w:rPr>
        <w:t xml:space="preserve">is one that </w:t>
      </w:r>
      <w:r w:rsidRPr="5A2AE0D9" w:rsidR="025669A7">
        <w:rPr>
          <w:rFonts w:ascii="Calibri" w:hAnsi="Calibri" w:eastAsia="Calibri" w:cs="Calibri" w:asciiTheme="minorAscii" w:hAnsiTheme="minorAscii" w:eastAsiaTheme="minorAscii" w:cstheme="minorAscii"/>
        </w:rPr>
        <w:t>few</w:t>
      </w:r>
      <w:r w:rsidRPr="5A2AE0D9" w:rsidR="0BFAB75E">
        <w:rPr>
          <w:rFonts w:ascii="Calibri" w:hAnsi="Calibri" w:eastAsia="Calibri" w:cs="Calibri" w:asciiTheme="minorAscii" w:hAnsiTheme="minorAscii" w:eastAsiaTheme="minorAscii" w:cstheme="minorAscii"/>
        </w:rPr>
        <w:t xml:space="preserve"> individuals will be familiar with. In simple terms consent is giving permission for</w:t>
      </w:r>
      <w:r w:rsidRPr="5A2AE0D9" w:rsidR="0F91D438">
        <w:rPr>
          <w:rFonts w:ascii="Calibri" w:hAnsi="Calibri" w:eastAsia="Calibri" w:cs="Calibri" w:asciiTheme="minorAscii" w:hAnsiTheme="minorAscii" w:eastAsiaTheme="minorAscii" w:cstheme="minorAscii"/>
        </w:rPr>
        <w:t xml:space="preserve"> an act to happen to yourself. An example of this would be a wife giving consent to her husband for them to </w:t>
      </w:r>
      <w:r w:rsidRPr="5A2AE0D9" w:rsidR="0F91D438">
        <w:rPr>
          <w:rFonts w:ascii="Calibri" w:hAnsi="Calibri" w:eastAsia="Calibri" w:cs="Calibri" w:asciiTheme="minorAscii" w:hAnsiTheme="minorAscii" w:eastAsiaTheme="minorAscii" w:cstheme="minorAscii"/>
        </w:rPr>
        <w:t>participate</w:t>
      </w:r>
      <w:r w:rsidRPr="5A2AE0D9" w:rsidR="0F91D438">
        <w:rPr>
          <w:rFonts w:ascii="Calibri" w:hAnsi="Calibri" w:eastAsia="Calibri" w:cs="Calibri" w:asciiTheme="minorAscii" w:hAnsiTheme="minorAscii" w:eastAsiaTheme="minorAscii" w:cstheme="minorAscii"/>
        </w:rPr>
        <w:t xml:space="preserve"> in sexual intercourse.</w:t>
      </w:r>
      <w:r w:rsidRPr="5A2AE0D9" w:rsidR="0057B934">
        <w:rPr>
          <w:rFonts w:ascii="Calibri" w:hAnsi="Calibri" w:eastAsia="Calibri" w:cs="Calibri" w:asciiTheme="minorAscii" w:hAnsiTheme="minorAscii" w:eastAsiaTheme="minorAscii" w:cstheme="minorAscii"/>
        </w:rPr>
        <w:t xml:space="preserve"> It is important to note that consent can be expressed</w:t>
      </w:r>
      <w:r w:rsidRPr="5A2AE0D9" w:rsidR="423D5C54">
        <w:rPr>
          <w:rFonts w:ascii="Calibri" w:hAnsi="Calibri" w:eastAsia="Calibri" w:cs="Calibri" w:asciiTheme="minorAscii" w:hAnsiTheme="minorAscii" w:eastAsiaTheme="minorAscii" w:cstheme="minorAscii"/>
        </w:rPr>
        <w:t xml:space="preserve"> as</w:t>
      </w:r>
      <w:r w:rsidRPr="5A2AE0D9" w:rsidR="0057B934">
        <w:rPr>
          <w:rFonts w:ascii="Calibri" w:hAnsi="Calibri" w:eastAsia="Calibri" w:cs="Calibri" w:asciiTheme="minorAscii" w:hAnsiTheme="minorAscii" w:eastAsiaTheme="minorAscii" w:cstheme="minorAscii"/>
        </w:rPr>
        <w:t xml:space="preserve"> spoken or implied. </w:t>
      </w:r>
      <w:r w:rsidRPr="5A2AE0D9" w:rsidR="11967380">
        <w:rPr>
          <w:rFonts w:ascii="Calibri" w:hAnsi="Calibri" w:eastAsia="Calibri" w:cs="Calibri" w:asciiTheme="minorAscii" w:hAnsiTheme="minorAscii" w:eastAsiaTheme="minorAscii" w:cstheme="minorAscii"/>
        </w:rPr>
        <w:t>A person gives his consent if they decide to and can do so.</w:t>
      </w:r>
      <w:r w:rsidRPr="5A2AE0D9" w:rsidR="5C845357">
        <w:rPr>
          <w:rFonts w:ascii="Calibri" w:hAnsi="Calibri" w:eastAsia="Calibri" w:cs="Calibri" w:asciiTheme="minorAscii" w:hAnsiTheme="minorAscii" w:eastAsiaTheme="minorAscii" w:cstheme="minorAscii"/>
        </w:rPr>
        <w:t xml:space="preserve"> This definition of legal c</w:t>
      </w:r>
      <w:r w:rsidRPr="5A2AE0D9" w:rsidR="5CBCB934">
        <w:rPr>
          <w:rFonts w:ascii="Calibri" w:hAnsi="Calibri" w:eastAsia="Calibri" w:cs="Calibri" w:asciiTheme="minorAscii" w:hAnsiTheme="minorAscii" w:eastAsiaTheme="minorAscii" w:cstheme="minorAscii"/>
        </w:rPr>
        <w:t>onsent can be found in the Sexual Offences Act 2003 on the online website Legislation.gov.uk, SOA 2003 (2023).</w:t>
      </w:r>
      <w:r w:rsidRPr="5A2AE0D9" w:rsidR="432D5253">
        <w:rPr>
          <w:rFonts w:ascii="Calibri" w:hAnsi="Calibri" w:eastAsia="Calibri" w:cs="Calibri" w:asciiTheme="minorAscii" w:hAnsiTheme="minorAscii" w:eastAsiaTheme="minorAscii" w:cstheme="minorAscii"/>
        </w:rPr>
        <w:t xml:space="preserve"> </w:t>
      </w:r>
      <w:bookmarkStart w:name="_Int_NWwzeLwv" w:id="973686136"/>
      <w:r w:rsidRPr="5A2AE0D9" w:rsidR="432D52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From this definition</w:t>
      </w:r>
      <w:r w:rsidRPr="5A2AE0D9" w:rsidR="5ABE13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bookmarkStart w:name="_Int_0fQ5SuaO" w:id="1649614998"/>
      <w:r w:rsidRPr="5A2AE0D9" w:rsidR="5ABE13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it is </w:t>
      </w:r>
      <w:r w:rsidRPr="5A2AE0D9" w:rsidR="432280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clear</w:t>
      </w:r>
      <w:r w:rsidRPr="5A2AE0D9" w:rsidR="432D52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A2AE0D9" w:rsidR="432280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that for</w:t>
      </w:r>
      <w:bookmarkEnd w:id="1649614998"/>
      <w:r w:rsidRPr="5A2AE0D9" w:rsidR="432280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consent to be valid the person must firstly agree to participate and then be of sound mind to do so.</w:t>
      </w:r>
      <w:bookmarkEnd w:id="973686136"/>
      <w:r w:rsidRPr="5A2AE0D9" w:rsidR="2BFD9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A2AE0D9" w:rsidR="572DA2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Next, I will define battery and give the legal context.</w:t>
      </w:r>
      <w:r w:rsidRPr="5A2AE0D9" w:rsidR="3E6286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Battery in simple terms </w:t>
      </w:r>
      <w:r w:rsidRPr="5A2AE0D9" w:rsidR="2314F4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is touching or personally registering force on another person</w:t>
      </w:r>
      <w:r w:rsidRPr="5A2AE0D9" w:rsidR="4F0A48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A2AE0D9" w:rsidR="52423B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According </w:t>
      </w:r>
      <w:r w:rsidRPr="5A2AE0D9" w:rsidR="41C763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to</w:t>
      </w:r>
      <w:r w:rsidRPr="5A2AE0D9" w:rsidR="7A05B2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A2AE0D9" w:rsidR="52423B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CPS Website </w:t>
      </w:r>
      <w:r w:rsidRPr="5A2AE0D9" w:rsidR="1902B8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(2023)</w:t>
      </w:r>
      <w:r w:rsidRPr="5A2AE0D9" w:rsidR="43430B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battery is when a person purposefully</w:t>
      </w:r>
      <w:r w:rsidRPr="5A2AE0D9" w:rsidR="759EF5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or carelessly applies illegal force to another. From this </w:t>
      </w:r>
      <w:r w:rsidRPr="5A2AE0D9" w:rsidR="401CA7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it</w:t>
      </w:r>
      <w:r w:rsidRPr="5A2AE0D9" w:rsidR="759EF5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is however worth noting </w:t>
      </w:r>
      <w:r w:rsidRPr="5A2AE0D9" w:rsidR="66BA40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that </w:t>
      </w:r>
      <w:bookmarkStart w:name="_Int_R0Wi0bCH" w:id="612369250"/>
      <w:r w:rsidRPr="5A2AE0D9" w:rsidR="66BA40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battery</w:t>
      </w:r>
      <w:bookmarkEnd w:id="612369250"/>
      <w:r w:rsidRPr="5A2AE0D9" w:rsidR="03FD1B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can be </w:t>
      </w:r>
      <w:r w:rsidRPr="5A2AE0D9" w:rsidR="616175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achieved without the victim displaying any kind of injury or illness.</w:t>
      </w:r>
      <w:r w:rsidRPr="5A2AE0D9" w:rsidR="49437F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A2AE0D9" w:rsidR="3B901F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This can be </w:t>
      </w:r>
      <w:r w:rsidRPr="5A2AE0D9" w:rsidR="31B2BE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shown</w:t>
      </w:r>
      <w:r w:rsidRPr="5A2AE0D9" w:rsidR="49437F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 the case of R v Thomas 1985. </w:t>
      </w:r>
      <w:r w:rsidRPr="5A2AE0D9" w:rsidR="01760E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 this case, the defendant was judged to have committed a battery by holding a 12-year-old girl's skirt.</w:t>
      </w:r>
      <w:r w:rsidRPr="5A2AE0D9" w:rsidR="49437F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A2AE0D9" w:rsidR="29D54D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Battery without injury or illness</w:t>
      </w:r>
      <w:r w:rsidRPr="5A2AE0D9" w:rsidR="616175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A2AE0D9" w:rsidR="616175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is supported in </w:t>
      </w:r>
      <w:r w:rsidRPr="5A2AE0D9" w:rsidR="648134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Herring (</w:t>
      </w:r>
      <w:r w:rsidRPr="5A2AE0D9" w:rsidR="43D3A6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2022</w:t>
      </w:r>
      <w:r w:rsidRPr="5A2AE0D9" w:rsidR="3D0F1D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p.322)</w:t>
      </w:r>
      <w:r w:rsidRPr="5A2AE0D9" w:rsidR="232986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A2AE0D9" w:rsidR="260096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This source shows that battery can include invading someone's personal space.</w:t>
      </w:r>
      <w:r w:rsidRPr="5A2AE0D9" w:rsidR="675BB1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F</w:t>
      </w:r>
      <w:r w:rsidRPr="5A2AE0D9" w:rsidR="46AE24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urthermore, it can be gathered that battery </w:t>
      </w:r>
      <w:r w:rsidRPr="5A2AE0D9" w:rsidR="5E3EE5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does not</w:t>
      </w:r>
      <w:r w:rsidRPr="5A2AE0D9" w:rsidR="46AE24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even have to involve causing harm to </w:t>
      </w:r>
      <w:r w:rsidRPr="5A2AE0D9" w:rsidR="575C8D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someone's</w:t>
      </w:r>
      <w:r w:rsidRPr="5A2AE0D9" w:rsidR="46AE24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body.</w:t>
      </w:r>
      <w:r w:rsidRPr="5A2AE0D9" w:rsidR="09E37C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A2AE0D9" w:rsidR="134F4A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Likewise, accidental </w:t>
      </w:r>
      <w:r w:rsidRPr="5A2AE0D9" w:rsidR="39623A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touching</w:t>
      </w:r>
      <w:r w:rsidRPr="5A2AE0D9" w:rsidR="134F4A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such as in a busy concert cannot be considered b</w:t>
      </w:r>
      <w:r w:rsidRPr="5A2AE0D9" w:rsidR="0D6CE5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atter</w:t>
      </w:r>
      <w:r w:rsidRPr="5A2AE0D9" w:rsidR="134F4A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y</w:t>
      </w:r>
      <w:r w:rsidRPr="5A2AE0D9" w:rsidR="134F4A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 the eyes of the law.</w:t>
      </w:r>
      <w:r w:rsidRPr="5A2AE0D9" w:rsidR="4BA1D0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This is </w:t>
      </w:r>
      <w:r w:rsidRPr="5A2AE0D9" w:rsidR="4BA1D0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evident</w:t>
      </w:r>
      <w:r w:rsidRPr="5A2AE0D9" w:rsidR="4BA1D0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 </w:t>
      </w:r>
      <w:r w:rsidRPr="5A2AE0D9" w:rsidR="11CCBC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Collins v Willock [1984]. </w:t>
      </w:r>
      <w:r w:rsidRPr="5A2AE0D9" w:rsidR="661C17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 this case the defendant was arrested by a police officer</w:t>
      </w:r>
      <w:r w:rsidRPr="5A2AE0D9" w:rsidR="4A54B1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not on duty,</w:t>
      </w:r>
      <w:r w:rsidRPr="5A2AE0D9" w:rsidR="661C17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convicted </w:t>
      </w:r>
      <w:r w:rsidRPr="5A2AE0D9" w:rsidR="24C0FC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of assault in the execution of their duty. However, on appeal the defendant claimed that at </w:t>
      </w:r>
      <w:r w:rsidRPr="5A2AE0D9" w:rsidR="04136F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 time of the assault the officer was not on duty and therefore a battery was committed as the officer grabbed the defendant.</w:t>
      </w:r>
      <w:r w:rsidRPr="5A2AE0D9" w:rsidR="029300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One law that is relevant to battery is the Offences against the persons act 1861. </w:t>
      </w:r>
      <w:r w:rsidRPr="5A2AE0D9" w:rsidR="029300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This</w:t>
      </w:r>
      <w:r w:rsidRPr="5A2AE0D9" w:rsidR="08F996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law is relevant because battery i</w:t>
      </w:r>
      <w:r w:rsidRPr="5A2AE0D9" w:rsidR="208A57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s a non-fatal offence. Another </w:t>
      </w:r>
      <w:r w:rsidRPr="5A2AE0D9" w:rsidR="381B19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law</w:t>
      </w:r>
      <w:r w:rsidRPr="5A2AE0D9" w:rsidR="208A57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that is relevant to battery is </w:t>
      </w:r>
      <w:r w:rsidRPr="5A2AE0D9" w:rsidR="176D8B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section 39 of the criminal </w:t>
      </w:r>
      <w:r w:rsidRPr="5A2AE0D9" w:rsidR="176D8B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justice</w:t>
      </w:r>
      <w:r w:rsidRPr="5A2AE0D9" w:rsidR="176D8B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act 1988.</w:t>
      </w:r>
      <w:r w:rsidRPr="5A2AE0D9" w:rsidR="6E52B9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Now, I will explore the role of consent in battery cases. </w:t>
      </w:r>
      <w:r w:rsidRPr="5A2AE0D9" w:rsidR="223FE8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Consent plays a significant role in battery cases. This is because battery involves an unwanted </w:t>
      </w:r>
      <w:r w:rsidRPr="5A2AE0D9" w:rsidR="01925B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action being committed. For instance, an unwanted push from a partner in a domestic violence case. </w:t>
      </w:r>
      <w:r w:rsidRPr="5A2AE0D9" w:rsidR="47A5A9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This is supported </w:t>
      </w:r>
      <w:r w:rsidRPr="5A2AE0D9" w:rsidR="597607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w:t>
      </w:r>
      <w:r w:rsidRPr="5A2AE0D9" w:rsidR="47A5A9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5A2AE0D9" w:rsidR="1AAA8D68">
        <w:rPr>
          <w:rFonts w:ascii="Calibri" w:hAnsi="Calibri" w:eastAsia="Calibri" w:cs="Calibri"/>
          <w:b w:val="0"/>
          <w:bCs w:val="0"/>
          <w:i w:val="0"/>
          <w:iCs w:val="0"/>
          <w:caps w:val="0"/>
          <w:smallCaps w:val="0"/>
          <w:noProof w:val="0"/>
          <w:color w:val="000000" w:themeColor="text1" w:themeTint="FF" w:themeShade="FF"/>
          <w:sz w:val="22"/>
          <w:szCs w:val="22"/>
          <w:lang w:val="en-US"/>
        </w:rPr>
        <w:t>Geisinger, A (2021, p.1859)</w:t>
      </w:r>
      <w:r w:rsidRPr="5A2AE0D9" w:rsidR="7F9119CC">
        <w:rPr>
          <w:rFonts w:ascii="Calibri" w:hAnsi="Calibri" w:eastAsia="Calibri" w:cs="Calibri"/>
          <w:b w:val="0"/>
          <w:bCs w:val="0"/>
          <w:i w:val="0"/>
          <w:iCs w:val="0"/>
          <w:caps w:val="0"/>
          <w:smallCaps w:val="0"/>
          <w:noProof w:val="0"/>
          <w:color w:val="000000" w:themeColor="text1" w:themeTint="FF" w:themeShade="FF"/>
          <w:sz w:val="22"/>
          <w:szCs w:val="22"/>
          <w:lang w:val="en-US"/>
        </w:rPr>
        <w:t>. This source infers that the lack of consent is what makes a contact by another person, battery.</w:t>
      </w:r>
      <w:r w:rsidRPr="5A2AE0D9" w:rsidR="0929F5D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However, what if consent is present in a battery case? </w:t>
      </w:r>
      <w:r w:rsidRPr="5A2AE0D9" w:rsidR="3CBA979B">
        <w:rPr>
          <w:rFonts w:ascii="Calibri" w:hAnsi="Calibri" w:eastAsia="Calibri" w:cs="Calibri"/>
          <w:b w:val="0"/>
          <w:bCs w:val="0"/>
          <w:i w:val="0"/>
          <w:iCs w:val="0"/>
          <w:caps w:val="0"/>
          <w:smallCaps w:val="0"/>
          <w:noProof w:val="0"/>
          <w:color w:val="000000" w:themeColor="text1" w:themeTint="FF" w:themeShade="FF"/>
          <w:sz w:val="22"/>
          <w:szCs w:val="22"/>
          <w:lang w:val="en-US"/>
        </w:rPr>
        <w:t>Consent is a legitimate defense in batter</w:t>
      </w:r>
      <w:r w:rsidRPr="5A2AE0D9" w:rsidR="3D9828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y </w:t>
      </w:r>
      <w:r w:rsidRPr="5A2AE0D9" w:rsidR="3CBA979B">
        <w:rPr>
          <w:rFonts w:ascii="Calibri" w:hAnsi="Calibri" w:eastAsia="Calibri" w:cs="Calibri"/>
          <w:b w:val="0"/>
          <w:bCs w:val="0"/>
          <w:i w:val="0"/>
          <w:iCs w:val="0"/>
          <w:caps w:val="0"/>
          <w:smallCaps w:val="0"/>
          <w:noProof w:val="0"/>
          <w:color w:val="000000" w:themeColor="text1" w:themeTint="FF" w:themeShade="FF"/>
          <w:sz w:val="22"/>
          <w:szCs w:val="22"/>
          <w:lang w:val="en-US"/>
        </w:rPr>
        <w:t>cases.</w:t>
      </w:r>
      <w:r w:rsidRPr="5A2AE0D9" w:rsidR="15A47D4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A2AE0D9" w:rsidR="765AA9DE">
        <w:rPr>
          <w:rFonts w:ascii="Calibri" w:hAnsi="Calibri" w:eastAsia="Calibri" w:cs="Calibri"/>
          <w:b w:val="0"/>
          <w:bCs w:val="0"/>
          <w:i w:val="0"/>
          <w:iCs w:val="0"/>
          <w:caps w:val="0"/>
          <w:smallCaps w:val="0"/>
          <w:noProof w:val="0"/>
          <w:color w:val="000000" w:themeColor="text1" w:themeTint="FF" w:themeShade="FF"/>
          <w:sz w:val="22"/>
          <w:szCs w:val="22"/>
          <w:lang w:val="en-US"/>
        </w:rPr>
        <w:t>This is because the victim's opposition to the crime is a necessary element of battery.</w:t>
      </w:r>
      <w:r w:rsidRPr="5A2AE0D9" w:rsidR="37B5C4A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A2AE0D9" w:rsidR="7A94A462">
        <w:rPr>
          <w:rFonts w:ascii="Calibri" w:hAnsi="Calibri" w:eastAsia="Calibri" w:cs="Calibri"/>
          <w:b w:val="0"/>
          <w:bCs w:val="0"/>
          <w:i w:val="0"/>
          <w:iCs w:val="0"/>
          <w:caps w:val="0"/>
          <w:smallCaps w:val="0"/>
          <w:noProof w:val="0"/>
          <w:color w:val="000000" w:themeColor="text1" w:themeTint="FF" w:themeShade="FF"/>
          <w:sz w:val="22"/>
          <w:szCs w:val="22"/>
          <w:lang w:val="en-US"/>
        </w:rPr>
        <w:t>Therefore, if the victim consented to the accused crime of battery, then no crime has been committed.</w:t>
      </w:r>
      <w:r w:rsidRPr="5A2AE0D9" w:rsidR="54FB996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Shown in, </w:t>
      </w:r>
      <w:r w:rsidRPr="5A2AE0D9" w:rsidR="7AD41613">
        <w:rPr>
          <w:rFonts w:ascii="Calibri" w:hAnsi="Calibri" w:eastAsia="Calibri" w:cs="Calibri"/>
          <w:b w:val="0"/>
          <w:bCs w:val="0"/>
          <w:i w:val="0"/>
          <w:iCs w:val="0"/>
          <w:caps w:val="0"/>
          <w:smallCaps w:val="0"/>
          <w:noProof w:val="0"/>
          <w:color w:val="000000" w:themeColor="text1" w:themeTint="FF" w:themeShade="FF"/>
          <w:sz w:val="22"/>
          <w:szCs w:val="22"/>
          <w:lang w:val="en-US"/>
        </w:rPr>
        <w:t>Justia</w:t>
      </w:r>
      <w:r w:rsidRPr="5A2AE0D9" w:rsidR="5730E15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A2AE0D9" w:rsidR="7AD41613">
        <w:rPr>
          <w:rFonts w:ascii="Calibri" w:hAnsi="Calibri" w:eastAsia="Calibri" w:cs="Calibri"/>
          <w:b w:val="0"/>
          <w:bCs w:val="0"/>
          <w:i w:val="0"/>
          <w:iCs w:val="0"/>
          <w:caps w:val="0"/>
          <w:smallCaps w:val="0"/>
          <w:noProof w:val="0"/>
          <w:color w:val="000000" w:themeColor="text1" w:themeTint="FF" w:themeShade="FF"/>
          <w:sz w:val="22"/>
          <w:szCs w:val="22"/>
          <w:lang w:val="en-US"/>
        </w:rPr>
        <w:t>(2023).</w:t>
      </w:r>
      <w:r w:rsidRPr="5A2AE0D9" w:rsidR="7AD41613">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r w:rsidRPr="5A2AE0D9" w:rsidR="59E716F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From this analysis </w:t>
      </w:r>
      <w:bookmarkStart w:name="_Int_Hash7ELA" w:id="806512719"/>
      <w:r w:rsidRPr="5A2AE0D9" w:rsidR="59E716FB">
        <w:rPr>
          <w:rFonts w:ascii="Calibri" w:hAnsi="Calibri" w:eastAsia="Calibri" w:cs="Calibri"/>
          <w:b w:val="0"/>
          <w:bCs w:val="0"/>
          <w:i w:val="0"/>
          <w:iCs w:val="0"/>
          <w:caps w:val="0"/>
          <w:smallCaps w:val="0"/>
          <w:noProof w:val="0"/>
          <w:color w:val="000000" w:themeColor="text1" w:themeTint="FF" w:themeShade="FF"/>
          <w:sz w:val="22"/>
          <w:szCs w:val="22"/>
          <w:lang w:val="en-US"/>
        </w:rPr>
        <w:t>it is clear that for</w:t>
      </w:r>
      <w:bookmarkEnd w:id="806512719"/>
      <w:r w:rsidRPr="5A2AE0D9" w:rsidR="59E716F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 legitimate crime of battery to have taken place, full legitimate</w:t>
      </w:r>
      <w:r w:rsidRPr="5A2AE0D9" w:rsidR="604DAD5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sound of mind consent cannot be present. </w:t>
      </w:r>
      <w:bookmarkStart w:name="_Int_ksJR8JGx" w:id="656570015"/>
      <w:r w:rsidRPr="5A2AE0D9" w:rsidR="604DAD5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If consent is not </w:t>
      </w:r>
      <w:r w:rsidRPr="5A2AE0D9" w:rsidR="50CA4AFA">
        <w:rPr>
          <w:rFonts w:ascii="Calibri" w:hAnsi="Calibri" w:eastAsia="Calibri" w:cs="Calibri"/>
          <w:b w:val="0"/>
          <w:bCs w:val="0"/>
          <w:i w:val="0"/>
          <w:iCs w:val="0"/>
          <w:caps w:val="0"/>
          <w:smallCaps w:val="0"/>
          <w:noProof w:val="0"/>
          <w:color w:val="000000" w:themeColor="text1" w:themeTint="FF" w:themeShade="FF"/>
          <w:sz w:val="22"/>
          <w:szCs w:val="22"/>
          <w:lang w:val="en-US"/>
        </w:rPr>
        <w:t>present,</w:t>
      </w:r>
      <w:r w:rsidRPr="5A2AE0D9" w:rsidR="604DAD5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then a b</w:t>
      </w:r>
      <w:r w:rsidRPr="5A2AE0D9" w:rsidR="1C669DED">
        <w:rPr>
          <w:rFonts w:ascii="Calibri" w:hAnsi="Calibri" w:eastAsia="Calibri" w:cs="Calibri"/>
          <w:b w:val="0"/>
          <w:bCs w:val="0"/>
          <w:i w:val="0"/>
          <w:iCs w:val="0"/>
          <w:caps w:val="0"/>
          <w:smallCaps w:val="0"/>
          <w:noProof w:val="0"/>
          <w:color w:val="000000" w:themeColor="text1" w:themeTint="FF" w:themeShade="FF"/>
          <w:sz w:val="22"/>
          <w:szCs w:val="22"/>
          <w:lang w:val="en-US"/>
        </w:rPr>
        <w:t>attery has taken p</w:t>
      </w:r>
      <w:r w:rsidRPr="5A2AE0D9" w:rsidR="368353F7">
        <w:rPr>
          <w:rFonts w:ascii="Calibri" w:hAnsi="Calibri" w:eastAsia="Calibri" w:cs="Calibri"/>
          <w:b w:val="0"/>
          <w:bCs w:val="0"/>
          <w:i w:val="0"/>
          <w:iCs w:val="0"/>
          <w:caps w:val="0"/>
          <w:smallCaps w:val="0"/>
          <w:noProof w:val="0"/>
          <w:color w:val="000000" w:themeColor="text1" w:themeTint="FF" w:themeShade="FF"/>
          <w:sz w:val="22"/>
          <w:szCs w:val="22"/>
          <w:lang w:val="en-US"/>
        </w:rPr>
        <w:t>lace</w:t>
      </w:r>
      <w:r w:rsidRPr="5A2AE0D9" w:rsidR="13AC5CF6">
        <w:rPr>
          <w:rFonts w:ascii="Calibri" w:hAnsi="Calibri" w:eastAsia="Calibri" w:cs="Calibri"/>
          <w:b w:val="0"/>
          <w:bCs w:val="0"/>
          <w:i w:val="0"/>
          <w:iCs w:val="0"/>
          <w:caps w:val="0"/>
          <w:smallCaps w:val="0"/>
          <w:noProof w:val="0"/>
          <w:color w:val="000000" w:themeColor="text1" w:themeTint="FF" w:themeShade="FF"/>
          <w:sz w:val="22"/>
          <w:szCs w:val="22"/>
          <w:lang w:val="en-US"/>
        </w:rPr>
        <w:t>.</w:t>
      </w:r>
      <w:bookmarkEnd w:id="656570015"/>
      <w:r w:rsidRPr="5A2AE0D9" w:rsidR="09E55BE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A2AE0D9" w:rsidR="47627AE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It is also important to </w:t>
      </w:r>
      <w:r w:rsidRPr="5A2AE0D9" w:rsidR="1626BFF6">
        <w:rPr>
          <w:rFonts w:ascii="Calibri" w:hAnsi="Calibri" w:eastAsia="Calibri" w:cs="Calibri"/>
          <w:b w:val="0"/>
          <w:bCs w:val="0"/>
          <w:i w:val="0"/>
          <w:iCs w:val="0"/>
          <w:caps w:val="0"/>
          <w:smallCaps w:val="0"/>
          <w:noProof w:val="0"/>
          <w:color w:val="000000" w:themeColor="text1" w:themeTint="FF" w:themeShade="FF"/>
          <w:sz w:val="22"/>
          <w:szCs w:val="22"/>
          <w:lang w:val="en-US"/>
        </w:rPr>
        <w:t>note</w:t>
      </w:r>
      <w:r w:rsidRPr="5A2AE0D9" w:rsidR="47627AE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A2AE0D9" w:rsidR="1F845A4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that consensual activities </w:t>
      </w:r>
      <w:r w:rsidRPr="5A2AE0D9" w:rsidR="3A06A87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such as boxing, and sadomasochism are not battery. This is because both participants are consenting to being </w:t>
      </w:r>
      <w:r w:rsidRPr="5A2AE0D9" w:rsidR="519769E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hurt. This therefore sanctions the battery that is </w:t>
      </w:r>
      <w:bookmarkStart w:name="_Int_1sU4rdLt" w:id="1984358521"/>
      <w:r w:rsidRPr="5A2AE0D9" w:rsidR="519769E0">
        <w:rPr>
          <w:rFonts w:ascii="Calibri" w:hAnsi="Calibri" w:eastAsia="Calibri" w:cs="Calibri"/>
          <w:b w:val="0"/>
          <w:bCs w:val="0"/>
          <w:i w:val="0"/>
          <w:iCs w:val="0"/>
          <w:caps w:val="0"/>
          <w:smallCaps w:val="0"/>
          <w:noProof w:val="0"/>
          <w:color w:val="000000" w:themeColor="text1" w:themeTint="FF" w:themeShade="FF"/>
          <w:sz w:val="22"/>
          <w:szCs w:val="22"/>
          <w:lang w:val="en-US"/>
        </w:rPr>
        <w:t>taking place</w:t>
      </w:r>
      <w:bookmarkEnd w:id="1984358521"/>
      <w:r w:rsidRPr="5A2AE0D9" w:rsidR="519769E0">
        <w:rPr>
          <w:rFonts w:ascii="Calibri" w:hAnsi="Calibri" w:eastAsia="Calibri" w:cs="Calibri"/>
          <w:b w:val="0"/>
          <w:bCs w:val="0"/>
          <w:i w:val="0"/>
          <w:iCs w:val="0"/>
          <w:caps w:val="0"/>
          <w:smallCaps w:val="0"/>
          <w:noProof w:val="0"/>
          <w:color w:val="000000" w:themeColor="text1" w:themeTint="FF" w:themeShade="FF"/>
          <w:sz w:val="22"/>
          <w:szCs w:val="22"/>
          <w:lang w:val="en-US"/>
        </w:rPr>
        <w:t>.</w:t>
      </w:r>
      <w:r w:rsidRPr="5A2AE0D9" w:rsidR="2FA4212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This is seen in the description of </w:t>
      </w:r>
      <w:r w:rsidRPr="5A2AE0D9" w:rsidR="2FA42125">
        <w:rPr>
          <w:rFonts w:ascii="Calibri" w:hAnsi="Calibri" w:eastAsia="Calibri" w:cs="Calibri"/>
          <w:b w:val="0"/>
          <w:bCs w:val="0"/>
          <w:i w:val="0"/>
          <w:iCs w:val="0"/>
          <w:caps w:val="0"/>
          <w:smallCaps w:val="0"/>
          <w:noProof w:val="0"/>
          <w:color w:val="000000" w:themeColor="text1" w:themeTint="FF" w:themeShade="FF"/>
          <w:sz w:val="22"/>
          <w:szCs w:val="22"/>
          <w:lang w:val="en-US"/>
        </w:rPr>
        <w:t>Weinberg, J.D. (2016).</w:t>
      </w:r>
      <w:r w:rsidRPr="5A2AE0D9" w:rsidR="290BEB1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Also shown in the case of R v Donovan</w:t>
      </w:r>
      <w:r w:rsidRPr="5A2AE0D9" w:rsidR="25DFBC7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1934, KB 498. </w:t>
      </w:r>
      <w:r w:rsidRPr="5A2AE0D9" w:rsidR="52807D22">
        <w:rPr>
          <w:rFonts w:ascii="Calibri" w:hAnsi="Calibri" w:eastAsia="Calibri" w:cs="Calibri"/>
          <w:b w:val="0"/>
          <w:bCs w:val="0"/>
          <w:i w:val="0"/>
          <w:iCs w:val="0"/>
          <w:caps w:val="0"/>
          <w:smallCaps w:val="0"/>
          <w:noProof w:val="0"/>
          <w:color w:val="000000" w:themeColor="text1" w:themeTint="FF" w:themeShade="FF"/>
          <w:sz w:val="22"/>
          <w:szCs w:val="22"/>
          <w:lang w:val="en-US"/>
        </w:rPr>
        <w:t>In this case, it was deemed that a 17-year-old girl consented to being caned by the defendant.</w:t>
      </w:r>
      <w:r w:rsidRPr="5A2AE0D9" w:rsidR="54AEA39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A2AE0D9" w:rsidR="6220115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 a sports context a battery can occur if a player or participant is touched in a way, by another, that would not be considered conventional in the sport. This is evident in, O’Brien Criminal and Civil Solicitors (2023). An argument against this however is in ice hockey as participants can commit assault or battery in the game and it would not be considered illegal. This is because participants will be making implied consent that actions may happen to themselves that would be considered a battery outside of the sport. This is supported in </w:t>
      </w:r>
      <w:r w:rsidRPr="5A2AE0D9" w:rsidR="62201151">
        <w:rPr>
          <w:rFonts w:ascii="Calibri" w:hAnsi="Calibri" w:eastAsia="Calibri" w:cs="Calibri"/>
          <w:b w:val="0"/>
          <w:bCs w:val="0"/>
          <w:i w:val="0"/>
          <w:iCs w:val="0"/>
          <w:caps w:val="0"/>
          <w:smallCaps w:val="0"/>
          <w:strike w:val="0"/>
          <w:dstrike w:val="0"/>
          <w:noProof w:val="0"/>
          <w:color w:val="222222"/>
          <w:sz w:val="22"/>
          <w:szCs w:val="22"/>
          <w:u w:val="none"/>
          <w:lang w:val="en-US"/>
        </w:rPr>
        <w:t>Davison, C (2020, p.14).</w:t>
      </w:r>
      <w:r w:rsidRPr="5A2AE0D9" w:rsidR="6220115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A2AE0D9" w:rsidR="54AEA39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Although consent does play a vital role in battery cases there </w:t>
      </w:r>
      <w:r w:rsidRPr="5A2AE0D9" w:rsidR="730DD8E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are many </w:t>
      </w:r>
      <w:r w:rsidRPr="5A2AE0D9" w:rsidR="24659CE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obstacles that must be overcome to ascertaining said consent. </w:t>
      </w:r>
      <w:r w:rsidRPr="5A2AE0D9" w:rsidR="3EFE45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Consent is extremely hard to determine, in a criminal case, as a defendant can be adamant that the </w:t>
      </w:r>
      <w:r w:rsidRPr="5A2AE0D9" w:rsidR="5FABD267">
        <w:rPr>
          <w:rFonts w:ascii="Calibri" w:hAnsi="Calibri" w:eastAsia="Calibri" w:cs="Calibri"/>
          <w:b w:val="0"/>
          <w:bCs w:val="0"/>
          <w:i w:val="0"/>
          <w:iCs w:val="0"/>
          <w:caps w:val="0"/>
          <w:smallCaps w:val="0"/>
          <w:noProof w:val="0"/>
          <w:color w:val="000000" w:themeColor="text1" w:themeTint="FF" w:themeShade="FF"/>
          <w:sz w:val="22"/>
          <w:szCs w:val="22"/>
          <w:lang w:val="en-US"/>
        </w:rPr>
        <w:t>victim</w:t>
      </w:r>
      <w:r w:rsidRPr="5A2AE0D9" w:rsidR="3EFE45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gave consent whilst the victim states o</w:t>
      </w:r>
      <w:r w:rsidRPr="5A2AE0D9" w:rsidR="66A76DA8">
        <w:rPr>
          <w:rFonts w:ascii="Calibri" w:hAnsi="Calibri" w:eastAsia="Calibri" w:cs="Calibri"/>
          <w:b w:val="0"/>
          <w:bCs w:val="0"/>
          <w:i w:val="0"/>
          <w:iCs w:val="0"/>
          <w:caps w:val="0"/>
          <w:smallCaps w:val="0"/>
          <w:noProof w:val="0"/>
          <w:color w:val="000000" w:themeColor="text1" w:themeTint="FF" w:themeShade="FF"/>
          <w:sz w:val="22"/>
          <w:szCs w:val="22"/>
          <w:lang w:val="en-US"/>
        </w:rPr>
        <w:t>therwise.</w:t>
      </w:r>
      <w:r w:rsidRPr="5A2AE0D9" w:rsidR="65A41F1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A2AE0D9" w:rsidR="5875E3C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This is called reasonable belief and is a common </w:t>
      </w:r>
      <w:r w:rsidRPr="5A2AE0D9" w:rsidR="277FED40">
        <w:rPr>
          <w:rFonts w:ascii="Calibri" w:hAnsi="Calibri" w:eastAsia="Calibri" w:cs="Calibri"/>
          <w:b w:val="0"/>
          <w:bCs w:val="0"/>
          <w:i w:val="0"/>
          <w:iCs w:val="0"/>
          <w:caps w:val="0"/>
          <w:smallCaps w:val="0"/>
          <w:noProof w:val="0"/>
          <w:color w:val="000000" w:themeColor="text1" w:themeTint="FF" w:themeShade="FF"/>
          <w:sz w:val="22"/>
          <w:szCs w:val="22"/>
          <w:lang w:val="en-US"/>
        </w:rPr>
        <w:t>defense</w:t>
      </w:r>
      <w:r w:rsidRPr="5A2AE0D9" w:rsidR="5875E3C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battery and rape cases.</w:t>
      </w:r>
      <w:r w:rsidRPr="5A2AE0D9" w:rsidR="59BE50F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Reasonable belief is the thought that an event or action did in fact happen.</w:t>
      </w:r>
      <w:r w:rsidRPr="5A2AE0D9" w:rsidR="1D2C86D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Shown in Cambridge Dictionary (2023). In the context </w:t>
      </w:r>
      <w:r w:rsidRPr="5A2AE0D9" w:rsidR="0A7CF5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of a battery or sexual assault case however, reasonable </w:t>
      </w:r>
      <w:r w:rsidRPr="5A2AE0D9" w:rsidR="47EB969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belief, from a consenting </w:t>
      </w:r>
      <w:r w:rsidRPr="5A2AE0D9" w:rsidR="6F2DC70A">
        <w:rPr>
          <w:rFonts w:ascii="Calibri" w:hAnsi="Calibri" w:eastAsia="Calibri" w:cs="Calibri"/>
          <w:b w:val="0"/>
          <w:bCs w:val="0"/>
          <w:i w:val="0"/>
          <w:iCs w:val="0"/>
          <w:caps w:val="0"/>
          <w:smallCaps w:val="0"/>
          <w:noProof w:val="0"/>
          <w:color w:val="000000" w:themeColor="text1" w:themeTint="FF" w:themeShade="FF"/>
          <w:sz w:val="22"/>
          <w:szCs w:val="22"/>
          <w:lang w:val="en-US"/>
        </w:rPr>
        <w:t>perspective</w:t>
      </w:r>
      <w:r w:rsidRPr="5A2AE0D9" w:rsidR="47EB969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A2AE0D9" w:rsidR="0A7CF5C6">
        <w:rPr>
          <w:rFonts w:ascii="Calibri" w:hAnsi="Calibri" w:eastAsia="Calibri" w:cs="Calibri"/>
          <w:b w:val="0"/>
          <w:bCs w:val="0"/>
          <w:i w:val="0"/>
          <w:iCs w:val="0"/>
          <w:caps w:val="0"/>
          <w:smallCaps w:val="0"/>
          <w:noProof w:val="0"/>
          <w:color w:val="000000" w:themeColor="text1" w:themeTint="FF" w:themeShade="FF"/>
          <w:sz w:val="22"/>
          <w:szCs w:val="22"/>
          <w:lang w:val="en-US"/>
        </w:rPr>
        <w:t>can be defined as</w:t>
      </w:r>
      <w:r w:rsidRPr="5A2AE0D9" w:rsidR="4C2A656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A2AE0D9" w:rsidR="0B602BF4">
        <w:rPr>
          <w:rFonts w:ascii="Calibri" w:hAnsi="Calibri" w:eastAsia="Calibri" w:cs="Calibri"/>
          <w:b w:val="0"/>
          <w:bCs w:val="0"/>
          <w:i w:val="0"/>
          <w:iCs w:val="0"/>
          <w:caps w:val="0"/>
          <w:smallCaps w:val="0"/>
          <w:noProof w:val="0"/>
          <w:color w:val="000000" w:themeColor="text1" w:themeTint="FF" w:themeShade="FF"/>
          <w:sz w:val="22"/>
          <w:szCs w:val="22"/>
          <w:lang w:val="en-US"/>
        </w:rPr>
        <w:t>identifying or disregarding signs that the victim did not want to participate in said battery or sexual assault.</w:t>
      </w:r>
      <w:r w:rsidRPr="5A2AE0D9" w:rsidR="3B1E69D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A2AE0D9" w:rsidR="4AA1CC3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Another definition is assuming consent was given to all acts committed when it was only given for one and not all acts. This can be identified in </w:t>
      </w:r>
      <w:r w:rsidRPr="5A2AE0D9" w:rsidR="7D373362">
        <w:rPr>
          <w:rFonts w:ascii="Calibri" w:hAnsi="Calibri" w:eastAsia="Calibri" w:cs="Calibri"/>
          <w:b w:val="0"/>
          <w:bCs w:val="0"/>
          <w:i w:val="0"/>
          <w:iCs w:val="0"/>
          <w:caps w:val="0"/>
          <w:smallCaps w:val="0"/>
          <w:noProof w:val="0"/>
          <w:color w:val="000000" w:themeColor="text1" w:themeTint="FF" w:themeShade="FF"/>
          <w:sz w:val="22"/>
          <w:szCs w:val="22"/>
          <w:lang w:val="en-US"/>
        </w:rPr>
        <w:t>CPS Website – Key issues for Investigators and Prosecutors (2023)</w:t>
      </w:r>
      <w:r w:rsidRPr="5A2AE0D9" w:rsidR="2A2DBB70">
        <w:rPr>
          <w:rFonts w:ascii="Calibri" w:hAnsi="Calibri" w:eastAsia="Calibri" w:cs="Calibri"/>
          <w:b w:val="0"/>
          <w:bCs w:val="0"/>
          <w:i w:val="0"/>
          <w:iCs w:val="0"/>
          <w:caps w:val="0"/>
          <w:smallCaps w:val="0"/>
          <w:noProof w:val="0"/>
          <w:color w:val="000000" w:themeColor="text1" w:themeTint="FF" w:themeShade="FF"/>
          <w:sz w:val="22"/>
          <w:szCs w:val="22"/>
          <w:lang w:val="en-US"/>
        </w:rPr>
        <w:t>.</w:t>
      </w:r>
      <w:r w:rsidRPr="5A2AE0D9" w:rsidR="004D24C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Consent also plays a significant role in the outcome of legal cases. This is because consent can render an act of battery </w:t>
      </w:r>
      <w:r w:rsidRPr="5A2AE0D9" w:rsidR="20FAB22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completely lawful. </w:t>
      </w:r>
      <w:r w:rsidRPr="5A2AE0D9" w:rsidR="33C7DF4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 a criminal case a defendant can use voluntary consent as a defense. This is because voluntary consent from the victim would make the battery lawful. </w:t>
      </w:r>
      <w:r w:rsidRPr="5A2AE0D9" w:rsidR="54756CB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Voluntary consent being used as a legitimate defense can be seen in, </w:t>
      </w:r>
      <w:r w:rsidRPr="5A2AE0D9" w:rsidR="6174E5B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IPSA Loquitur (2023). If a defendant is convicted of </w:t>
      </w:r>
      <w:r w:rsidRPr="5A2AE0D9" w:rsidR="6D39AE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battery</w:t>
      </w:r>
      <w:r w:rsidRPr="5A2AE0D9" w:rsidR="34FB5F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and sentenced</w:t>
      </w:r>
      <w:r w:rsidRPr="5A2AE0D9" w:rsidR="6D39AE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r w:rsidRPr="5A2AE0D9" w:rsidR="6174E5B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w:t>
      </w:r>
      <w:r w:rsidRPr="5A2AE0D9" w:rsidR="57235AE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h</w:t>
      </w:r>
      <w:r w:rsidRPr="5A2AE0D9" w:rsidR="6174E5B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ey will then become a </w:t>
      </w:r>
      <w:r w:rsidRPr="5A2AE0D9" w:rsidR="74054E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convicted offender</w:t>
      </w:r>
      <w:r w:rsidRPr="5A2AE0D9" w:rsidR="4B52EE0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r w:rsidRPr="5A2AE0D9" w:rsidR="7D1975F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Show</w:t>
      </w:r>
      <w:r w:rsidRPr="5A2AE0D9" w:rsidR="4F42567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n </w:t>
      </w:r>
      <w:r w:rsidRPr="5A2AE0D9" w:rsidR="2641C60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in</w:t>
      </w:r>
      <w:r w:rsidRPr="5A2AE0D9" w:rsidR="4F42567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5A2AE0D9" w:rsidR="109D4A4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Law Insider (2023). </w:t>
      </w:r>
      <w:r w:rsidRPr="5A2AE0D9" w:rsidR="3DCEB7C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This can be applied to other crimes an offender can be convicted of too.</w:t>
      </w:r>
      <w:r w:rsidRPr="5A2AE0D9" w:rsidR="08CEA05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5A2AE0D9" w:rsidR="1FCE97A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The first penalty or consequence for a person convicted of battery could be </w:t>
      </w:r>
      <w:r w:rsidRPr="5A2AE0D9" w:rsidR="4CC51FB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a fine. A low-level community order could also be implemented if the offender has mitigating factors such as first offence, age etc. </w:t>
      </w:r>
      <w:r w:rsidRPr="5A2AE0D9" w:rsidR="51C58D4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A maximum custodial sentence of up to 6 months can also be imposed. This is </w:t>
      </w:r>
      <w:r w:rsidRPr="5A2AE0D9" w:rsidR="3CB9617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w:t>
      </w:r>
      <w:r w:rsidRPr="5A2AE0D9" w:rsidR="51C58D4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hown in </w:t>
      </w:r>
      <w:r w:rsidRPr="5A2AE0D9" w:rsidR="512B1DE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Legislation.gov.uk CJA 1988 (2023)</w:t>
      </w:r>
      <w:r w:rsidRPr="5A2AE0D9" w:rsidR="0E5B866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r w:rsidRPr="5A2AE0D9" w:rsidR="4F484A3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5A2AE0D9" w:rsidR="4CC51FB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However, if aggravating factors</w:t>
      </w:r>
      <w:r w:rsidRPr="5A2AE0D9" w:rsidR="2284CD4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such as religious or racial aggravation</w:t>
      </w:r>
      <w:r w:rsidRPr="5A2AE0D9" w:rsidR="4CC51FB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are present in the </w:t>
      </w:r>
      <w:r w:rsidRPr="5A2AE0D9" w:rsidR="5AC31C1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case,</w:t>
      </w:r>
      <w:r w:rsidRPr="5A2AE0D9" w:rsidR="4CC51FB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then the </w:t>
      </w:r>
      <w:r w:rsidRPr="5A2AE0D9" w:rsidR="6E1FE4F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judge/magist</w:t>
      </w:r>
      <w:r w:rsidRPr="5A2AE0D9" w:rsidR="474BF81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rat</w:t>
      </w:r>
      <w:r w:rsidRPr="5A2AE0D9" w:rsidR="6E1FE4F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e could impose </w:t>
      </w:r>
      <w:r w:rsidRPr="5A2AE0D9" w:rsidR="0AF40BE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 custodial sentence or a high-level community payback order.</w:t>
      </w:r>
      <w:r w:rsidRPr="5A2AE0D9" w:rsidR="2D6B4B2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5A2AE0D9" w:rsidR="0DEE72D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All of this is shown in </w:t>
      </w:r>
      <w:r w:rsidRPr="5A2AE0D9" w:rsidR="2D6B4B2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There was a recent change to the law that increased the sentencing guidelines for </w:t>
      </w:r>
      <w:r w:rsidRPr="5A2AE0D9" w:rsidR="2D6B4B2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battery on an emergency worker</w:t>
      </w:r>
      <w:r w:rsidRPr="5A2AE0D9" w:rsidR="485F37B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5A2AE0D9" w:rsidR="328012C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This recent change meant that</w:t>
      </w:r>
      <w:r w:rsidRPr="5A2AE0D9" w:rsidR="7A41C3F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5A2AE0D9" w:rsidR="328012C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 convicted offende</w:t>
      </w:r>
      <w:r w:rsidRPr="5A2AE0D9" w:rsidR="5EDD864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r of assault/battery on an emergency worker </w:t>
      </w:r>
      <w:r w:rsidRPr="5A2AE0D9" w:rsidR="33654A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could receive a maximum custodial sentence of 2 years. This is evident </w:t>
      </w:r>
      <w:r w:rsidRPr="5A2AE0D9" w:rsidR="0BA58D4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on the website, Sentencing</w:t>
      </w:r>
      <w:r w:rsidRPr="5A2AE0D9" w:rsidR="7108F32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Council (2023)</w:t>
      </w:r>
      <w:r w:rsidRPr="5A2AE0D9" w:rsidR="2E391D4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r w:rsidRPr="5A2AE0D9" w:rsidR="034CAAD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Regarding consent, although it holds a vast significance in battery cases, not </w:t>
      </w:r>
      <w:r w:rsidRPr="5A2AE0D9" w:rsidR="50F0C0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all </w:t>
      </w:r>
      <w:r w:rsidRPr="5A2AE0D9" w:rsidR="034CAAD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the </w:t>
      </w:r>
      <w:bookmarkStart w:name="_Int_1tKMTnDo" w:id="1474388486"/>
      <w:r w:rsidRPr="5A2AE0D9" w:rsidR="034CAAD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general public</w:t>
      </w:r>
      <w:bookmarkEnd w:id="1474388486"/>
      <w:r w:rsidRPr="5A2AE0D9" w:rsidR="034CAAD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are fully informed of what consent is</w:t>
      </w:r>
      <w:r w:rsidRPr="5A2AE0D9" w:rsidR="0C6976D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or its significance in battery cases</w:t>
      </w:r>
      <w:r w:rsidRPr="5A2AE0D9" w:rsidR="28E9A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5A2AE0D9" w:rsidR="6E4DA8B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On the one hand the younger generation will be quite informed as to what success is due to the campaigns by police forces or rape victim</w:t>
      </w:r>
      <w:r w:rsidRPr="5A2AE0D9" w:rsidR="4F551D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/sexual assault charities. One of the campaigns to promote the awareness </w:t>
      </w:r>
      <w:r w:rsidRPr="5A2AE0D9" w:rsidR="2AEFA85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and meaning </w:t>
      </w:r>
      <w:r w:rsidRPr="5A2AE0D9" w:rsidR="4F551D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of consent to the </w:t>
      </w:r>
      <w:r w:rsidRPr="5A2AE0D9" w:rsidR="64B14BF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public</w:t>
      </w:r>
      <w:r w:rsidRPr="5A2AE0D9" w:rsidR="4F551D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can be seen in </w:t>
      </w:r>
      <w:r w:rsidRPr="5A2AE0D9" w:rsidR="32E90CA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Humberside Police (2023). The public are likely to be aware of the significance of consent in rape and sexual assault cases. However, </w:t>
      </w:r>
      <w:r w:rsidRPr="5A2AE0D9" w:rsidR="40556F0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regarding</w:t>
      </w:r>
      <w:r w:rsidRPr="5A2AE0D9" w:rsidR="32E90CA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battery cases the pub</w:t>
      </w:r>
      <w:r w:rsidRPr="5A2AE0D9" w:rsidR="7EFA543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lic will </w:t>
      </w:r>
      <w:r w:rsidRPr="5A2AE0D9" w:rsidR="5B373CD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be</w:t>
      </w:r>
      <w:r w:rsidRPr="5A2AE0D9" w:rsidR="4824861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unaware of the importance</w:t>
      </w:r>
      <w:r w:rsidRPr="5A2AE0D9" w:rsidR="394E967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of consent. </w:t>
      </w:r>
      <w:r w:rsidRPr="5A2AE0D9" w:rsidR="39A5EBD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This is simply because </w:t>
      </w:r>
      <w:r w:rsidRPr="5A2AE0D9" w:rsidR="0DB097B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some of the public may not be aware of the elements of battery and what differentiates battery to assault or wounding</w:t>
      </w:r>
      <w:r w:rsidRPr="5A2AE0D9" w:rsidR="1BAE941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bookmarkStart w:name="_Int_ZDHf1YVG" w:id="1452219373"/>
      <w:r w:rsidRPr="5A2AE0D9" w:rsidR="716E41A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On misconceptions or lack of understanding about battery.</w:t>
      </w:r>
      <w:bookmarkEnd w:id="1452219373"/>
      <w:r w:rsidRPr="5A2AE0D9" w:rsidR="1BAE941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5A2AE0D9" w:rsidR="2AADC45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Society may not know the full meaning of consent. For </w:t>
      </w:r>
      <w:r w:rsidRPr="5A2AE0D9" w:rsidR="44F4BB5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example,</w:t>
      </w:r>
      <w:r w:rsidRPr="5A2AE0D9" w:rsidR="2AADC45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society</w:t>
      </w:r>
      <w:r w:rsidRPr="5A2AE0D9" w:rsidR="006D71E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5A2AE0D9" w:rsidR="62FA4C3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assumes</w:t>
      </w:r>
      <w:r w:rsidRPr="5A2AE0D9" w:rsidR="2AADC45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that consent </w:t>
      </w:r>
      <w:r w:rsidRPr="5A2AE0D9" w:rsidR="7525AB2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is </w:t>
      </w:r>
      <w:r w:rsidRPr="5A2AE0D9" w:rsidR="2AADC45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given </w:t>
      </w:r>
      <w:r w:rsidRPr="5A2AE0D9" w:rsidR="588E3A3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when an individual agrees to participate in </w:t>
      </w:r>
      <w:r w:rsidRPr="5A2AE0D9" w:rsidR="2AADC45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acts </w:t>
      </w:r>
      <w:r w:rsidRPr="5A2AE0D9" w:rsidR="1F85687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during </w:t>
      </w:r>
      <w:r w:rsidRPr="5A2AE0D9" w:rsidR="585EE7C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sadomasochistic or body modification sessions</w:t>
      </w:r>
      <w:r w:rsidRPr="5A2AE0D9" w:rsidR="62761A1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5A2AE0D9" w:rsidR="230A0F5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But if an action or modification that the participant did not consent to occurs, the other participant could become liable </w:t>
      </w:r>
      <w:r w:rsidRPr="5A2AE0D9" w:rsidR="17379F6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for</w:t>
      </w:r>
      <w:r w:rsidRPr="5A2AE0D9" w:rsidR="230A0F5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an offence of battery, actual or grievous bodily harm. In the case of sadomasochism acts, consent </w:t>
      </w:r>
      <w:r w:rsidRPr="5A2AE0D9" w:rsidR="78C345D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is the </w:t>
      </w:r>
      <w:bookmarkStart w:name="_Int_GGT8Stok" w:id="389620510"/>
      <w:r w:rsidRPr="5A2AE0D9" w:rsidR="78C345D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principle</w:t>
      </w:r>
      <w:bookmarkEnd w:id="389620510"/>
      <w:r w:rsidRPr="5A2AE0D9" w:rsidR="78C345D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foundation in which leads to the acts taking place</w:t>
      </w:r>
      <w:r w:rsidRPr="5A2AE0D9" w:rsidR="3F3339E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r w:rsidRPr="5A2AE0D9" w:rsidR="197DFCF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If consent is not present in sadomasochistic </w:t>
      </w:r>
      <w:r w:rsidRPr="5A2AE0D9" w:rsidR="033D19E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acts,</w:t>
      </w:r>
      <w:r w:rsidRPr="5A2AE0D9" w:rsidR="197DFCF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then it is a battery or sexual abuse. </w:t>
      </w:r>
      <w:bookmarkStart w:name="_Int_Jst05AHk" w:id="700007898"/>
      <w:r w:rsidRPr="5A2AE0D9" w:rsidR="322631A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This is considered to be a grey area in consent and can be quite challenging to prove in court.</w:t>
      </w:r>
      <w:bookmarkEnd w:id="700007898"/>
      <w:r w:rsidRPr="5A2AE0D9" w:rsidR="322631A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To conclude</w:t>
      </w:r>
      <w:r w:rsidRPr="5A2AE0D9" w:rsidR="50E12F5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the concept of consent </w:t>
      </w:r>
      <w:r w:rsidRPr="5A2AE0D9" w:rsidR="4462928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is fundamental in cases involving battery. This is not only down to lack of consent being a key element of the offence of</w:t>
      </w:r>
      <w:r w:rsidRPr="5A2AE0D9" w:rsidR="58C7254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battery, but also due to the </w:t>
      </w:r>
      <w:r w:rsidRPr="5A2AE0D9" w:rsidR="00BB4F6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lack of societal awareness regarding consent as a whole and the meaning of battery itself.</w:t>
      </w:r>
      <w:r w:rsidRPr="5A2AE0D9" w:rsidR="60800F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Another key point that is prevalent is that consensual activities such as contact sports do not amount to a battery</w:t>
      </w:r>
      <w:r w:rsidRPr="5A2AE0D9" w:rsidR="012D9C6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5A2AE0D9" w:rsidR="3E21DEE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 further argument for consent being significant in battery cases is that consent is a legitimate defense.</w:t>
      </w:r>
      <w:r w:rsidRPr="5A2AE0D9" w:rsidR="05E3901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These key points amount to consent being of great </w:t>
      </w:r>
      <w:r w:rsidRPr="5A2AE0D9" w:rsidR="473EAAE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significance</w:t>
      </w:r>
      <w:r w:rsidRPr="5A2AE0D9" w:rsidR="05E3901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w:t>
      </w:r>
      <w:r w:rsidRPr="5A2AE0D9" w:rsidR="524439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n battery cases.</w:t>
      </w:r>
    </w:p>
    <w:p w:rsidR="62B59DAC" w:rsidP="5A2AE0D9" w:rsidRDefault="62B59DAC" w14:paraId="4A683829" w14:textId="47D4791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A2AE0D9" w:rsidR="62B59DAC">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US"/>
        </w:rPr>
        <w:t>Case List</w:t>
      </w:r>
    </w:p>
    <w:p w:rsidR="62B59DAC" w:rsidP="5A2AE0D9" w:rsidRDefault="62B59DAC" w14:paraId="723F3F8B" w14:textId="3EB09B7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Collins v Willock, 1984.</w:t>
      </w:r>
    </w:p>
    <w:p w:rsidR="62B59DAC" w:rsidP="5A2AE0D9" w:rsidRDefault="62B59DAC" w14:paraId="3EA017AD" w14:textId="29DC50B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R v Thomas, 1985.</w:t>
      </w:r>
    </w:p>
    <w:p w:rsidR="62B59DAC" w:rsidP="5A2AE0D9" w:rsidRDefault="62B59DAC" w14:paraId="3B4FFA69" w14:textId="4868EE0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R v Donovan, 1934, KB 498.</w:t>
      </w:r>
    </w:p>
    <w:p w:rsidR="5A2AE0D9" w:rsidP="5A2AE0D9" w:rsidRDefault="5A2AE0D9" w14:paraId="735B77AB" w14:textId="011143C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2B59DAC" w:rsidP="5A2AE0D9" w:rsidRDefault="62B59DAC" w14:paraId="1B90F147" w14:textId="1B66503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A2AE0D9" w:rsidR="62B59DAC">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US"/>
        </w:rPr>
        <w:t>References</w:t>
      </w:r>
    </w:p>
    <w:p w:rsidR="62B59DAC" w:rsidP="5A2AE0D9" w:rsidRDefault="62B59DAC" w14:paraId="67FD24E0" w14:textId="5BB3274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Legislation.gov.uk (2023) Sexual Offences Act 2003, Available At: </w:t>
      </w:r>
      <w:hyperlink r:id="Rc454e354648d4b0e">
        <w:r w:rsidRPr="5A2AE0D9" w:rsidR="62B59DAC">
          <w:rPr>
            <w:rStyle w:val="Hyperlink"/>
            <w:rFonts w:ascii="Calibri" w:hAnsi="Calibri" w:eastAsia="Calibri" w:cs="Calibri"/>
            <w:b w:val="0"/>
            <w:bCs w:val="0"/>
            <w:i w:val="0"/>
            <w:iCs w:val="0"/>
            <w:caps w:val="0"/>
            <w:smallCaps w:val="0"/>
            <w:strike w:val="0"/>
            <w:dstrike w:val="0"/>
            <w:noProof w:val="0"/>
            <w:sz w:val="22"/>
            <w:szCs w:val="22"/>
            <w:lang w:val="en-US"/>
          </w:rPr>
          <w:t>https://www.legislation.gov.uk/ukpga/2003/42/section/74</w:t>
        </w:r>
      </w:hyperlink>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29/10/2023</w:t>
      </w:r>
    </w:p>
    <w:p w:rsidR="62B59DAC" w:rsidP="5A2AE0D9" w:rsidRDefault="62B59DAC" w14:paraId="1D387D4F" w14:textId="268E280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CPS Website (2023) Offences against the person, incorporating the charging standard, Available At: </w:t>
      </w:r>
      <w:hyperlink r:id="R25829baefe5e4297">
        <w:r w:rsidRPr="5A2AE0D9" w:rsidR="62B59DAC">
          <w:rPr>
            <w:rStyle w:val="Hyperlink"/>
            <w:rFonts w:ascii="Calibri" w:hAnsi="Calibri" w:eastAsia="Calibri" w:cs="Calibri"/>
            <w:b w:val="0"/>
            <w:bCs w:val="0"/>
            <w:i w:val="0"/>
            <w:iCs w:val="0"/>
            <w:caps w:val="0"/>
            <w:smallCaps w:val="0"/>
            <w:strike w:val="0"/>
            <w:dstrike w:val="0"/>
            <w:noProof w:val="0"/>
            <w:sz w:val="22"/>
            <w:szCs w:val="22"/>
            <w:lang w:val="en-US"/>
          </w:rPr>
          <w:t>https://www.cps.gov.uk/legal-guidance/offences-against-person-incorporating-charging-standard</w:t>
        </w:r>
      </w:hyperlink>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29/10/2023</w:t>
      </w:r>
    </w:p>
    <w:p w:rsidR="62B59DAC" w:rsidP="5A2AE0D9" w:rsidRDefault="62B59DAC" w14:paraId="2663A627" w14:textId="642C57F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Herring, J. (2022) Criminal Law: Text Cases and Materials. 10</w:t>
      </w:r>
      <w:r w:rsidRPr="5A2AE0D9" w:rsidR="62B59DAC">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th</w:t>
      </w:r>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edn. Oxford University Press</w:t>
      </w:r>
    </w:p>
    <w:p w:rsidR="62B59DAC" w:rsidP="5A2AE0D9" w:rsidRDefault="62B59DAC" w14:paraId="5E1E9885" w14:textId="5A966B5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Geisenger, A (2021) </w:t>
      </w:r>
      <w:r w:rsidRPr="5A2AE0D9" w:rsidR="62B59DAC">
        <w:rPr>
          <w:rFonts w:ascii="Calibri" w:hAnsi="Calibri" w:eastAsia="Calibri" w:cs="Calibri"/>
          <w:b w:val="0"/>
          <w:bCs w:val="0"/>
          <w:i w:val="1"/>
          <w:iCs w:val="1"/>
          <w:caps w:val="0"/>
          <w:smallCaps w:val="0"/>
          <w:noProof w:val="0"/>
          <w:color w:val="000000" w:themeColor="text1" w:themeTint="FF" w:themeShade="FF"/>
          <w:sz w:val="22"/>
          <w:szCs w:val="22"/>
          <w:lang w:val="en-US"/>
        </w:rPr>
        <w:t xml:space="preserve">UC Davies Law Review, Does Saying “Yes” Always Make It Right? The Role of Consent in Civil Battery, Available At: </w:t>
      </w:r>
      <w:hyperlink r:id="Rcc825858a6384843">
        <w:r w:rsidRPr="5A2AE0D9" w:rsidR="62B59DAC">
          <w:rPr>
            <w:rStyle w:val="Hyperlink"/>
            <w:rFonts w:ascii="Calibri" w:hAnsi="Calibri" w:eastAsia="Calibri" w:cs="Calibri"/>
            <w:b w:val="0"/>
            <w:bCs w:val="0"/>
            <w:i w:val="1"/>
            <w:iCs w:val="1"/>
            <w:caps w:val="0"/>
            <w:smallCaps w:val="0"/>
            <w:strike w:val="0"/>
            <w:dstrike w:val="0"/>
            <w:noProof w:val="0"/>
            <w:sz w:val="22"/>
            <w:szCs w:val="22"/>
            <w:lang w:val="en-US"/>
          </w:rPr>
          <w:t>https://lawreview.law.ucdavis.edu/issues/54/4/articles/files/54-4_Geisinger.pdf</w:t>
        </w:r>
      </w:hyperlink>
      <w:r w:rsidRPr="5A2AE0D9" w:rsidR="62B59DAC">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Accessed on 3/11/2023</w:t>
      </w:r>
    </w:p>
    <w:p w:rsidR="62B59DAC" w:rsidP="5A2AE0D9" w:rsidRDefault="62B59DAC" w14:paraId="2FB478B6" w14:textId="73BDEDFD">
      <w:pPr>
        <w:pStyle w:val="Heading1"/>
        <w:keepNext w:val="1"/>
        <w:keepLines w:val="1"/>
        <w:spacing w:before="240"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Justia (2023) </w:t>
      </w:r>
      <w:r w:rsidRPr="5A2AE0D9" w:rsidR="62B59DAC">
        <w:rPr>
          <w:rFonts w:ascii="Calibri" w:hAnsi="Calibri" w:eastAsia="Calibri" w:cs="Calibri"/>
          <w:b w:val="0"/>
          <w:bCs w:val="0"/>
          <w:i w:val="1"/>
          <w:iCs w:val="1"/>
          <w:caps w:val="0"/>
          <w:smallCaps w:val="0"/>
          <w:noProof w:val="0"/>
          <w:color w:val="000000" w:themeColor="text1" w:themeTint="FF" w:themeShade="FF"/>
          <w:sz w:val="22"/>
          <w:szCs w:val="22"/>
          <w:lang w:val="en-US"/>
        </w:rPr>
        <w:t xml:space="preserve">The Consent Defense in Criminal Law Cases, Available At: </w:t>
      </w:r>
      <w:hyperlink r:id="Ra731c0b52e2845e5">
        <w:r w:rsidRPr="5A2AE0D9" w:rsidR="62B59DAC">
          <w:rPr>
            <w:rStyle w:val="Hyperlink"/>
            <w:rFonts w:ascii="Calibri" w:hAnsi="Calibri" w:eastAsia="Calibri" w:cs="Calibri"/>
            <w:b w:val="0"/>
            <w:bCs w:val="0"/>
            <w:i w:val="1"/>
            <w:iCs w:val="1"/>
            <w:caps w:val="0"/>
            <w:smallCaps w:val="0"/>
            <w:strike w:val="0"/>
            <w:dstrike w:val="0"/>
            <w:noProof w:val="0"/>
            <w:sz w:val="22"/>
            <w:szCs w:val="22"/>
            <w:lang w:val="en-US"/>
          </w:rPr>
          <w:t>https://www.justia.com/criminal/defenses/consent/</w:t>
        </w:r>
      </w:hyperlink>
      <w:r w:rsidRPr="5A2AE0D9" w:rsidR="62B59DAC">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Accessed on 3/11/2023</w:t>
      </w:r>
    </w:p>
    <w:p w:rsidR="5A2AE0D9" w:rsidP="5A2AE0D9" w:rsidRDefault="5A2AE0D9" w14:paraId="485DFBB4" w14:textId="636F901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2B59DAC" w:rsidP="5A2AE0D9" w:rsidRDefault="62B59DAC" w14:paraId="6E169B46" w14:textId="3532D40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Weinberg, J.D. (2016) </w:t>
      </w:r>
      <w:r w:rsidRPr="5A2AE0D9" w:rsidR="62B59DAC">
        <w:rPr>
          <w:rFonts w:ascii="Calibri" w:hAnsi="Calibri" w:eastAsia="Calibri" w:cs="Calibri"/>
          <w:b w:val="0"/>
          <w:bCs w:val="0"/>
          <w:i w:val="1"/>
          <w:iCs w:val="1"/>
          <w:caps w:val="0"/>
          <w:smallCaps w:val="0"/>
          <w:noProof w:val="0"/>
          <w:color w:val="000000" w:themeColor="text1" w:themeTint="FF" w:themeShade="FF"/>
          <w:sz w:val="22"/>
          <w:szCs w:val="22"/>
          <w:lang w:val="en-US"/>
        </w:rPr>
        <w:t>Consensual Violence: Sex, Sports, and the Politics of Injury. 1st ed. Berkeley, CA: University of California Press.</w:t>
      </w:r>
    </w:p>
    <w:p w:rsidR="62B59DAC" w:rsidP="5A2AE0D9" w:rsidRDefault="62B59DAC" w14:paraId="17388E15" w14:textId="779A405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Cambridge Dictionary (2023)</w:t>
      </w:r>
      <w:r w:rsidRPr="5A2AE0D9" w:rsidR="62B59DAC">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Reasonable Belief Definition, Available At: </w:t>
      </w:r>
      <w:hyperlink r:id="R68c6bb2eec344a4e">
        <w:r w:rsidRPr="5A2AE0D9" w:rsidR="62B59DAC">
          <w:rPr>
            <w:rStyle w:val="Hyperlink"/>
            <w:rFonts w:ascii="Calibri" w:hAnsi="Calibri" w:eastAsia="Calibri" w:cs="Calibri"/>
            <w:b w:val="0"/>
            <w:bCs w:val="0"/>
            <w:i w:val="1"/>
            <w:iCs w:val="1"/>
            <w:caps w:val="0"/>
            <w:smallCaps w:val="0"/>
            <w:strike w:val="0"/>
            <w:dstrike w:val="0"/>
            <w:noProof w:val="0"/>
            <w:sz w:val="22"/>
            <w:szCs w:val="22"/>
            <w:lang w:val="en-US"/>
          </w:rPr>
          <w:t>https://dictionary.cambridge.org/example/english/reasonable-belief</w:t>
        </w:r>
      </w:hyperlink>
      <w:r w:rsidRPr="5A2AE0D9" w:rsidR="62B59DAC">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Accessed on 5/11/2023</w:t>
      </w:r>
    </w:p>
    <w:p w:rsidR="62B59DAC" w:rsidP="5A2AE0D9" w:rsidRDefault="62B59DAC" w14:paraId="65DAFBAD" w14:textId="14BF0D4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CPS Website (2023) </w:t>
      </w:r>
      <w:r w:rsidRPr="5A2AE0D9" w:rsidR="62B59DAC">
        <w:rPr>
          <w:rFonts w:ascii="Calibri" w:hAnsi="Calibri" w:eastAsia="Calibri" w:cs="Calibri"/>
          <w:b w:val="0"/>
          <w:bCs w:val="0"/>
          <w:i w:val="1"/>
          <w:iCs w:val="1"/>
          <w:caps w:val="0"/>
          <w:smallCaps w:val="0"/>
          <w:noProof w:val="0"/>
          <w:color w:val="000000" w:themeColor="text1" w:themeTint="FF" w:themeShade="FF"/>
          <w:sz w:val="22"/>
          <w:szCs w:val="22"/>
          <w:lang w:val="en-US"/>
        </w:rPr>
        <w:t xml:space="preserve">What is Consent? Key issues for investigators and prosecutors, Available At: </w:t>
      </w:r>
      <w:hyperlink r:id="R15ebc4fd26774a72">
        <w:r w:rsidRPr="5A2AE0D9" w:rsidR="62B59DAC">
          <w:rPr>
            <w:rStyle w:val="Hyperlink"/>
            <w:rFonts w:ascii="Calibri" w:hAnsi="Calibri" w:eastAsia="Calibri" w:cs="Calibri"/>
            <w:b w:val="0"/>
            <w:bCs w:val="0"/>
            <w:i w:val="1"/>
            <w:iCs w:val="1"/>
            <w:caps w:val="0"/>
            <w:smallCaps w:val="0"/>
            <w:strike w:val="0"/>
            <w:dstrike w:val="0"/>
            <w:noProof w:val="0"/>
            <w:sz w:val="22"/>
            <w:szCs w:val="22"/>
            <w:lang w:val="en-US"/>
          </w:rPr>
          <w:t>https://dictionary.cambridge.org/example/english/reasonable-belief</w:t>
        </w:r>
      </w:hyperlink>
      <w:r w:rsidRPr="5A2AE0D9" w:rsidR="62B59DAC">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Accessed on 5/11/2023</w:t>
      </w:r>
    </w:p>
    <w:p w:rsidR="62B59DAC" w:rsidP="5A2AE0D9" w:rsidRDefault="62B59DAC" w14:paraId="0A070370" w14:textId="2CC708C9">
      <w:pPr>
        <w:pStyle w:val="Heading5"/>
        <w:keepNext w:val="1"/>
        <w:keepLines w:val="1"/>
        <w:spacing w:before="40"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IPSA Loquitur (2023) </w:t>
      </w:r>
      <w:r w:rsidRPr="5A2AE0D9" w:rsidR="62B59DAC">
        <w:rPr>
          <w:rFonts w:ascii="Calibri" w:hAnsi="Calibri" w:eastAsia="Calibri" w:cs="Calibri"/>
          <w:b w:val="0"/>
          <w:bCs w:val="0"/>
          <w:i w:val="1"/>
          <w:iCs w:val="1"/>
          <w:caps w:val="0"/>
          <w:smallCaps w:val="0"/>
          <w:noProof w:val="0"/>
          <w:color w:val="000000" w:themeColor="text1" w:themeTint="FF" w:themeShade="FF"/>
          <w:sz w:val="22"/>
          <w:szCs w:val="22"/>
          <w:lang w:val="en-US"/>
        </w:rPr>
        <w:t xml:space="preserve">Special Defenses to the Non-Fatal Offences Against the Person, Consent as a Defense to Assault and Battery, Available At: </w:t>
      </w:r>
      <w:hyperlink r:id="R26ebd3b72750486b">
        <w:r w:rsidRPr="5A2AE0D9" w:rsidR="62B59DAC">
          <w:rPr>
            <w:rStyle w:val="Hyperlink"/>
            <w:rFonts w:ascii="Calibri" w:hAnsi="Calibri" w:eastAsia="Calibri" w:cs="Calibri"/>
            <w:b w:val="0"/>
            <w:bCs w:val="0"/>
            <w:i w:val="1"/>
            <w:iCs w:val="1"/>
            <w:caps w:val="0"/>
            <w:smallCaps w:val="0"/>
            <w:strike w:val="0"/>
            <w:dstrike w:val="0"/>
            <w:noProof w:val="0"/>
            <w:sz w:val="22"/>
            <w:szCs w:val="22"/>
            <w:lang w:val="en-US"/>
          </w:rPr>
          <w:t>https://ipsaloquitur.com/criminal-law/defences-to-non-fatal-personal-offences/</w:t>
        </w:r>
      </w:hyperlink>
      <w:r w:rsidRPr="5A2AE0D9" w:rsidR="62B59DAC">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Accessed on 5/11/2023</w:t>
      </w:r>
    </w:p>
    <w:p w:rsidR="5A2AE0D9" w:rsidP="5A2AE0D9" w:rsidRDefault="5A2AE0D9" w14:paraId="1B073FDE" w14:textId="7686779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2B59DAC" w:rsidP="5A2AE0D9" w:rsidRDefault="62B59DAC" w14:paraId="6DB6F618" w14:textId="1EA0FC3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Law Insider (2023) Convicted Offender Definition, Available At: </w:t>
      </w:r>
      <w:hyperlink w:anchor=":~:text=Convicted%20offender%20means%20a%20person%20who%20has%20been%20found%20guilty,Sample%201" r:id="Re19f6ceca0534aa3">
        <w:r w:rsidRPr="5A2AE0D9" w:rsidR="62B59DAC">
          <w:rPr>
            <w:rStyle w:val="Hyperlink"/>
            <w:rFonts w:ascii="Calibri" w:hAnsi="Calibri" w:eastAsia="Calibri" w:cs="Calibri"/>
            <w:b w:val="0"/>
            <w:bCs w:val="0"/>
            <w:i w:val="0"/>
            <w:iCs w:val="0"/>
            <w:caps w:val="0"/>
            <w:smallCaps w:val="0"/>
            <w:strike w:val="0"/>
            <w:dstrike w:val="0"/>
            <w:noProof w:val="0"/>
            <w:sz w:val="22"/>
            <w:szCs w:val="22"/>
            <w:lang w:val="en-US"/>
          </w:rPr>
          <w:t>https://www.lawinsider.com/dictionary/convicted-offender#:~:text=Convicted%20offender%20means%20a%20person%20who%20has%20been%20found%20guilty,Sample%201</w:t>
        </w:r>
      </w:hyperlink>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5/11/2023</w:t>
      </w:r>
    </w:p>
    <w:p w:rsidR="62B59DAC" w:rsidP="5A2AE0D9" w:rsidRDefault="62B59DAC" w14:paraId="51D88E64" w14:textId="00D712E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Legislation.gov.uk (2023) Criminal Justice Act 1988, Available At: </w:t>
      </w:r>
      <w:hyperlink r:id="R2875886d33874b9a">
        <w:r w:rsidRPr="5A2AE0D9" w:rsidR="62B59DAC">
          <w:rPr>
            <w:rStyle w:val="Hyperlink"/>
            <w:rFonts w:ascii="Calibri" w:hAnsi="Calibri" w:eastAsia="Calibri" w:cs="Calibri"/>
            <w:b w:val="0"/>
            <w:bCs w:val="0"/>
            <w:i w:val="0"/>
            <w:iCs w:val="0"/>
            <w:caps w:val="0"/>
            <w:smallCaps w:val="0"/>
            <w:strike w:val="0"/>
            <w:dstrike w:val="0"/>
            <w:noProof w:val="0"/>
            <w:sz w:val="22"/>
            <w:szCs w:val="22"/>
            <w:lang w:val="en-US"/>
          </w:rPr>
          <w:t>https://www.legislation.gov.uk/ukpga/1988/33/section/39</w:t>
        </w:r>
      </w:hyperlink>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5/11/2023</w:t>
      </w:r>
    </w:p>
    <w:p w:rsidR="62B59DAC" w:rsidP="5A2AE0D9" w:rsidRDefault="62B59DAC" w14:paraId="02EC7F8E" w14:textId="1D991769">
      <w:pPr>
        <w:pStyle w:val="Heading1"/>
        <w:keepNext w:val="1"/>
        <w:keepLines w:val="1"/>
        <w:spacing w:before="240"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Sentencing Council (2023) </w:t>
      </w:r>
      <w:r w:rsidRPr="5A2AE0D9" w:rsidR="62B59DAC">
        <w:rPr>
          <w:rFonts w:ascii="Calibri" w:hAnsi="Calibri" w:eastAsia="Calibri" w:cs="Calibri"/>
          <w:b w:val="0"/>
          <w:bCs w:val="0"/>
          <w:i w:val="1"/>
          <w:iCs w:val="1"/>
          <w:caps w:val="0"/>
          <w:smallCaps w:val="0"/>
          <w:noProof w:val="0"/>
          <w:color w:val="000000" w:themeColor="text1" w:themeTint="FF" w:themeShade="FF"/>
          <w:sz w:val="22"/>
          <w:szCs w:val="22"/>
          <w:lang w:val="en-US"/>
        </w:rPr>
        <w:t xml:space="preserve">Common assault / Racially or religiously aggravated common assault/ Battery/ Common assault on emergency worker, Available At: </w:t>
      </w:r>
      <w:hyperlink r:id="R4035804fed05448c">
        <w:r w:rsidRPr="5A2AE0D9" w:rsidR="62B59DAC">
          <w:rPr>
            <w:rStyle w:val="Hyperlink"/>
            <w:rFonts w:ascii="Calibri" w:hAnsi="Calibri" w:eastAsia="Calibri" w:cs="Calibri"/>
            <w:b w:val="0"/>
            <w:bCs w:val="0"/>
            <w:i w:val="1"/>
            <w:iCs w:val="1"/>
            <w:caps w:val="0"/>
            <w:smallCaps w:val="0"/>
            <w:strike w:val="0"/>
            <w:dstrike w:val="0"/>
            <w:noProof w:val="0"/>
            <w:sz w:val="22"/>
            <w:szCs w:val="22"/>
            <w:lang w:val="en-US"/>
          </w:rPr>
          <w:t>https://www.sentencingcouncil.org.uk/offences/magistrates-court/item/common-assault-racially-or-religiously-aggravated-common-assault-common-assault-on-emergency-worker/</w:t>
        </w:r>
      </w:hyperlink>
      <w:r w:rsidRPr="5A2AE0D9" w:rsidR="62B59DAC">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Accessed on 5/11/2023</w:t>
      </w:r>
    </w:p>
    <w:p w:rsidR="5A2AE0D9" w:rsidP="5A2AE0D9" w:rsidRDefault="5A2AE0D9" w14:paraId="12842E87" w14:textId="2CC4DD3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2B59DAC" w:rsidP="5A2AE0D9" w:rsidRDefault="62B59DAC" w14:paraId="3C75F869" w14:textId="033F2C9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Humberside Police (2023) Get Consent, Available At: </w:t>
      </w:r>
      <w:hyperlink r:id="R56a656960cad47e8">
        <w:r w:rsidRPr="5A2AE0D9" w:rsidR="62B59DAC">
          <w:rPr>
            <w:rStyle w:val="Hyperlink"/>
            <w:rFonts w:ascii="Calibri" w:hAnsi="Calibri" w:eastAsia="Calibri" w:cs="Calibri"/>
            <w:b w:val="0"/>
            <w:bCs w:val="0"/>
            <w:i w:val="0"/>
            <w:iCs w:val="0"/>
            <w:caps w:val="0"/>
            <w:smallCaps w:val="0"/>
            <w:strike w:val="0"/>
            <w:dstrike w:val="0"/>
            <w:noProof w:val="0"/>
            <w:sz w:val="22"/>
            <w:szCs w:val="22"/>
            <w:lang w:val="en-US"/>
          </w:rPr>
          <w:t>https://www.humberside.police.uk/police-forces/humberside-police/areas/campaigns/campaigns/get-consent/</w:t>
        </w:r>
      </w:hyperlink>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5/11/2023</w:t>
      </w:r>
    </w:p>
    <w:p w:rsidR="62B59DAC" w:rsidP="5A2AE0D9" w:rsidRDefault="62B59DAC" w14:paraId="4D018BB8" w14:textId="69E0D94D">
      <w:pPr>
        <w:pStyle w:val="Heading1"/>
        <w:keepNext w:val="1"/>
        <w:keepLines w:val="1"/>
        <w:spacing w:before="240"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O’Brien Criminal and Civil Solicitors (2023) </w:t>
      </w:r>
      <w:r w:rsidRPr="5A2AE0D9" w:rsidR="62B59DAC">
        <w:rPr>
          <w:rFonts w:ascii="Calibri" w:hAnsi="Calibri" w:eastAsia="Calibri" w:cs="Calibri"/>
          <w:b w:val="0"/>
          <w:bCs w:val="0"/>
          <w:i w:val="1"/>
          <w:iCs w:val="1"/>
          <w:caps w:val="0"/>
          <w:smallCaps w:val="0"/>
          <w:noProof w:val="0"/>
          <w:color w:val="000000" w:themeColor="text1" w:themeTint="FF" w:themeShade="FF"/>
          <w:sz w:val="22"/>
          <w:szCs w:val="22"/>
          <w:lang w:val="en-US"/>
        </w:rPr>
        <w:t xml:space="preserve">Tackling the Law: Battery in Physical Contact Sports, Available At: </w:t>
      </w:r>
      <w:hyperlink w:anchor=":~:text=In%20the%20context%20of%20physical,game%2C%20that%20could%20be%20battery" r:id="Rbf2293dc8280430f">
        <w:r w:rsidRPr="5A2AE0D9" w:rsidR="62B59DAC">
          <w:rPr>
            <w:rStyle w:val="Hyperlink"/>
            <w:rFonts w:ascii="Calibri" w:hAnsi="Calibri" w:eastAsia="Calibri" w:cs="Calibri"/>
            <w:b w:val="0"/>
            <w:bCs w:val="0"/>
            <w:i w:val="1"/>
            <w:iCs w:val="1"/>
            <w:caps w:val="0"/>
            <w:smallCaps w:val="0"/>
            <w:strike w:val="0"/>
            <w:dstrike w:val="0"/>
            <w:noProof w:val="0"/>
            <w:sz w:val="22"/>
            <w:szCs w:val="22"/>
            <w:lang w:val="en-US"/>
          </w:rPr>
          <w:t>https://obriensolicitors.com.au/tackling-the-law-battery-in-physical-contact-sports/#:~:text=In%20the%20context%20of%20physical,game%2C%20that%20could%20be%20battery</w:t>
        </w:r>
      </w:hyperlink>
      <w:r w:rsidRPr="5A2AE0D9" w:rsidR="62B59DAC">
        <w:rPr>
          <w:rFonts w:ascii="Calibri" w:hAnsi="Calibri" w:eastAsia="Calibri" w:cs="Calibri"/>
          <w:b w:val="0"/>
          <w:bCs w:val="0"/>
          <w:i w:val="1"/>
          <w:iCs w:val="1"/>
          <w:caps w:val="0"/>
          <w:smallCaps w:val="0"/>
          <w:noProof w:val="0"/>
          <w:color w:val="000000" w:themeColor="text1" w:themeTint="FF" w:themeShade="FF"/>
          <w:sz w:val="22"/>
          <w:szCs w:val="22"/>
          <w:lang w:val="en-US"/>
        </w:rPr>
        <w:t>.</w:t>
      </w:r>
    </w:p>
    <w:p w:rsidR="62B59DAC" w:rsidP="5A2AE0D9" w:rsidRDefault="62B59DAC" w14:paraId="6A93FBBC" w14:textId="5A43E36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A2AE0D9" w:rsidR="62B59DAC">
        <w:rPr>
          <w:rFonts w:ascii="Calibri" w:hAnsi="Calibri" w:eastAsia="Calibri" w:cs="Calibri"/>
          <w:b w:val="0"/>
          <w:bCs w:val="0"/>
          <w:i w:val="0"/>
          <w:iCs w:val="0"/>
          <w:caps w:val="0"/>
          <w:smallCaps w:val="0"/>
          <w:noProof w:val="0"/>
          <w:color w:val="000000" w:themeColor="text1" w:themeTint="FF" w:themeShade="FF"/>
          <w:sz w:val="22"/>
          <w:szCs w:val="22"/>
          <w:lang w:val="en-US"/>
        </w:rPr>
        <w:t>Accessed on 5/11/2023</w:t>
      </w:r>
    </w:p>
    <w:p w:rsidR="62B59DAC" w:rsidP="5A2AE0D9" w:rsidRDefault="62B59DAC" w14:paraId="7A47E560" w14:textId="6B92D2E8">
      <w:pPr>
        <w:spacing w:after="160" w:line="259" w:lineRule="auto"/>
        <w:rPr>
          <w:rFonts w:ascii="Calibri" w:hAnsi="Calibri" w:eastAsia="Calibri" w:cs="Calibri"/>
          <w:b w:val="0"/>
          <w:bCs w:val="0"/>
          <w:i w:val="0"/>
          <w:iCs w:val="0"/>
          <w:caps w:val="0"/>
          <w:smallCaps w:val="0"/>
          <w:noProof w:val="0"/>
          <w:color w:val="222222"/>
          <w:sz w:val="22"/>
          <w:szCs w:val="22"/>
          <w:lang w:val="en-US"/>
        </w:rPr>
      </w:pPr>
      <w:r w:rsidRPr="5A2AE0D9" w:rsidR="62B59DAC">
        <w:rPr>
          <w:rFonts w:ascii="Calibri" w:hAnsi="Calibri" w:eastAsia="Calibri" w:cs="Calibri"/>
          <w:b w:val="0"/>
          <w:bCs w:val="0"/>
          <w:i w:val="0"/>
          <w:iCs w:val="0"/>
          <w:caps w:val="0"/>
          <w:smallCaps w:val="0"/>
          <w:noProof w:val="0"/>
          <w:color w:val="222222"/>
          <w:sz w:val="22"/>
          <w:szCs w:val="22"/>
          <w:lang w:val="en-US"/>
        </w:rPr>
        <w:t xml:space="preserve">Davison, C (2020) Contact in Sports: Acceptable or Criminal Assault? </w:t>
      </w:r>
      <w:r w:rsidRPr="5A2AE0D9" w:rsidR="62B59DAC">
        <w:rPr>
          <w:rFonts w:ascii="Calibri" w:hAnsi="Calibri" w:eastAsia="Calibri" w:cs="Calibri"/>
          <w:b w:val="0"/>
          <w:bCs w:val="0"/>
          <w:i w:val="1"/>
          <w:iCs w:val="1"/>
          <w:caps w:val="0"/>
          <w:smallCaps w:val="0"/>
          <w:noProof w:val="0"/>
          <w:color w:val="222222"/>
          <w:sz w:val="22"/>
          <w:szCs w:val="22"/>
          <w:lang w:val="en-US"/>
        </w:rPr>
        <w:t>LawNow</w:t>
      </w:r>
      <w:r w:rsidRPr="5A2AE0D9" w:rsidR="62B59DAC">
        <w:rPr>
          <w:rFonts w:ascii="Calibri" w:hAnsi="Calibri" w:eastAsia="Calibri" w:cs="Calibri"/>
          <w:b w:val="0"/>
          <w:bCs w:val="0"/>
          <w:i w:val="0"/>
          <w:iCs w:val="0"/>
          <w:caps w:val="0"/>
          <w:smallCaps w:val="0"/>
          <w:noProof w:val="0"/>
          <w:color w:val="222222"/>
          <w:sz w:val="22"/>
          <w:szCs w:val="22"/>
          <w:lang w:val="en-US"/>
        </w:rPr>
        <w:t xml:space="preserve">, </w:t>
      </w:r>
      <w:r w:rsidRPr="5A2AE0D9" w:rsidR="62B59DAC">
        <w:rPr>
          <w:rFonts w:ascii="Calibri" w:hAnsi="Calibri" w:eastAsia="Calibri" w:cs="Calibri"/>
          <w:b w:val="0"/>
          <w:bCs w:val="0"/>
          <w:i w:val="1"/>
          <w:iCs w:val="1"/>
          <w:caps w:val="0"/>
          <w:smallCaps w:val="0"/>
          <w:noProof w:val="0"/>
          <w:color w:val="222222"/>
          <w:sz w:val="22"/>
          <w:szCs w:val="22"/>
          <w:lang w:val="en-US"/>
        </w:rPr>
        <w:t>45</w:t>
      </w:r>
      <w:r w:rsidRPr="5A2AE0D9" w:rsidR="62B59DAC">
        <w:rPr>
          <w:rFonts w:ascii="Calibri" w:hAnsi="Calibri" w:eastAsia="Calibri" w:cs="Calibri"/>
          <w:b w:val="0"/>
          <w:bCs w:val="0"/>
          <w:i w:val="0"/>
          <w:iCs w:val="0"/>
          <w:caps w:val="0"/>
          <w:smallCaps w:val="0"/>
          <w:noProof w:val="0"/>
          <w:color w:val="222222"/>
          <w:sz w:val="22"/>
          <w:szCs w:val="22"/>
          <w:lang w:val="en-US"/>
        </w:rPr>
        <w:t>,</w:t>
      </w:r>
    </w:p>
    <w:p w:rsidR="432D5253" w:rsidP="5A2AE0D9" w:rsidRDefault="432D5253" w14:paraId="332644FE" w14:textId="116C56E8">
      <w:pPr>
        <w:pStyle w:val="Normal"/>
      </w:pPr>
      <w:r>
        <w:br/>
      </w:r>
    </w:p>
    <w:p w:rsidR="5A2AE0D9" w:rsidP="5A2AE0D9" w:rsidRDefault="5A2AE0D9" w14:paraId="16521476" w14:textId="1B42EAF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ZsSVoklr1usIES" int2:id="pkYR0hdj">
      <int2:state int2:type="AugLoop_Text_Critique" int2:value="Rejected"/>
    </int2:textHash>
    <int2:textHash int2:hashCode="inEFCbxKCZIVsF" int2:id="HR8DREzj">
      <int2:state int2:type="AugLoop_Text_Critique" int2:value="Rejected"/>
    </int2:textHash>
    <int2:bookmark int2:bookmarkName="_Int_Jst05AHk" int2:invalidationBookmarkName="" int2:hashCode="SGZ06MpWg8/nPZ" int2:id="NCG4ciUq">
      <int2:state int2:type="AugLoop_Text_Critique" int2:value="Rejected"/>
    </int2:bookmark>
    <int2:bookmark int2:bookmarkName="_Int_GGT8Stok" int2:invalidationBookmarkName="" int2:hashCode="AuJWVWdMWkcp2A" int2:id="0HGYi44h">
      <int2:state int2:type="AugLoop_Text_Critique" int2:value="Rejected"/>
    </int2:bookmark>
    <int2:bookmark int2:bookmarkName="_Int_ZDHf1YVG" int2:invalidationBookmarkName="" int2:hashCode="SOmY8j/vX8M7tS" int2:id="59slvKD7">
      <int2:state int2:type="AugLoop_Text_Critique" int2:value="Rejected"/>
    </int2:bookmark>
    <int2:bookmark int2:bookmarkName="_Int_1tKMTnDo" int2:invalidationBookmarkName="" int2:hashCode="kmMiHdNZO5rjQT" int2:id="wZ2DwyFI">
      <int2:state int2:type="AugLoop_Text_Critique" int2:value="Rejected"/>
    </int2:bookmark>
    <int2:bookmark int2:bookmarkName="_Int_ksJR8JGx" int2:invalidationBookmarkName="" int2:hashCode="DWtoZW96lKfax8" int2:id="smQINOlK">
      <int2:state int2:type="AugLoop_Text_Critique" int2:value="Rejected"/>
    </int2:bookmark>
    <int2:bookmark int2:bookmarkName="_Int_vz1CvJqB" int2:invalidationBookmarkName="" int2:hashCode="6x9XtH0sGlU17Y" int2:id="qToY8jL9">
      <int2:state int2:type="AugLoop_Text_Critique" int2:value="Rejected"/>
    </int2:bookmark>
    <int2:bookmark int2:bookmarkName="_Int_1sU4rdLt" int2:invalidationBookmarkName="" int2:hashCode="ywrGYfecZ1yWw2" int2:id="LgNNxtkC">
      <int2:state int2:type="AugLoop_Text_Critique" int2:value="Rejected"/>
    </int2:bookmark>
    <int2:bookmark int2:bookmarkName="_Int_Hash7ELA" int2:invalidationBookmarkName="" int2:hashCode="rbGYqJkaXOKQI2" int2:id="SGV9Rsgc">
      <int2:state int2:type="AugLoop_Text_Critique" int2:value="Rejected"/>
    </int2:bookmark>
    <int2:bookmark int2:bookmarkName="_Int_0fQ5SuaO" int2:invalidationBookmarkName="" int2:hashCode="rbGYqJkaXOKQI2" int2:id="F3VNjeCt">
      <int2:state int2:type="AugLoop_Text_Critique" int2:value="Rejected"/>
    </int2:bookmark>
    <int2:bookmark int2:bookmarkName="_Int_R0Wi0bCH" int2:invalidationBookmarkName="" int2:hashCode="PzxYrkK5tCKJf/" int2:id="vTTzYLA1">
      <int2:state int2:type="AugLoop_Text_Critique" int2:value="Rejected"/>
    </int2:bookmark>
    <int2:bookmark int2:bookmarkName="_Int_NWwzeLwv" int2:invalidationBookmarkName="" int2:hashCode="ulFAHGXvDW8vp3" int2:id="Kkqb0G0j">
      <int2:state int2:type="AugLoop_Text_Critique" int2:value="Rejected"/>
    </int2:bookmark>
    <int2:bookmark int2:bookmarkName="_Int_nhVROvga" int2:invalidationBookmarkName="" int2:hashCode="zxAPy+AK7ZpZsr" int2:id="8tsdppAd">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00085F"/>
    <w:rsid w:val="0000830F"/>
    <w:rsid w:val="004D24C0"/>
    <w:rsid w:val="0057B934"/>
    <w:rsid w:val="0069DF38"/>
    <w:rsid w:val="006D71E7"/>
    <w:rsid w:val="00BB4F60"/>
    <w:rsid w:val="00D22D0D"/>
    <w:rsid w:val="012D9C68"/>
    <w:rsid w:val="01396F45"/>
    <w:rsid w:val="01647C6C"/>
    <w:rsid w:val="01760E81"/>
    <w:rsid w:val="01763215"/>
    <w:rsid w:val="017DFDDD"/>
    <w:rsid w:val="0181CE4C"/>
    <w:rsid w:val="01925B1B"/>
    <w:rsid w:val="01982CF1"/>
    <w:rsid w:val="02078334"/>
    <w:rsid w:val="02158B69"/>
    <w:rsid w:val="024C615D"/>
    <w:rsid w:val="025669A7"/>
    <w:rsid w:val="026DFD6E"/>
    <w:rsid w:val="0286A93A"/>
    <w:rsid w:val="02930010"/>
    <w:rsid w:val="02C0CCFB"/>
    <w:rsid w:val="02E01B0A"/>
    <w:rsid w:val="033D19E6"/>
    <w:rsid w:val="034CAADE"/>
    <w:rsid w:val="03DF32AF"/>
    <w:rsid w:val="03FD1BA2"/>
    <w:rsid w:val="04136F0E"/>
    <w:rsid w:val="04F526AB"/>
    <w:rsid w:val="05288497"/>
    <w:rsid w:val="053EF8B5"/>
    <w:rsid w:val="0541ACF4"/>
    <w:rsid w:val="0565CC64"/>
    <w:rsid w:val="0584021F"/>
    <w:rsid w:val="058A507B"/>
    <w:rsid w:val="05C47A4A"/>
    <w:rsid w:val="05D9DD21"/>
    <w:rsid w:val="05E39016"/>
    <w:rsid w:val="061EC532"/>
    <w:rsid w:val="06A71F79"/>
    <w:rsid w:val="06CBFDC8"/>
    <w:rsid w:val="06F8273B"/>
    <w:rsid w:val="0716AED2"/>
    <w:rsid w:val="0717E4FA"/>
    <w:rsid w:val="07EE3498"/>
    <w:rsid w:val="084D2059"/>
    <w:rsid w:val="0895ADB5"/>
    <w:rsid w:val="08B3B55B"/>
    <w:rsid w:val="08BD6166"/>
    <w:rsid w:val="08CEA05F"/>
    <w:rsid w:val="08F99674"/>
    <w:rsid w:val="0927635F"/>
    <w:rsid w:val="0929F5DE"/>
    <w:rsid w:val="093A3EA2"/>
    <w:rsid w:val="098A04F9"/>
    <w:rsid w:val="09CCE46F"/>
    <w:rsid w:val="09DEC03B"/>
    <w:rsid w:val="09E37CBC"/>
    <w:rsid w:val="09E55BE1"/>
    <w:rsid w:val="0A577342"/>
    <w:rsid w:val="0A7CF5C6"/>
    <w:rsid w:val="0ADE83B2"/>
    <w:rsid w:val="0AF40BE1"/>
    <w:rsid w:val="0B602BF4"/>
    <w:rsid w:val="0B7B8DEF"/>
    <w:rsid w:val="0B9DBA68"/>
    <w:rsid w:val="0BA58D43"/>
    <w:rsid w:val="0BFAB75E"/>
    <w:rsid w:val="0BFFD568"/>
    <w:rsid w:val="0C6976DF"/>
    <w:rsid w:val="0D33967C"/>
    <w:rsid w:val="0D398AC9"/>
    <w:rsid w:val="0D6CE5F1"/>
    <w:rsid w:val="0DB097B7"/>
    <w:rsid w:val="0DEE72D5"/>
    <w:rsid w:val="0DF4A7BE"/>
    <w:rsid w:val="0E5B8668"/>
    <w:rsid w:val="0EFE6830"/>
    <w:rsid w:val="0F2AE465"/>
    <w:rsid w:val="0F90781F"/>
    <w:rsid w:val="0F91D438"/>
    <w:rsid w:val="107422A4"/>
    <w:rsid w:val="109D4A4E"/>
    <w:rsid w:val="110530B1"/>
    <w:rsid w:val="11967380"/>
    <w:rsid w:val="11CCBC5B"/>
    <w:rsid w:val="11EAA121"/>
    <w:rsid w:val="12690909"/>
    <w:rsid w:val="12C818E1"/>
    <w:rsid w:val="134F4A33"/>
    <w:rsid w:val="135EE6F9"/>
    <w:rsid w:val="13637467"/>
    <w:rsid w:val="13A2D800"/>
    <w:rsid w:val="13AC5CF6"/>
    <w:rsid w:val="14315F56"/>
    <w:rsid w:val="15A47D4B"/>
    <w:rsid w:val="1626BFF6"/>
    <w:rsid w:val="1735F64A"/>
    <w:rsid w:val="17379F6A"/>
    <w:rsid w:val="176D8BD9"/>
    <w:rsid w:val="17CF7497"/>
    <w:rsid w:val="18210C94"/>
    <w:rsid w:val="18896E2B"/>
    <w:rsid w:val="188CC524"/>
    <w:rsid w:val="18B89E4E"/>
    <w:rsid w:val="18D1C6AB"/>
    <w:rsid w:val="1902B89F"/>
    <w:rsid w:val="193BC2FE"/>
    <w:rsid w:val="1953069B"/>
    <w:rsid w:val="197DFCF0"/>
    <w:rsid w:val="19BCDCF5"/>
    <w:rsid w:val="1A6D970C"/>
    <w:rsid w:val="1AAA8D68"/>
    <w:rsid w:val="1B58AD56"/>
    <w:rsid w:val="1B74936B"/>
    <w:rsid w:val="1BAE9414"/>
    <w:rsid w:val="1C51CD1E"/>
    <w:rsid w:val="1C669DED"/>
    <w:rsid w:val="1C9D503F"/>
    <w:rsid w:val="1CC5CC48"/>
    <w:rsid w:val="1D2C86D0"/>
    <w:rsid w:val="1DD8A402"/>
    <w:rsid w:val="1DE4655E"/>
    <w:rsid w:val="1E3920A0"/>
    <w:rsid w:val="1E550A89"/>
    <w:rsid w:val="1E8E44A8"/>
    <w:rsid w:val="1EF36C7A"/>
    <w:rsid w:val="1F41082F"/>
    <w:rsid w:val="1F845A4A"/>
    <w:rsid w:val="1F856871"/>
    <w:rsid w:val="1FAB0482"/>
    <w:rsid w:val="1FBBC8A4"/>
    <w:rsid w:val="1FCE97AA"/>
    <w:rsid w:val="206C130F"/>
    <w:rsid w:val="2085FCD7"/>
    <w:rsid w:val="208A57DA"/>
    <w:rsid w:val="20C596F1"/>
    <w:rsid w:val="20FAB227"/>
    <w:rsid w:val="211044C4"/>
    <w:rsid w:val="214A59D0"/>
    <w:rsid w:val="215BF59E"/>
    <w:rsid w:val="21F0E95E"/>
    <w:rsid w:val="2221CD38"/>
    <w:rsid w:val="223FE882"/>
    <w:rsid w:val="225A93F9"/>
    <w:rsid w:val="2284CD47"/>
    <w:rsid w:val="230A0F54"/>
    <w:rsid w:val="2314F45D"/>
    <w:rsid w:val="232986DD"/>
    <w:rsid w:val="232B9842"/>
    <w:rsid w:val="234F0A0F"/>
    <w:rsid w:val="235991E3"/>
    <w:rsid w:val="23A610B6"/>
    <w:rsid w:val="23BD9D99"/>
    <w:rsid w:val="245C96B7"/>
    <w:rsid w:val="24659CE2"/>
    <w:rsid w:val="24C0FC75"/>
    <w:rsid w:val="2528A011"/>
    <w:rsid w:val="2541E117"/>
    <w:rsid w:val="25C46E4F"/>
    <w:rsid w:val="25D33A33"/>
    <w:rsid w:val="25D7CC52"/>
    <w:rsid w:val="25DFBC7A"/>
    <w:rsid w:val="25E704C0"/>
    <w:rsid w:val="260096D8"/>
    <w:rsid w:val="262B0A28"/>
    <w:rsid w:val="262BAF0C"/>
    <w:rsid w:val="2641AE61"/>
    <w:rsid w:val="2641C607"/>
    <w:rsid w:val="265E6814"/>
    <w:rsid w:val="26D8A9F6"/>
    <w:rsid w:val="277FED40"/>
    <w:rsid w:val="28E9A1BB"/>
    <w:rsid w:val="290BEB1F"/>
    <w:rsid w:val="29163E25"/>
    <w:rsid w:val="293ADA26"/>
    <w:rsid w:val="29556BB5"/>
    <w:rsid w:val="29D54DBC"/>
    <w:rsid w:val="2A104AB8"/>
    <w:rsid w:val="2A18FE65"/>
    <w:rsid w:val="2A2DBB70"/>
    <w:rsid w:val="2A65E506"/>
    <w:rsid w:val="2A7F05A1"/>
    <w:rsid w:val="2A97DF72"/>
    <w:rsid w:val="2AADC457"/>
    <w:rsid w:val="2AEFA85F"/>
    <w:rsid w:val="2BAC1B19"/>
    <w:rsid w:val="2BB249A9"/>
    <w:rsid w:val="2BB4CEC6"/>
    <w:rsid w:val="2BE2BE3C"/>
    <w:rsid w:val="2BFD9F04"/>
    <w:rsid w:val="2C01B567"/>
    <w:rsid w:val="2C2C2333"/>
    <w:rsid w:val="2CA844C5"/>
    <w:rsid w:val="2CE5BE0D"/>
    <w:rsid w:val="2CFA25CD"/>
    <w:rsid w:val="2D509F27"/>
    <w:rsid w:val="2D5A8558"/>
    <w:rsid w:val="2D6B4B21"/>
    <w:rsid w:val="2D7E8E9D"/>
    <w:rsid w:val="2DE9AF48"/>
    <w:rsid w:val="2E391D4F"/>
    <w:rsid w:val="2EA21199"/>
    <w:rsid w:val="2F4184D9"/>
    <w:rsid w:val="2FA42125"/>
    <w:rsid w:val="31B2BE18"/>
    <w:rsid w:val="31C9690B"/>
    <w:rsid w:val="322631A1"/>
    <w:rsid w:val="3263993F"/>
    <w:rsid w:val="328012C4"/>
    <w:rsid w:val="329B258F"/>
    <w:rsid w:val="32E90CA5"/>
    <w:rsid w:val="33654A2C"/>
    <w:rsid w:val="33C7DF4C"/>
    <w:rsid w:val="343B553E"/>
    <w:rsid w:val="344AC567"/>
    <w:rsid w:val="347671FC"/>
    <w:rsid w:val="34B1A7B0"/>
    <w:rsid w:val="34FB5F6F"/>
    <w:rsid w:val="3523D394"/>
    <w:rsid w:val="356F3405"/>
    <w:rsid w:val="35D2C651"/>
    <w:rsid w:val="35EF5DB6"/>
    <w:rsid w:val="368353F7"/>
    <w:rsid w:val="36A3E9F5"/>
    <w:rsid w:val="370B0466"/>
    <w:rsid w:val="3743B8AC"/>
    <w:rsid w:val="376F873E"/>
    <w:rsid w:val="3772F600"/>
    <w:rsid w:val="37B5C4AD"/>
    <w:rsid w:val="37E94872"/>
    <w:rsid w:val="37F1AB86"/>
    <w:rsid w:val="37F3B3A0"/>
    <w:rsid w:val="381B1940"/>
    <w:rsid w:val="38B2FEB8"/>
    <w:rsid w:val="38C18BFF"/>
    <w:rsid w:val="38DF890D"/>
    <w:rsid w:val="38E16438"/>
    <w:rsid w:val="38ECAB2F"/>
    <w:rsid w:val="394E9678"/>
    <w:rsid w:val="39623A18"/>
    <w:rsid w:val="396BF076"/>
    <w:rsid w:val="39A5EBDE"/>
    <w:rsid w:val="39BA93DD"/>
    <w:rsid w:val="39FEAE08"/>
    <w:rsid w:val="3A06A87A"/>
    <w:rsid w:val="3A17D665"/>
    <w:rsid w:val="3A2B8A57"/>
    <w:rsid w:val="3A5D5C60"/>
    <w:rsid w:val="3AA63774"/>
    <w:rsid w:val="3B1E69D7"/>
    <w:rsid w:val="3B901FA8"/>
    <w:rsid w:val="3BDE1DF0"/>
    <w:rsid w:val="3BF92CC1"/>
    <w:rsid w:val="3BFD8A50"/>
    <w:rsid w:val="3CB96177"/>
    <w:rsid w:val="3CBA979B"/>
    <w:rsid w:val="3CF2349F"/>
    <w:rsid w:val="3D0F1D54"/>
    <w:rsid w:val="3D94FD22"/>
    <w:rsid w:val="3D9828EF"/>
    <w:rsid w:val="3DCEB7CF"/>
    <w:rsid w:val="3E21DEE3"/>
    <w:rsid w:val="3E6286E1"/>
    <w:rsid w:val="3EFE4500"/>
    <w:rsid w:val="3F199B38"/>
    <w:rsid w:val="3F3339E2"/>
    <w:rsid w:val="401CA744"/>
    <w:rsid w:val="4035EBAF"/>
    <w:rsid w:val="40444859"/>
    <w:rsid w:val="40556F06"/>
    <w:rsid w:val="406DEF8C"/>
    <w:rsid w:val="415715E8"/>
    <w:rsid w:val="41704A9C"/>
    <w:rsid w:val="41C7634C"/>
    <w:rsid w:val="41E018BA"/>
    <w:rsid w:val="423D5C54"/>
    <w:rsid w:val="42D7BD1E"/>
    <w:rsid w:val="432280BD"/>
    <w:rsid w:val="432D5253"/>
    <w:rsid w:val="43430B0F"/>
    <w:rsid w:val="437407BF"/>
    <w:rsid w:val="437BE91B"/>
    <w:rsid w:val="43D3A6B5"/>
    <w:rsid w:val="4462928E"/>
    <w:rsid w:val="447EC252"/>
    <w:rsid w:val="44A81AD8"/>
    <w:rsid w:val="44F4BB5A"/>
    <w:rsid w:val="45132A49"/>
    <w:rsid w:val="4616A066"/>
    <w:rsid w:val="4686DFEF"/>
    <w:rsid w:val="46AE243F"/>
    <w:rsid w:val="473EAAE4"/>
    <w:rsid w:val="474BF81C"/>
    <w:rsid w:val="47627AE3"/>
    <w:rsid w:val="4785714F"/>
    <w:rsid w:val="478CBBCA"/>
    <w:rsid w:val="47A5A940"/>
    <w:rsid w:val="47EB969F"/>
    <w:rsid w:val="4824861B"/>
    <w:rsid w:val="485F37BA"/>
    <w:rsid w:val="486B1B78"/>
    <w:rsid w:val="48C4E617"/>
    <w:rsid w:val="492968EF"/>
    <w:rsid w:val="49437F7E"/>
    <w:rsid w:val="498FB22F"/>
    <w:rsid w:val="4A54B142"/>
    <w:rsid w:val="4A9A7EC7"/>
    <w:rsid w:val="4AA1CC3C"/>
    <w:rsid w:val="4ABD1211"/>
    <w:rsid w:val="4B11CCE6"/>
    <w:rsid w:val="4B52EE09"/>
    <w:rsid w:val="4BA1D007"/>
    <w:rsid w:val="4BE47AF1"/>
    <w:rsid w:val="4C2A6564"/>
    <w:rsid w:val="4C58E272"/>
    <w:rsid w:val="4CC51FB7"/>
    <w:rsid w:val="4CD77F2E"/>
    <w:rsid w:val="4D09C35A"/>
    <w:rsid w:val="4D44A27E"/>
    <w:rsid w:val="4EA3B890"/>
    <w:rsid w:val="4EB786CD"/>
    <w:rsid w:val="4F0A4884"/>
    <w:rsid w:val="4F24E51A"/>
    <w:rsid w:val="4F425672"/>
    <w:rsid w:val="4F44EBBD"/>
    <w:rsid w:val="4F484A3A"/>
    <w:rsid w:val="4F533C62"/>
    <w:rsid w:val="4F551D02"/>
    <w:rsid w:val="506A66F7"/>
    <w:rsid w:val="508C00DC"/>
    <w:rsid w:val="50AA825E"/>
    <w:rsid w:val="50CA4AFA"/>
    <w:rsid w:val="50CBF05A"/>
    <w:rsid w:val="50E12F5A"/>
    <w:rsid w:val="50F0C052"/>
    <w:rsid w:val="512B1DE5"/>
    <w:rsid w:val="519769E0"/>
    <w:rsid w:val="51A629F9"/>
    <w:rsid w:val="51C58D4F"/>
    <w:rsid w:val="52063758"/>
    <w:rsid w:val="521A18F0"/>
    <w:rsid w:val="52294EA9"/>
    <w:rsid w:val="52423B52"/>
    <w:rsid w:val="5244399C"/>
    <w:rsid w:val="52807D22"/>
    <w:rsid w:val="52C46D47"/>
    <w:rsid w:val="53948576"/>
    <w:rsid w:val="53C3A19E"/>
    <w:rsid w:val="53F08C1C"/>
    <w:rsid w:val="5403911C"/>
    <w:rsid w:val="54756CB3"/>
    <w:rsid w:val="54AEA392"/>
    <w:rsid w:val="54FB9966"/>
    <w:rsid w:val="554D9168"/>
    <w:rsid w:val="558C5C7D"/>
    <w:rsid w:val="559F617D"/>
    <w:rsid w:val="55B889DA"/>
    <w:rsid w:val="56B7675D"/>
    <w:rsid w:val="570C1D37"/>
    <w:rsid w:val="57235AEF"/>
    <w:rsid w:val="572DA2B1"/>
    <w:rsid w:val="572E535C"/>
    <w:rsid w:val="5730E15E"/>
    <w:rsid w:val="575C8D0D"/>
    <w:rsid w:val="57A4483D"/>
    <w:rsid w:val="57AFD7C3"/>
    <w:rsid w:val="5810374E"/>
    <w:rsid w:val="5840A392"/>
    <w:rsid w:val="585EE7C6"/>
    <w:rsid w:val="5875E3C9"/>
    <w:rsid w:val="588E3A3D"/>
    <w:rsid w:val="58B715CC"/>
    <w:rsid w:val="58C3FD3F"/>
    <w:rsid w:val="58C7254F"/>
    <w:rsid w:val="58CEDC11"/>
    <w:rsid w:val="58F02A9C"/>
    <w:rsid w:val="590C8A9B"/>
    <w:rsid w:val="597607D5"/>
    <w:rsid w:val="59BE50F3"/>
    <w:rsid w:val="59D575BA"/>
    <w:rsid w:val="59E716FB"/>
    <w:rsid w:val="5A21028B"/>
    <w:rsid w:val="5A2AE0D9"/>
    <w:rsid w:val="5A383C47"/>
    <w:rsid w:val="5ABE13B9"/>
    <w:rsid w:val="5AC31C14"/>
    <w:rsid w:val="5B373CDA"/>
    <w:rsid w:val="5B784454"/>
    <w:rsid w:val="5BF3B537"/>
    <w:rsid w:val="5BFB9E01"/>
    <w:rsid w:val="5C6D0A4E"/>
    <w:rsid w:val="5C845357"/>
    <w:rsid w:val="5CBCB934"/>
    <w:rsid w:val="5CD65C61"/>
    <w:rsid w:val="5CD9C240"/>
    <w:rsid w:val="5D09AEE2"/>
    <w:rsid w:val="5D976E62"/>
    <w:rsid w:val="5DAA7362"/>
    <w:rsid w:val="5E1A0E9E"/>
    <w:rsid w:val="5E3EE5A5"/>
    <w:rsid w:val="5EDD864E"/>
    <w:rsid w:val="5F35FA34"/>
    <w:rsid w:val="5FABD267"/>
    <w:rsid w:val="5FE536B1"/>
    <w:rsid w:val="604DAD5F"/>
    <w:rsid w:val="605F756C"/>
    <w:rsid w:val="60800F00"/>
    <w:rsid w:val="61430ED7"/>
    <w:rsid w:val="616175CE"/>
    <w:rsid w:val="6174E5B8"/>
    <w:rsid w:val="61810712"/>
    <w:rsid w:val="620D38DF"/>
    <w:rsid w:val="62201151"/>
    <w:rsid w:val="62761A1C"/>
    <w:rsid w:val="62B59DAC"/>
    <w:rsid w:val="62FA4C3E"/>
    <w:rsid w:val="6319EFB5"/>
    <w:rsid w:val="6397162E"/>
    <w:rsid w:val="63C47857"/>
    <w:rsid w:val="6481341C"/>
    <w:rsid w:val="64B14BFF"/>
    <w:rsid w:val="6532E68F"/>
    <w:rsid w:val="65A41F11"/>
    <w:rsid w:val="661C1743"/>
    <w:rsid w:val="6650305F"/>
    <w:rsid w:val="66A76DA8"/>
    <w:rsid w:val="66BA4053"/>
    <w:rsid w:val="66FC1919"/>
    <w:rsid w:val="6700085F"/>
    <w:rsid w:val="671AA3BA"/>
    <w:rsid w:val="675BB1A6"/>
    <w:rsid w:val="679EA59B"/>
    <w:rsid w:val="6812D34B"/>
    <w:rsid w:val="6816CF83"/>
    <w:rsid w:val="6875CE48"/>
    <w:rsid w:val="6879D5F7"/>
    <w:rsid w:val="6897E97A"/>
    <w:rsid w:val="691AFC1C"/>
    <w:rsid w:val="6947CA3A"/>
    <w:rsid w:val="699D93EC"/>
    <w:rsid w:val="69B29FE4"/>
    <w:rsid w:val="69DC8C63"/>
    <w:rsid w:val="6B19CE39"/>
    <w:rsid w:val="6B23A182"/>
    <w:rsid w:val="6B86AD69"/>
    <w:rsid w:val="6BD58CA4"/>
    <w:rsid w:val="6C13CD46"/>
    <w:rsid w:val="6C25FC92"/>
    <w:rsid w:val="6D39AE3C"/>
    <w:rsid w:val="6DD54CC5"/>
    <w:rsid w:val="6E035F93"/>
    <w:rsid w:val="6E1FE4F3"/>
    <w:rsid w:val="6E4DA8B2"/>
    <w:rsid w:val="6E52B94B"/>
    <w:rsid w:val="6EF6AF4A"/>
    <w:rsid w:val="6F2DC70A"/>
    <w:rsid w:val="6F30F727"/>
    <w:rsid w:val="6F471F94"/>
    <w:rsid w:val="6FA0A376"/>
    <w:rsid w:val="7010847F"/>
    <w:rsid w:val="70E03901"/>
    <w:rsid w:val="7108F32E"/>
    <w:rsid w:val="710BA4AB"/>
    <w:rsid w:val="7145DF36"/>
    <w:rsid w:val="716E41A3"/>
    <w:rsid w:val="718721AA"/>
    <w:rsid w:val="7192E306"/>
    <w:rsid w:val="71DA5F13"/>
    <w:rsid w:val="71E79E48"/>
    <w:rsid w:val="722E500C"/>
    <w:rsid w:val="72349E68"/>
    <w:rsid w:val="723C2308"/>
    <w:rsid w:val="730DD8E6"/>
    <w:rsid w:val="73A27528"/>
    <w:rsid w:val="73CA206D"/>
    <w:rsid w:val="73D06EC9"/>
    <w:rsid w:val="74054ED3"/>
    <w:rsid w:val="74C7C21C"/>
    <w:rsid w:val="74CB20D0"/>
    <w:rsid w:val="7525AB26"/>
    <w:rsid w:val="752E06D1"/>
    <w:rsid w:val="7567AF53"/>
    <w:rsid w:val="759EF59A"/>
    <w:rsid w:val="765AA9DE"/>
    <w:rsid w:val="768BBB7F"/>
    <w:rsid w:val="7701C12F"/>
    <w:rsid w:val="770E9468"/>
    <w:rsid w:val="7780B33E"/>
    <w:rsid w:val="77A4E202"/>
    <w:rsid w:val="77C67837"/>
    <w:rsid w:val="77F8A2B9"/>
    <w:rsid w:val="783701BA"/>
    <w:rsid w:val="78C345DB"/>
    <w:rsid w:val="7940B263"/>
    <w:rsid w:val="7940F18B"/>
    <w:rsid w:val="79624898"/>
    <w:rsid w:val="79756E62"/>
    <w:rsid w:val="7A05B219"/>
    <w:rsid w:val="7A41C3F6"/>
    <w:rsid w:val="7A94A462"/>
    <w:rsid w:val="7A99C17C"/>
    <w:rsid w:val="7AD41613"/>
    <w:rsid w:val="7B0EBC58"/>
    <w:rsid w:val="7B2018ED"/>
    <w:rsid w:val="7B2D4176"/>
    <w:rsid w:val="7BA8B61D"/>
    <w:rsid w:val="7BDAAF7D"/>
    <w:rsid w:val="7BE2058B"/>
    <w:rsid w:val="7C34BCF4"/>
    <w:rsid w:val="7C9E55A3"/>
    <w:rsid w:val="7CA0E15B"/>
    <w:rsid w:val="7CC4BBCD"/>
    <w:rsid w:val="7D1975FC"/>
    <w:rsid w:val="7D373362"/>
    <w:rsid w:val="7D3938BE"/>
    <w:rsid w:val="7D7102B3"/>
    <w:rsid w:val="7D767FDE"/>
    <w:rsid w:val="7DA30140"/>
    <w:rsid w:val="7DA593AC"/>
    <w:rsid w:val="7DD1623E"/>
    <w:rsid w:val="7E608C2E"/>
    <w:rsid w:val="7EFA5437"/>
    <w:rsid w:val="7F12503F"/>
    <w:rsid w:val="7F365CAB"/>
    <w:rsid w:val="7F9119CC"/>
    <w:rsid w:val="7FADA359"/>
    <w:rsid w:val="7FE22D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D5B18"/>
  <w15:chartTrackingRefBased/>
  <w15:docId w15:val="{63CF1E8C-0783-49A3-9625-3D6EFD7CF1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5Char" w:customStyle="1" mc:Ignorable="w14">
    <w:name xmlns:w="http://schemas.openxmlformats.org/wordprocessingml/2006/main" w:val="Heading 5 Char"/>
    <w:basedOn xmlns:w="http://schemas.openxmlformats.org/wordprocessingml/2006/main" w:val="DefaultParagraphFont"/>
    <w:link xmlns:w="http://schemas.openxmlformats.org/wordprocessingml/2006/main" w:val="Heading5"/>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paragraph" w:styleId="Heading5" mc:Ignorable="w14">
    <w:name xmlns:w="http://schemas.openxmlformats.org/wordprocessingml/2006/main" w:val="heading 5"/>
    <w:basedOn xmlns:w="http://schemas.openxmlformats.org/wordprocessingml/2006/main" w:val="Normal"/>
    <w:next xmlns:w="http://schemas.openxmlformats.org/wordprocessingml/2006/main" w:val="Normal"/>
    <w:link xmlns:w="http://schemas.openxmlformats.org/wordprocessingml/2006/main" w:val="Heading5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4"/>
    </w:pPr>
    <w:rPr xmlns:w="http://schemas.openxmlformats.org/wordprocessingml/2006/main">
      <w:rFonts w:asciiTheme="majorHAnsi" w:hAnsiTheme="majorHAnsi" w:eastAsiaTheme="majorEastAsia"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gislation.gov.uk/ukpga/2003/42/section/74" TargetMode="External" Id="Rc454e354648d4b0e" /><Relationship Type="http://schemas.openxmlformats.org/officeDocument/2006/relationships/hyperlink" Target="https://www.cps.gov.uk/legal-guidance/offences-against-person-incorporating-charging-standard" TargetMode="External" Id="R25829baefe5e4297" /><Relationship Type="http://schemas.openxmlformats.org/officeDocument/2006/relationships/hyperlink" Target="https://lawreview.law.ucdavis.edu/issues/54/4/articles/files/54-4_Geisinger.pdf" TargetMode="External" Id="Rcc825858a6384843" /><Relationship Type="http://schemas.openxmlformats.org/officeDocument/2006/relationships/hyperlink" Target="https://www.justia.com/criminal/defenses/consent/" TargetMode="External" Id="Ra731c0b52e2845e5" /><Relationship Type="http://schemas.openxmlformats.org/officeDocument/2006/relationships/hyperlink" Target="https://dictionary.cambridge.org/example/english/reasonable-belief" TargetMode="External" Id="R68c6bb2eec344a4e" /><Relationship Type="http://schemas.openxmlformats.org/officeDocument/2006/relationships/hyperlink" Target="https://dictionary.cambridge.org/example/english/reasonable-belief" TargetMode="External" Id="R15ebc4fd26774a72" /><Relationship Type="http://schemas.openxmlformats.org/officeDocument/2006/relationships/hyperlink" Target="https://ipsaloquitur.com/criminal-law/defences-to-non-fatal-personal-offences/" TargetMode="External" Id="R26ebd3b72750486b" /><Relationship Type="http://schemas.openxmlformats.org/officeDocument/2006/relationships/hyperlink" Target="https://www.lawinsider.com/dictionary/convicted-offender" TargetMode="External" Id="Re19f6ceca0534aa3" /><Relationship Type="http://schemas.openxmlformats.org/officeDocument/2006/relationships/hyperlink" Target="https://www.legislation.gov.uk/ukpga/1988/33/section/39" TargetMode="External" Id="R2875886d33874b9a" /><Relationship Type="http://schemas.openxmlformats.org/officeDocument/2006/relationships/hyperlink" Target="https://www.sentencingcouncil.org.uk/offences/magistrates-court/item/common-assault-racially-or-religiously-aggravated-common-assault-common-assault-on-emergency-worker/" TargetMode="External" Id="R4035804fed05448c" /><Relationship Type="http://schemas.openxmlformats.org/officeDocument/2006/relationships/hyperlink" Target="https://www.humberside.police.uk/police-forces/humberside-police/areas/campaigns/campaigns/get-consent/" TargetMode="External" Id="R56a656960cad47e8" /><Relationship Type="http://schemas.openxmlformats.org/officeDocument/2006/relationships/hyperlink" Target="https://obriensolicitors.com.au/tackling-the-law-battery-in-physical-contact-sports/" TargetMode="External" Id="Rbf2293dc8280430f" /><Relationship Type="http://schemas.microsoft.com/office/2020/10/relationships/intelligence" Target="intelligence2.xml" Id="R29328c61e1134e3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2023-10-29T18:24:11.6123042Z</dcterms:created>
  <dcterms:modified xsi:type="dcterms:W3CDTF">2023-11-05T22:14:51.8023096Z</dcterms:modified>
  <dc:creator>Dan Phillips (2305529)</dc:creator>
  <lastModifiedBy>Dan Phillips (2305529)</lastModifiedBy>
</coreProperties>
</file>