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9163B" w14:textId="77777777" w:rsidR="0067115F" w:rsidRPr="009126A5" w:rsidRDefault="0067115F" w:rsidP="0067115F">
      <w:pPr>
        <w:spacing w:line="360" w:lineRule="auto"/>
        <w:rPr>
          <w:rFonts w:ascii="Times New Roman" w:hAnsi="Times New Roman" w:cs="Times New Roman"/>
        </w:rPr>
      </w:pPr>
    </w:p>
    <w:p w14:paraId="270C4313" w14:textId="77777777" w:rsidR="0067115F" w:rsidRDefault="0067115F" w:rsidP="0067115F">
      <w:pPr>
        <w:spacing w:line="240" w:lineRule="auto"/>
        <w:jc w:val="center"/>
        <w:rPr>
          <w:rFonts w:ascii="Times New Roman" w:hAnsi="Times New Roman" w:cs="Times New Roman"/>
        </w:rPr>
      </w:pPr>
    </w:p>
    <w:p w14:paraId="727B5395" w14:textId="77777777" w:rsidR="0067115F" w:rsidRDefault="0067115F" w:rsidP="0067115F">
      <w:pPr>
        <w:spacing w:line="240" w:lineRule="auto"/>
        <w:jc w:val="center"/>
        <w:rPr>
          <w:rFonts w:ascii="Times New Roman" w:hAnsi="Times New Roman" w:cs="Times New Roman"/>
        </w:rPr>
      </w:pPr>
    </w:p>
    <w:p w14:paraId="0CF1C216" w14:textId="77777777" w:rsidR="0067115F" w:rsidRDefault="0067115F" w:rsidP="0067115F">
      <w:pPr>
        <w:spacing w:line="240" w:lineRule="auto"/>
        <w:jc w:val="center"/>
        <w:rPr>
          <w:rFonts w:ascii="Times New Roman" w:hAnsi="Times New Roman" w:cs="Times New Roman"/>
        </w:rPr>
      </w:pPr>
    </w:p>
    <w:p w14:paraId="37128B45" w14:textId="77777777" w:rsidR="0067115F" w:rsidRDefault="0067115F" w:rsidP="0067115F">
      <w:pPr>
        <w:spacing w:line="240" w:lineRule="auto"/>
        <w:jc w:val="center"/>
        <w:rPr>
          <w:rFonts w:ascii="Times New Roman" w:hAnsi="Times New Roman" w:cs="Times New Roman"/>
        </w:rPr>
      </w:pPr>
    </w:p>
    <w:p w14:paraId="0395DF57" w14:textId="77777777" w:rsidR="0067115F" w:rsidRDefault="0067115F" w:rsidP="0067115F">
      <w:pPr>
        <w:spacing w:line="240" w:lineRule="auto"/>
        <w:jc w:val="center"/>
        <w:rPr>
          <w:rFonts w:ascii="Times New Roman" w:hAnsi="Times New Roman" w:cs="Times New Roman"/>
        </w:rPr>
      </w:pPr>
    </w:p>
    <w:p w14:paraId="1C5F3BF5" w14:textId="77777777" w:rsidR="0067115F" w:rsidRDefault="0067115F" w:rsidP="0067115F">
      <w:pPr>
        <w:spacing w:line="240" w:lineRule="auto"/>
        <w:jc w:val="center"/>
        <w:rPr>
          <w:rFonts w:ascii="Times New Roman" w:hAnsi="Times New Roman" w:cs="Times New Roman"/>
        </w:rPr>
      </w:pPr>
    </w:p>
    <w:p w14:paraId="710E1CB5" w14:textId="77777777" w:rsidR="0067115F" w:rsidRDefault="0067115F" w:rsidP="0067115F">
      <w:pPr>
        <w:spacing w:line="240" w:lineRule="auto"/>
        <w:jc w:val="center"/>
        <w:rPr>
          <w:rFonts w:ascii="Times New Roman" w:hAnsi="Times New Roman" w:cs="Times New Roman"/>
        </w:rPr>
      </w:pPr>
    </w:p>
    <w:p w14:paraId="7FC2CBE3" w14:textId="77777777" w:rsidR="0067115F" w:rsidRDefault="0067115F" w:rsidP="0067115F">
      <w:pPr>
        <w:spacing w:line="240" w:lineRule="auto"/>
        <w:jc w:val="center"/>
        <w:rPr>
          <w:rFonts w:ascii="Times New Roman" w:hAnsi="Times New Roman" w:cs="Times New Roman"/>
        </w:rPr>
      </w:pPr>
    </w:p>
    <w:p w14:paraId="0176C5D5" w14:textId="354B5E18" w:rsidR="0067115F" w:rsidRPr="009126A5" w:rsidRDefault="0067115F" w:rsidP="0067115F">
      <w:pPr>
        <w:spacing w:line="240" w:lineRule="auto"/>
        <w:jc w:val="center"/>
        <w:rPr>
          <w:rFonts w:ascii="Times New Roman" w:hAnsi="Times New Roman" w:cs="Times New Roman"/>
        </w:rPr>
      </w:pPr>
      <w:r>
        <w:rPr>
          <w:rFonts w:ascii="Times New Roman" w:hAnsi="Times New Roman" w:cs="Times New Roman"/>
        </w:rPr>
        <w:t>Response to: “Death and The Afterlife” by Rufus Maychild</w:t>
      </w:r>
    </w:p>
    <w:p w14:paraId="44901B2D" w14:textId="77777777" w:rsidR="0067115F" w:rsidRPr="009126A5" w:rsidRDefault="0067115F" w:rsidP="0067115F">
      <w:pPr>
        <w:spacing w:line="240" w:lineRule="auto"/>
        <w:jc w:val="center"/>
        <w:rPr>
          <w:rFonts w:ascii="Times New Roman" w:hAnsi="Times New Roman" w:cs="Times New Roman"/>
        </w:rPr>
      </w:pPr>
      <w:r w:rsidRPr="009126A5">
        <w:rPr>
          <w:rFonts w:ascii="Times New Roman" w:hAnsi="Times New Roman" w:cs="Times New Roman"/>
        </w:rPr>
        <w:t>HPAH7015</w:t>
      </w:r>
    </w:p>
    <w:p w14:paraId="676F59EC" w14:textId="77777777" w:rsidR="0067115F" w:rsidRPr="009126A5" w:rsidRDefault="0067115F" w:rsidP="0067115F">
      <w:pPr>
        <w:spacing w:line="240" w:lineRule="auto"/>
        <w:jc w:val="center"/>
        <w:rPr>
          <w:rFonts w:ascii="Times New Roman" w:hAnsi="Times New Roman" w:cs="Times New Roman"/>
        </w:rPr>
      </w:pPr>
      <w:r w:rsidRPr="009126A5">
        <w:rPr>
          <w:rFonts w:ascii="Times New Roman" w:hAnsi="Times New Roman" w:cs="Times New Roman"/>
        </w:rPr>
        <w:t>2325315</w:t>
      </w:r>
    </w:p>
    <w:p w14:paraId="35D9B077" w14:textId="77777777" w:rsidR="0067115F" w:rsidRPr="009126A5" w:rsidRDefault="0067115F" w:rsidP="0067115F">
      <w:pPr>
        <w:spacing w:line="360" w:lineRule="auto"/>
        <w:jc w:val="center"/>
        <w:rPr>
          <w:rFonts w:ascii="Times New Roman" w:hAnsi="Times New Roman" w:cs="Times New Roman"/>
        </w:rPr>
      </w:pPr>
    </w:p>
    <w:p w14:paraId="7B539720" w14:textId="77777777" w:rsidR="0067115F" w:rsidRPr="009126A5" w:rsidRDefault="0067115F" w:rsidP="0067115F">
      <w:pPr>
        <w:spacing w:line="360" w:lineRule="auto"/>
        <w:jc w:val="center"/>
        <w:rPr>
          <w:rFonts w:ascii="Times New Roman" w:hAnsi="Times New Roman" w:cs="Times New Roman"/>
        </w:rPr>
      </w:pPr>
    </w:p>
    <w:p w14:paraId="50D994EB" w14:textId="77777777" w:rsidR="0067115F" w:rsidRPr="009126A5" w:rsidRDefault="0067115F" w:rsidP="0067115F">
      <w:pPr>
        <w:spacing w:line="360" w:lineRule="auto"/>
        <w:jc w:val="center"/>
        <w:rPr>
          <w:rFonts w:ascii="Times New Roman" w:hAnsi="Times New Roman" w:cs="Times New Roman"/>
        </w:rPr>
      </w:pPr>
      <w:r w:rsidRPr="009126A5">
        <w:rPr>
          <w:rFonts w:ascii="Times New Roman" w:hAnsi="Times New Roman" w:cs="Times New Roman"/>
        </w:rPr>
        <w:t>Tutor: Dr K Zinn</w:t>
      </w:r>
    </w:p>
    <w:p w14:paraId="4632E399" w14:textId="545C1E1A" w:rsidR="0067115F" w:rsidRPr="009126A5" w:rsidRDefault="0067115F" w:rsidP="0067115F">
      <w:pPr>
        <w:spacing w:line="360" w:lineRule="auto"/>
        <w:jc w:val="center"/>
        <w:rPr>
          <w:rFonts w:ascii="Times New Roman" w:hAnsi="Times New Roman" w:cs="Times New Roman"/>
        </w:rPr>
      </w:pPr>
      <w:r w:rsidRPr="009126A5">
        <w:rPr>
          <w:rFonts w:ascii="Times New Roman" w:hAnsi="Times New Roman" w:cs="Times New Roman"/>
        </w:rPr>
        <w:t xml:space="preserve">Word Count: </w:t>
      </w:r>
      <w:r w:rsidR="00163865">
        <w:rPr>
          <w:rFonts w:ascii="Times New Roman" w:hAnsi="Times New Roman" w:cs="Times New Roman"/>
        </w:rPr>
        <w:t>484</w:t>
      </w:r>
    </w:p>
    <w:p w14:paraId="29523176" w14:textId="57B49079" w:rsidR="0067115F" w:rsidRDefault="0067115F" w:rsidP="0067115F">
      <w:pPr>
        <w:spacing w:line="360" w:lineRule="auto"/>
        <w:jc w:val="center"/>
        <w:rPr>
          <w:rFonts w:ascii="Times New Roman" w:hAnsi="Times New Roman" w:cs="Times New Roman"/>
        </w:rPr>
      </w:pPr>
      <w:r w:rsidRPr="009126A5">
        <w:rPr>
          <w:rFonts w:ascii="Times New Roman" w:hAnsi="Times New Roman" w:cs="Times New Roman"/>
        </w:rPr>
        <w:t>Date of Submission: 2</w:t>
      </w:r>
      <w:r>
        <w:rPr>
          <w:rFonts w:ascii="Times New Roman" w:hAnsi="Times New Roman" w:cs="Times New Roman"/>
        </w:rPr>
        <w:t>5 March 2026</w:t>
      </w:r>
    </w:p>
    <w:p w14:paraId="2A535C51" w14:textId="77777777" w:rsidR="0067115F" w:rsidRDefault="0067115F" w:rsidP="0067115F">
      <w:pPr>
        <w:spacing w:line="360" w:lineRule="auto"/>
        <w:jc w:val="center"/>
        <w:rPr>
          <w:rFonts w:ascii="Times New Roman" w:hAnsi="Times New Roman" w:cs="Times New Roman"/>
        </w:rPr>
      </w:pPr>
    </w:p>
    <w:p w14:paraId="10E4C0BA" w14:textId="77777777" w:rsidR="0067115F" w:rsidRDefault="0067115F" w:rsidP="0067115F">
      <w:pPr>
        <w:spacing w:line="360" w:lineRule="auto"/>
        <w:jc w:val="center"/>
        <w:rPr>
          <w:rFonts w:ascii="Times New Roman" w:hAnsi="Times New Roman" w:cs="Times New Roman"/>
        </w:rPr>
      </w:pPr>
    </w:p>
    <w:p w14:paraId="6438022F" w14:textId="77777777" w:rsidR="0067115F" w:rsidRDefault="0067115F" w:rsidP="0067115F">
      <w:pPr>
        <w:spacing w:line="360" w:lineRule="auto"/>
        <w:jc w:val="center"/>
        <w:rPr>
          <w:rFonts w:ascii="Times New Roman" w:hAnsi="Times New Roman" w:cs="Times New Roman"/>
        </w:rPr>
      </w:pPr>
    </w:p>
    <w:p w14:paraId="704D1F4B" w14:textId="77777777" w:rsidR="0067115F" w:rsidRDefault="0067115F" w:rsidP="0067115F">
      <w:pPr>
        <w:spacing w:line="360" w:lineRule="auto"/>
        <w:jc w:val="center"/>
        <w:rPr>
          <w:rFonts w:ascii="Times New Roman" w:hAnsi="Times New Roman" w:cs="Times New Roman"/>
        </w:rPr>
      </w:pPr>
    </w:p>
    <w:p w14:paraId="47316721" w14:textId="77777777" w:rsidR="0067115F" w:rsidRDefault="0067115F" w:rsidP="0067115F">
      <w:pPr>
        <w:spacing w:line="360" w:lineRule="auto"/>
        <w:jc w:val="center"/>
        <w:rPr>
          <w:rFonts w:ascii="Times New Roman" w:hAnsi="Times New Roman" w:cs="Times New Roman"/>
        </w:rPr>
      </w:pPr>
    </w:p>
    <w:p w14:paraId="4F20F797" w14:textId="77777777" w:rsidR="0067115F" w:rsidRDefault="0067115F" w:rsidP="0067115F">
      <w:pPr>
        <w:spacing w:line="360" w:lineRule="auto"/>
        <w:jc w:val="center"/>
        <w:rPr>
          <w:rFonts w:ascii="Times New Roman" w:hAnsi="Times New Roman" w:cs="Times New Roman"/>
        </w:rPr>
      </w:pPr>
    </w:p>
    <w:p w14:paraId="7A586B5C" w14:textId="77777777" w:rsidR="0067115F" w:rsidRDefault="0067115F" w:rsidP="0067115F">
      <w:pPr>
        <w:spacing w:line="360" w:lineRule="auto"/>
        <w:jc w:val="center"/>
        <w:rPr>
          <w:rFonts w:ascii="Times New Roman" w:hAnsi="Times New Roman" w:cs="Times New Roman"/>
        </w:rPr>
      </w:pPr>
    </w:p>
    <w:p w14:paraId="19013539" w14:textId="77777777" w:rsidR="0067115F" w:rsidRDefault="0067115F" w:rsidP="0067115F">
      <w:pPr>
        <w:spacing w:line="360" w:lineRule="auto"/>
        <w:jc w:val="center"/>
        <w:rPr>
          <w:rFonts w:ascii="Times New Roman" w:hAnsi="Times New Roman" w:cs="Times New Roman"/>
        </w:rPr>
      </w:pPr>
    </w:p>
    <w:p w14:paraId="2B0D147F" w14:textId="77777777" w:rsidR="0067115F" w:rsidRDefault="0067115F" w:rsidP="0067115F">
      <w:pPr>
        <w:spacing w:line="360" w:lineRule="auto"/>
        <w:jc w:val="center"/>
        <w:rPr>
          <w:rFonts w:ascii="Times New Roman" w:hAnsi="Times New Roman" w:cs="Times New Roman"/>
        </w:rPr>
      </w:pPr>
    </w:p>
    <w:p w14:paraId="076BDE25" w14:textId="4634F7B9" w:rsidR="0067115F" w:rsidRDefault="00163865" w:rsidP="005166D4">
      <w:pPr>
        <w:spacing w:after="0" w:line="240" w:lineRule="auto"/>
        <w:rPr>
          <w:rFonts w:ascii="Times New Roman" w:hAnsi="Times New Roman" w:cs="Times New Roman"/>
        </w:rPr>
      </w:pPr>
      <w:r>
        <w:rPr>
          <w:rFonts w:ascii="Times New Roman" w:hAnsi="Times New Roman" w:cs="Times New Roman"/>
        </w:rPr>
        <w:br w:type="page"/>
      </w:r>
    </w:p>
    <w:p w14:paraId="09FCFD87" w14:textId="474321FA" w:rsidR="0067115F" w:rsidRDefault="0067115F" w:rsidP="0067115F">
      <w:pPr>
        <w:spacing w:line="360" w:lineRule="auto"/>
        <w:jc w:val="center"/>
        <w:rPr>
          <w:rFonts w:ascii="Times New Roman" w:hAnsi="Times New Roman" w:cs="Times New Roman"/>
          <w:b/>
          <w:bCs/>
          <w:u w:val="single"/>
        </w:rPr>
      </w:pPr>
      <w:r>
        <w:rPr>
          <w:rFonts w:ascii="Times New Roman" w:hAnsi="Times New Roman" w:cs="Times New Roman"/>
          <w:b/>
          <w:bCs/>
          <w:u w:val="single"/>
        </w:rPr>
        <w:lastRenderedPageBreak/>
        <w:t>Response to: “Death and The Afterlife” by Rufus Maychild</w:t>
      </w:r>
    </w:p>
    <w:p w14:paraId="32EF7467" w14:textId="067611E7" w:rsidR="0067115F" w:rsidRDefault="0067115F" w:rsidP="0067115F">
      <w:pPr>
        <w:spacing w:line="360" w:lineRule="auto"/>
        <w:rPr>
          <w:rFonts w:ascii="Times New Roman" w:hAnsi="Times New Roman" w:cs="Times New Roman"/>
        </w:rPr>
      </w:pPr>
      <w:r>
        <w:rPr>
          <w:rFonts w:ascii="Times New Roman" w:hAnsi="Times New Roman" w:cs="Times New Roman"/>
        </w:rPr>
        <w:t xml:space="preserve">The discussion paper presents a thoughtful and personally invested critique of Egyptological interpretations of death and the afterlife, raising important questions about scholarly assumptions, methodological blind spots and the tension between insider and outsider perspectives on ancient religion. Rufus’ position as a practicing Pagan funeral celebrant and ordained priest of the Fellowship of Isis provides a distinctive vantage point from which to interrogate academic narratives that treat Egyptian afterlife beliefs as symbolic, reductive, or psychologically motivated. This standpoint is articulated clearly when Rufus notes that Teeter’s explanation of the “long-term survival of Egyptian cult practices” as deriving from </w:t>
      </w:r>
      <w:r w:rsidR="007C533D">
        <w:rPr>
          <w:rFonts w:ascii="Times New Roman" w:hAnsi="Times New Roman" w:cs="Times New Roman"/>
        </w:rPr>
        <w:t>“a tremendous amount of comfort and support” amounts to “a polite assumption of Egyptian mass self-delusion”</w:t>
      </w:r>
      <w:r w:rsidR="00F1081A">
        <w:rPr>
          <w:rStyle w:val="FootnoteReference"/>
          <w:rFonts w:ascii="Times New Roman" w:hAnsi="Times New Roman" w:cs="Times New Roman"/>
        </w:rPr>
        <w:footnoteReference w:id="1"/>
      </w:r>
      <w:r w:rsidR="007C533D">
        <w:rPr>
          <w:rFonts w:ascii="Times New Roman" w:hAnsi="Times New Roman" w:cs="Times New Roman"/>
        </w:rPr>
        <w:t xml:space="preserve">. This critique is well-founded: Egyptology has long struggled with the legacy of positivist and secularising frameworks that treat ancient religious experience as fundamentally irrational or naïve. </w:t>
      </w:r>
    </w:p>
    <w:p w14:paraId="34474698" w14:textId="38A674EF" w:rsidR="007C533D" w:rsidRDefault="007C533D" w:rsidP="0067115F">
      <w:pPr>
        <w:spacing w:line="360" w:lineRule="auto"/>
        <w:rPr>
          <w:rFonts w:ascii="Times New Roman" w:hAnsi="Times New Roman" w:cs="Times New Roman"/>
        </w:rPr>
      </w:pPr>
      <w:r>
        <w:rPr>
          <w:rFonts w:ascii="Times New Roman" w:hAnsi="Times New Roman" w:cs="Times New Roman"/>
        </w:rPr>
        <w:tab/>
        <w:t xml:space="preserve">A central strength of the paper lies in its interrogation of the phrase “Egyptians believed…”, and the reminder that Egyptian religion lacks a formalised credo. Rufus rightly highlights the methodological problem of inferring belief from textual and material evidence that is fragmentary, elite-produced, and spanning </w:t>
      </w:r>
      <w:r w:rsidR="00163865">
        <w:rPr>
          <w:rFonts w:ascii="Times New Roman" w:hAnsi="Times New Roman" w:cs="Times New Roman"/>
        </w:rPr>
        <w:t>millennia</w:t>
      </w:r>
      <w:r w:rsidR="004B4482">
        <w:rPr>
          <w:rStyle w:val="FootnoteReference"/>
          <w:rFonts w:ascii="Times New Roman" w:hAnsi="Times New Roman" w:cs="Times New Roman"/>
        </w:rPr>
        <w:footnoteReference w:id="2"/>
      </w:r>
      <w:r>
        <w:rPr>
          <w:rFonts w:ascii="Times New Roman" w:hAnsi="Times New Roman" w:cs="Times New Roman"/>
        </w:rPr>
        <w:t xml:space="preserve">. This aligns with broader theoretical critiques of how scholars construct ‘belief’ in pre-modern societies, often projecting modern theological categories onto cultures that conceptualised religious practice differently. The Marxist understanding of ideology as socially material rather than psychological adds a productive layer to this critique, challenging the tendency to treat Egyptian religion as a unified mental disposition rather than a diverse, evolving set of practices embedding in social structures. </w:t>
      </w:r>
    </w:p>
    <w:p w14:paraId="5F86DEB2" w14:textId="4D2869C6" w:rsidR="007C533D" w:rsidRDefault="007C533D" w:rsidP="0067115F">
      <w:pPr>
        <w:spacing w:line="360" w:lineRule="auto"/>
        <w:rPr>
          <w:rFonts w:ascii="Times New Roman" w:hAnsi="Times New Roman" w:cs="Times New Roman"/>
        </w:rPr>
      </w:pPr>
      <w:r>
        <w:rPr>
          <w:rFonts w:ascii="Times New Roman" w:hAnsi="Times New Roman" w:cs="Times New Roman"/>
        </w:rPr>
        <w:tab/>
        <w:t xml:space="preserve">The paper’s most compelling intervention is its identification of what it terms </w:t>
      </w:r>
      <w:r w:rsidR="00BB4B88">
        <w:rPr>
          <w:rFonts w:ascii="Times New Roman" w:hAnsi="Times New Roman" w:cs="Times New Roman"/>
        </w:rPr>
        <w:t>‘</w:t>
      </w:r>
      <w:r>
        <w:rPr>
          <w:rFonts w:ascii="Times New Roman" w:hAnsi="Times New Roman" w:cs="Times New Roman"/>
        </w:rPr>
        <w:t>schizologia</w:t>
      </w:r>
      <w:r w:rsidR="00BB4B88">
        <w:rPr>
          <w:rFonts w:ascii="Times New Roman" w:hAnsi="Times New Roman" w:cs="Times New Roman"/>
        </w:rPr>
        <w:t>’</w:t>
      </w:r>
      <w:r>
        <w:rPr>
          <w:rFonts w:ascii="Times New Roman" w:hAnsi="Times New Roman" w:cs="Times New Roman"/>
        </w:rPr>
        <w:t xml:space="preserve"> – the coexistence of incompatible scholarly claims presented without critical reconciliation. The example drawn from Teeter’s assertion that “a person could not exist in the afterlife unless his or her image…was preserved among the living”</w:t>
      </w:r>
      <w:r w:rsidR="004B4482">
        <w:rPr>
          <w:rStyle w:val="FootnoteReference"/>
          <w:rFonts w:ascii="Times New Roman" w:hAnsi="Times New Roman" w:cs="Times New Roman"/>
        </w:rPr>
        <w:footnoteReference w:id="3"/>
      </w:r>
      <w:r>
        <w:rPr>
          <w:rFonts w:ascii="Times New Roman" w:hAnsi="Times New Roman" w:cs="Times New Roman"/>
        </w:rPr>
        <w:t>, followed immediately by the claim that remembrance itself constitutes “a practical and stunningly simple solution to immortality”</w:t>
      </w:r>
      <w:r w:rsidR="004B4482">
        <w:rPr>
          <w:rStyle w:val="FootnoteReference"/>
          <w:rFonts w:ascii="Times New Roman" w:hAnsi="Times New Roman" w:cs="Times New Roman"/>
        </w:rPr>
        <w:footnoteReference w:id="4"/>
      </w:r>
      <w:r>
        <w:rPr>
          <w:rFonts w:ascii="Times New Roman" w:hAnsi="Times New Roman" w:cs="Times New Roman"/>
        </w:rPr>
        <w:t xml:space="preserve">, effectively demonstrates this inconsistency. Rufus’ logical </w:t>
      </w:r>
      <w:r>
        <w:rPr>
          <w:rFonts w:ascii="Times New Roman" w:hAnsi="Times New Roman" w:cs="Times New Roman"/>
        </w:rPr>
        <w:lastRenderedPageBreak/>
        <w:t xml:space="preserve">analysis of its implications – such as the exclusion of most Egyptians from any afterlife – highlights the need for Egyptologists to interrogate the internal coherence of their own interpretive frameworks. </w:t>
      </w:r>
    </w:p>
    <w:p w14:paraId="305163F8" w14:textId="6A920AA9" w:rsidR="007C533D" w:rsidRDefault="007C533D" w:rsidP="0067115F">
      <w:pPr>
        <w:spacing w:line="360" w:lineRule="auto"/>
        <w:rPr>
          <w:rFonts w:ascii="Times New Roman" w:hAnsi="Times New Roman" w:cs="Times New Roman"/>
        </w:rPr>
      </w:pPr>
      <w:r>
        <w:rPr>
          <w:rFonts w:ascii="Times New Roman" w:hAnsi="Times New Roman" w:cs="Times New Roman"/>
        </w:rPr>
        <w:tab/>
        <w:t>The proposed focus on the Pyramid Texts is a judicious narrowing of scope. Scepticism toward</w:t>
      </w:r>
      <w:r w:rsidR="00163865">
        <w:rPr>
          <w:rFonts w:ascii="Times New Roman" w:hAnsi="Times New Roman" w:cs="Times New Roman"/>
        </w:rPr>
        <w:t xml:space="preserve"> the long-standing assumption that afterlife access was restricted to kings is well supported by cross-cultural comparison and by recent scholarship, such as Hays’ critique of the “democratisation” model</w:t>
      </w:r>
      <w:r w:rsidR="004B4482">
        <w:rPr>
          <w:rStyle w:val="FootnoteReference"/>
          <w:rFonts w:ascii="Times New Roman" w:hAnsi="Times New Roman" w:cs="Times New Roman"/>
        </w:rPr>
        <w:footnoteReference w:id="5"/>
      </w:r>
      <w:r w:rsidR="00163865">
        <w:rPr>
          <w:rFonts w:ascii="Times New Roman" w:hAnsi="Times New Roman" w:cs="Times New Roman"/>
        </w:rPr>
        <w:t>. The engagement with Assmann, Naydler, and Morrow suggests a productive tension between literalist, symbolic, and experiential interpretations of the texts. Rufus’ inclination towards shamanic readings of celestial ascent is clearly articulated, though the paper would benefit from further justification of why this interpretive lens is preferable to Assmann’s more restrictive view</w:t>
      </w:r>
      <w:r w:rsidR="004B4482">
        <w:rPr>
          <w:rStyle w:val="FootnoteReference"/>
          <w:rFonts w:ascii="Times New Roman" w:hAnsi="Times New Roman" w:cs="Times New Roman"/>
        </w:rPr>
        <w:footnoteReference w:id="6"/>
      </w:r>
      <w:r w:rsidR="00163865">
        <w:rPr>
          <w:rFonts w:ascii="Times New Roman" w:hAnsi="Times New Roman" w:cs="Times New Roman"/>
        </w:rPr>
        <w:t xml:space="preserve">. </w:t>
      </w:r>
    </w:p>
    <w:p w14:paraId="6BBEE510" w14:textId="3A437F5F" w:rsidR="00163865" w:rsidRPr="00537750" w:rsidRDefault="00163865" w:rsidP="0067115F">
      <w:pPr>
        <w:spacing w:line="360" w:lineRule="auto"/>
        <w:rPr>
          <w:rFonts w:ascii="Times New Roman" w:hAnsi="Times New Roman" w:cs="Times New Roman"/>
          <w:b/>
          <w:bCs/>
          <w:u w:val="single"/>
        </w:rPr>
      </w:pPr>
      <w:r>
        <w:rPr>
          <w:rFonts w:ascii="Times New Roman" w:hAnsi="Times New Roman" w:cs="Times New Roman"/>
        </w:rPr>
        <w:tab/>
        <w:t xml:space="preserve">Overall, the paper offers a rigorous and refreshingly self-aware critique of Egyptological discourse. Its combination of personal religious investment and scholarly scepticism produces a nuanced, critical, and intellectually independent foundation for further research into Egyptian afterlife concepts. </w:t>
      </w:r>
    </w:p>
    <w:p w14:paraId="4C91F460" w14:textId="77777777" w:rsidR="0067115F" w:rsidRDefault="0067115F" w:rsidP="004B4482">
      <w:pPr>
        <w:spacing w:line="360" w:lineRule="auto"/>
        <w:rPr>
          <w:rFonts w:ascii="Times New Roman" w:hAnsi="Times New Roman" w:cs="Times New Roman"/>
        </w:rPr>
      </w:pPr>
    </w:p>
    <w:p w14:paraId="76C6429D" w14:textId="617BBA9C" w:rsidR="004B4482" w:rsidRDefault="004B4482" w:rsidP="004B4482">
      <w:pPr>
        <w:spacing w:line="360" w:lineRule="auto"/>
        <w:rPr>
          <w:rFonts w:ascii="Times New Roman" w:hAnsi="Times New Roman" w:cs="Times New Roman"/>
          <w:u w:val="single"/>
        </w:rPr>
      </w:pPr>
      <w:r w:rsidRPr="004B4482">
        <w:rPr>
          <w:rFonts w:ascii="Times New Roman" w:hAnsi="Times New Roman" w:cs="Times New Roman"/>
          <w:u w:val="single"/>
        </w:rPr>
        <w:t>Bibliography</w:t>
      </w:r>
    </w:p>
    <w:p w14:paraId="612DB01E" w14:textId="5EBCB525" w:rsidR="004B4482" w:rsidRDefault="00990C92" w:rsidP="004B4482">
      <w:pPr>
        <w:spacing w:line="360" w:lineRule="auto"/>
        <w:rPr>
          <w:rFonts w:ascii="Times New Roman" w:hAnsi="Times New Roman" w:cs="Times New Roman"/>
        </w:rPr>
      </w:pPr>
      <w:r>
        <w:rPr>
          <w:rFonts w:ascii="Times New Roman" w:hAnsi="Times New Roman" w:cs="Times New Roman"/>
        </w:rPr>
        <w:t xml:space="preserve">Allen, James P. </w:t>
      </w:r>
      <w:r>
        <w:rPr>
          <w:rFonts w:ascii="Times New Roman" w:hAnsi="Times New Roman" w:cs="Times New Roman"/>
          <w:i/>
          <w:iCs/>
        </w:rPr>
        <w:t>The Ancient Egyptian Pyramid Texts.</w:t>
      </w:r>
      <w:r>
        <w:rPr>
          <w:rFonts w:ascii="Times New Roman" w:hAnsi="Times New Roman" w:cs="Times New Roman"/>
        </w:rPr>
        <w:t xml:space="preserve"> Atlanta: Society of Biblical Literature, 2005</w:t>
      </w:r>
    </w:p>
    <w:p w14:paraId="6D76786F" w14:textId="41C5C7C1" w:rsidR="00990C92" w:rsidRDefault="00B11BE4" w:rsidP="004B4482">
      <w:pPr>
        <w:spacing w:line="360" w:lineRule="auto"/>
        <w:rPr>
          <w:rFonts w:ascii="Times New Roman" w:hAnsi="Times New Roman" w:cs="Times New Roman"/>
        </w:rPr>
      </w:pPr>
      <w:r>
        <w:rPr>
          <w:rFonts w:ascii="Times New Roman" w:hAnsi="Times New Roman" w:cs="Times New Roman"/>
        </w:rPr>
        <w:t xml:space="preserve">Assmann, Jan. </w:t>
      </w:r>
      <w:r>
        <w:rPr>
          <w:rFonts w:ascii="Times New Roman" w:hAnsi="Times New Roman" w:cs="Times New Roman"/>
          <w:i/>
          <w:iCs/>
        </w:rPr>
        <w:t>The Search for God in Ancient Egypt.</w:t>
      </w:r>
      <w:r>
        <w:rPr>
          <w:rFonts w:ascii="Times New Roman" w:hAnsi="Times New Roman" w:cs="Times New Roman"/>
        </w:rPr>
        <w:t xml:space="preserve"> Ithaca: Cornell University Press, 2001. </w:t>
      </w:r>
    </w:p>
    <w:p w14:paraId="4C6322BD" w14:textId="3F79A816" w:rsidR="00B11BE4" w:rsidRDefault="00B11BE4" w:rsidP="004B4482">
      <w:pPr>
        <w:spacing w:line="360" w:lineRule="auto"/>
        <w:rPr>
          <w:rFonts w:ascii="Times New Roman" w:hAnsi="Times New Roman" w:cs="Times New Roman"/>
        </w:rPr>
      </w:pPr>
      <w:r>
        <w:rPr>
          <w:rFonts w:ascii="Times New Roman" w:hAnsi="Times New Roman" w:cs="Times New Roman"/>
        </w:rPr>
        <w:t xml:space="preserve">Hays, Harold M. </w:t>
      </w:r>
      <w:r>
        <w:rPr>
          <w:rFonts w:ascii="Times New Roman" w:hAnsi="Times New Roman" w:cs="Times New Roman"/>
          <w:i/>
          <w:iCs/>
        </w:rPr>
        <w:t xml:space="preserve">The Death of the Democratisation of the Afterlife. </w:t>
      </w:r>
      <w:r>
        <w:rPr>
          <w:rFonts w:ascii="Times New Roman" w:hAnsi="Times New Roman" w:cs="Times New Roman"/>
        </w:rPr>
        <w:t xml:space="preserve">In </w:t>
      </w:r>
      <w:r>
        <w:rPr>
          <w:rFonts w:ascii="Times New Roman" w:hAnsi="Times New Roman" w:cs="Times New Roman"/>
          <w:i/>
          <w:iCs/>
        </w:rPr>
        <w:t>Old Kingdom: New Perspectives. Egyptian Art and Archaeology 2750-2150 BCE,</w:t>
      </w:r>
      <w:r>
        <w:rPr>
          <w:rFonts w:ascii="Times New Roman" w:hAnsi="Times New Roman" w:cs="Times New Roman"/>
        </w:rPr>
        <w:t xml:space="preserve"> pp. 115-130, 2011. </w:t>
      </w:r>
    </w:p>
    <w:p w14:paraId="5212B8B6" w14:textId="08B70E5E" w:rsidR="00B11BE4" w:rsidRDefault="00B11BE4" w:rsidP="004B4482">
      <w:pPr>
        <w:spacing w:line="360" w:lineRule="auto"/>
        <w:rPr>
          <w:rFonts w:ascii="Times New Roman" w:hAnsi="Times New Roman" w:cs="Times New Roman"/>
        </w:rPr>
      </w:pPr>
      <w:r>
        <w:rPr>
          <w:rFonts w:ascii="Times New Roman" w:hAnsi="Times New Roman" w:cs="Times New Roman"/>
        </w:rPr>
        <w:t xml:space="preserve">Morrow, Susan Brind. </w:t>
      </w:r>
      <w:r>
        <w:rPr>
          <w:rFonts w:ascii="Times New Roman" w:hAnsi="Times New Roman" w:cs="Times New Roman"/>
          <w:i/>
          <w:iCs/>
        </w:rPr>
        <w:t xml:space="preserve">The Silver Eye: Unlocking the Pyramid Texts. </w:t>
      </w:r>
      <w:r>
        <w:rPr>
          <w:rFonts w:ascii="Times New Roman" w:hAnsi="Times New Roman" w:cs="Times New Roman"/>
        </w:rPr>
        <w:t xml:space="preserve">Rochester, VT: Inner Traditions, 2005. </w:t>
      </w:r>
    </w:p>
    <w:p w14:paraId="5C78324A" w14:textId="7F52B4CF" w:rsidR="00B11BE4" w:rsidRDefault="00B11BE4" w:rsidP="004B4482">
      <w:pPr>
        <w:spacing w:line="360" w:lineRule="auto"/>
        <w:rPr>
          <w:rFonts w:ascii="Times New Roman" w:hAnsi="Times New Roman" w:cs="Times New Roman"/>
        </w:rPr>
      </w:pPr>
      <w:r>
        <w:rPr>
          <w:rFonts w:ascii="Times New Roman" w:hAnsi="Times New Roman" w:cs="Times New Roman"/>
        </w:rPr>
        <w:t xml:space="preserve">Teeter, Emily. </w:t>
      </w:r>
      <w:r>
        <w:rPr>
          <w:rFonts w:ascii="Times New Roman" w:hAnsi="Times New Roman" w:cs="Times New Roman"/>
          <w:i/>
          <w:iCs/>
        </w:rPr>
        <w:t>Religion and Ritual in Ancient Egypt.</w:t>
      </w:r>
      <w:r>
        <w:rPr>
          <w:rFonts w:ascii="Times New Roman" w:hAnsi="Times New Roman" w:cs="Times New Roman"/>
        </w:rPr>
        <w:t xml:space="preserve"> Cambridge: Cambridge University Press, 2011. </w:t>
      </w:r>
    </w:p>
    <w:p w14:paraId="53B45CB9" w14:textId="092D09AB" w:rsidR="00B11BE4" w:rsidRPr="00B11BE4" w:rsidRDefault="00B11BE4" w:rsidP="004B4482">
      <w:pPr>
        <w:spacing w:line="360" w:lineRule="auto"/>
        <w:rPr>
          <w:rFonts w:ascii="Times New Roman" w:hAnsi="Times New Roman" w:cs="Times New Roman"/>
        </w:rPr>
      </w:pPr>
      <w:proofErr w:type="spellStart"/>
      <w:r>
        <w:rPr>
          <w:rFonts w:ascii="Times New Roman" w:hAnsi="Times New Roman" w:cs="Times New Roman"/>
        </w:rPr>
        <w:lastRenderedPageBreak/>
        <w:t>Maychild</w:t>
      </w:r>
      <w:proofErr w:type="spellEnd"/>
      <w:r>
        <w:rPr>
          <w:rFonts w:ascii="Times New Roman" w:hAnsi="Times New Roman" w:cs="Times New Roman"/>
        </w:rPr>
        <w:t xml:space="preserve">, Rufus. </w:t>
      </w:r>
      <w:r>
        <w:rPr>
          <w:rFonts w:ascii="Times New Roman" w:hAnsi="Times New Roman" w:cs="Times New Roman"/>
          <w:i/>
          <w:iCs/>
        </w:rPr>
        <w:t xml:space="preserve">Discussion Paper – Death and the Afterlife. </w:t>
      </w:r>
      <w:r>
        <w:rPr>
          <w:rFonts w:ascii="Times New Roman" w:hAnsi="Times New Roman" w:cs="Times New Roman"/>
        </w:rPr>
        <w:t xml:space="preserve">Unpublished student paper, </w:t>
      </w:r>
      <w:r w:rsidR="00BD1FAD">
        <w:rPr>
          <w:rFonts w:ascii="Times New Roman" w:hAnsi="Times New Roman" w:cs="Times New Roman"/>
        </w:rPr>
        <w:t xml:space="preserve">HPAH7015: Ancient Egyptian Religion, </w:t>
      </w:r>
      <w:r w:rsidR="00BB4B88">
        <w:rPr>
          <w:rFonts w:ascii="Times New Roman" w:hAnsi="Times New Roman" w:cs="Times New Roman"/>
        </w:rPr>
        <w:t>University</w:t>
      </w:r>
      <w:r w:rsidR="00BD1FAD">
        <w:rPr>
          <w:rFonts w:ascii="Times New Roman" w:hAnsi="Times New Roman" w:cs="Times New Roman"/>
        </w:rPr>
        <w:t xml:space="preserve"> of Wales Trinity St David, 2026. </w:t>
      </w:r>
    </w:p>
    <w:p w14:paraId="1D418024" w14:textId="77777777" w:rsidR="00021B8C" w:rsidRDefault="00021B8C"/>
    <w:sectPr w:rsidR="00021B8C" w:rsidSect="00BB4B88">
      <w:headerReference w:type="default" r:id="rId7"/>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601AA" w14:textId="77777777" w:rsidR="002130B8" w:rsidRDefault="002130B8" w:rsidP="0067115F">
      <w:pPr>
        <w:spacing w:after="0" w:line="240" w:lineRule="auto"/>
      </w:pPr>
      <w:r>
        <w:separator/>
      </w:r>
    </w:p>
  </w:endnote>
  <w:endnote w:type="continuationSeparator" w:id="0">
    <w:p w14:paraId="2ACD15CB" w14:textId="77777777" w:rsidR="002130B8" w:rsidRDefault="002130B8" w:rsidP="00671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9431114"/>
      <w:docPartObj>
        <w:docPartGallery w:val="Page Numbers (Bottom of Page)"/>
        <w:docPartUnique/>
      </w:docPartObj>
    </w:sdtPr>
    <w:sdtContent>
      <w:p w14:paraId="59FA8999" w14:textId="1E6C0FC6" w:rsidR="00163865" w:rsidRDefault="00163865" w:rsidP="00BB4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898313845"/>
      <w:docPartObj>
        <w:docPartGallery w:val="Page Numbers (Bottom of Page)"/>
        <w:docPartUnique/>
      </w:docPartObj>
    </w:sdtPr>
    <w:sdtContent>
      <w:p w14:paraId="70E3E0E9" w14:textId="16C1C269" w:rsidR="00163865" w:rsidRDefault="00163865" w:rsidP="00163865">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273BF69" w14:textId="77777777" w:rsidR="00163865" w:rsidRDefault="00163865" w:rsidP="0016386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0761378"/>
      <w:docPartObj>
        <w:docPartGallery w:val="Page Numbers (Bottom of Page)"/>
        <w:docPartUnique/>
      </w:docPartObj>
    </w:sdtPr>
    <w:sdtContent>
      <w:p w14:paraId="5F91E4DD" w14:textId="6A03171D" w:rsidR="00BB4B88" w:rsidRDefault="00BB4B88" w:rsidP="00D345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56915" w14:textId="0560A4F4" w:rsidR="005166D4" w:rsidRDefault="005166D4" w:rsidP="005166D4">
    <w:pPr>
      <w:pStyle w:val="Footer"/>
      <w:framePr w:wrap="notBeside" w:vAnchor="text" w:hAnchor="margin" w:xAlign="right" w:y="1"/>
      <w:ind w:right="360"/>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F2CDB" w14:textId="77777777" w:rsidR="002130B8" w:rsidRDefault="002130B8" w:rsidP="0067115F">
      <w:pPr>
        <w:spacing w:after="0" w:line="240" w:lineRule="auto"/>
      </w:pPr>
      <w:r>
        <w:separator/>
      </w:r>
    </w:p>
  </w:footnote>
  <w:footnote w:type="continuationSeparator" w:id="0">
    <w:p w14:paraId="0E42666F" w14:textId="77777777" w:rsidR="002130B8" w:rsidRDefault="002130B8" w:rsidP="0067115F">
      <w:pPr>
        <w:spacing w:after="0" w:line="240" w:lineRule="auto"/>
      </w:pPr>
      <w:r>
        <w:continuationSeparator/>
      </w:r>
    </w:p>
  </w:footnote>
  <w:footnote w:id="1">
    <w:p w14:paraId="7A99911F" w14:textId="6C0C8DBD" w:rsidR="00F1081A" w:rsidRPr="005166D4" w:rsidRDefault="00F1081A">
      <w:pPr>
        <w:pStyle w:val="FootnoteText"/>
        <w:rPr>
          <w:rFonts w:ascii="Times New Roman" w:hAnsi="Times New Roman" w:cs="Times New Roman"/>
        </w:rPr>
      </w:pPr>
      <w:r w:rsidRPr="005166D4">
        <w:rPr>
          <w:rStyle w:val="FootnoteReference"/>
          <w:rFonts w:ascii="Times New Roman" w:hAnsi="Times New Roman" w:cs="Times New Roman"/>
        </w:rPr>
        <w:footnoteRef/>
      </w:r>
      <w:r w:rsidRPr="005166D4">
        <w:rPr>
          <w:rFonts w:ascii="Times New Roman" w:hAnsi="Times New Roman" w:cs="Times New Roman"/>
        </w:rPr>
        <w:t xml:space="preserve"> </w:t>
      </w:r>
      <w:r w:rsidR="004B4482" w:rsidRPr="005166D4">
        <w:rPr>
          <w:rFonts w:ascii="Times New Roman" w:hAnsi="Times New Roman" w:cs="Times New Roman"/>
        </w:rPr>
        <w:t xml:space="preserve">Emily Teeter, </w:t>
      </w:r>
      <w:r w:rsidR="004B4482" w:rsidRPr="005166D4">
        <w:rPr>
          <w:rFonts w:ascii="Times New Roman" w:hAnsi="Times New Roman" w:cs="Times New Roman"/>
          <w:i/>
          <w:iCs/>
        </w:rPr>
        <w:t>Religion and Ritual in Ancient Egypt</w:t>
      </w:r>
      <w:r w:rsidR="004B4482" w:rsidRPr="005166D4">
        <w:rPr>
          <w:rFonts w:ascii="Times New Roman" w:hAnsi="Times New Roman" w:cs="Times New Roman"/>
        </w:rPr>
        <w:t xml:space="preserve"> (Cambridge: Cambridge University Press, 2011), p198.</w:t>
      </w:r>
    </w:p>
  </w:footnote>
  <w:footnote w:id="2">
    <w:p w14:paraId="64E0D69B" w14:textId="4DE00A1C" w:rsidR="004B4482" w:rsidRPr="005166D4" w:rsidRDefault="004B4482">
      <w:pPr>
        <w:pStyle w:val="FootnoteText"/>
        <w:rPr>
          <w:rFonts w:ascii="Times New Roman" w:hAnsi="Times New Roman" w:cs="Times New Roman"/>
        </w:rPr>
      </w:pPr>
      <w:r w:rsidRPr="005166D4">
        <w:rPr>
          <w:rStyle w:val="FootnoteReference"/>
          <w:rFonts w:ascii="Times New Roman" w:hAnsi="Times New Roman" w:cs="Times New Roman"/>
        </w:rPr>
        <w:footnoteRef/>
      </w:r>
      <w:r w:rsidRPr="005166D4">
        <w:rPr>
          <w:rFonts w:ascii="Times New Roman" w:hAnsi="Times New Roman" w:cs="Times New Roman"/>
        </w:rPr>
        <w:t xml:space="preserve"> Rufus Maychild, </w:t>
      </w:r>
      <w:r w:rsidRPr="005166D4">
        <w:rPr>
          <w:rFonts w:ascii="Times New Roman" w:hAnsi="Times New Roman" w:cs="Times New Roman"/>
          <w:i/>
          <w:iCs/>
        </w:rPr>
        <w:t>Discussion Paper – Death and the Afterlife.</w:t>
      </w:r>
      <w:r w:rsidRPr="005166D4">
        <w:rPr>
          <w:rFonts w:ascii="Times New Roman" w:hAnsi="Times New Roman" w:cs="Times New Roman"/>
        </w:rPr>
        <w:t xml:space="preserve"> Unpublished student paper, </w:t>
      </w:r>
      <w:r w:rsidR="00BD1FAD" w:rsidRPr="005166D4">
        <w:rPr>
          <w:rFonts w:ascii="Times New Roman" w:hAnsi="Times New Roman" w:cs="Times New Roman"/>
        </w:rPr>
        <w:t>HPAH7015: Ancient Egyptian Religion</w:t>
      </w:r>
      <w:r w:rsidRPr="005166D4">
        <w:rPr>
          <w:rFonts w:ascii="Times New Roman" w:hAnsi="Times New Roman" w:cs="Times New Roman"/>
        </w:rPr>
        <w:t xml:space="preserve">, University of Wales Trinity St David, 2026. </w:t>
      </w:r>
    </w:p>
  </w:footnote>
  <w:footnote w:id="3">
    <w:p w14:paraId="6ECABB2A" w14:textId="4B2462DB" w:rsidR="004B4482" w:rsidRPr="004B4482" w:rsidRDefault="004B4482">
      <w:pPr>
        <w:pStyle w:val="FootnoteText"/>
      </w:pPr>
      <w:r w:rsidRPr="005166D4">
        <w:rPr>
          <w:rStyle w:val="FootnoteReference"/>
          <w:rFonts w:ascii="Times New Roman" w:hAnsi="Times New Roman" w:cs="Times New Roman"/>
        </w:rPr>
        <w:footnoteRef/>
      </w:r>
      <w:r w:rsidRPr="005166D4">
        <w:rPr>
          <w:rFonts w:ascii="Times New Roman" w:hAnsi="Times New Roman" w:cs="Times New Roman"/>
        </w:rPr>
        <w:t xml:space="preserve"> Teeter, </w:t>
      </w:r>
      <w:r w:rsidRPr="005166D4">
        <w:rPr>
          <w:rFonts w:ascii="Times New Roman" w:hAnsi="Times New Roman" w:cs="Times New Roman"/>
          <w:i/>
          <w:iCs/>
        </w:rPr>
        <w:t>Religion and Ritual</w:t>
      </w:r>
      <w:r w:rsidRPr="005166D4">
        <w:rPr>
          <w:rFonts w:ascii="Times New Roman" w:hAnsi="Times New Roman" w:cs="Times New Roman"/>
        </w:rPr>
        <w:t>, p4.</w:t>
      </w:r>
      <w:r>
        <w:t xml:space="preserve"> </w:t>
      </w:r>
    </w:p>
  </w:footnote>
  <w:footnote w:id="4">
    <w:p w14:paraId="3D30DE05" w14:textId="50A2F29F" w:rsidR="004B4482" w:rsidRPr="005166D4" w:rsidRDefault="004B4482">
      <w:pPr>
        <w:pStyle w:val="FootnoteText"/>
        <w:rPr>
          <w:rFonts w:ascii="Times New Roman" w:hAnsi="Times New Roman" w:cs="Times New Roman"/>
        </w:rPr>
      </w:pPr>
      <w:r w:rsidRPr="005166D4">
        <w:rPr>
          <w:rStyle w:val="FootnoteReference"/>
          <w:rFonts w:ascii="Times New Roman" w:hAnsi="Times New Roman" w:cs="Times New Roman"/>
        </w:rPr>
        <w:footnoteRef/>
      </w:r>
      <w:r w:rsidRPr="005166D4">
        <w:rPr>
          <w:rFonts w:ascii="Times New Roman" w:hAnsi="Times New Roman" w:cs="Times New Roman"/>
        </w:rPr>
        <w:t xml:space="preserve"> Ibid</w:t>
      </w:r>
    </w:p>
  </w:footnote>
  <w:footnote w:id="5">
    <w:p w14:paraId="150671E0" w14:textId="73A3B635" w:rsidR="004B4482" w:rsidRPr="005166D4" w:rsidRDefault="004B4482">
      <w:pPr>
        <w:pStyle w:val="FootnoteText"/>
        <w:rPr>
          <w:rFonts w:ascii="Times New Roman" w:hAnsi="Times New Roman" w:cs="Times New Roman"/>
        </w:rPr>
      </w:pPr>
      <w:r w:rsidRPr="005166D4">
        <w:rPr>
          <w:rStyle w:val="FootnoteReference"/>
          <w:rFonts w:ascii="Times New Roman" w:hAnsi="Times New Roman" w:cs="Times New Roman"/>
        </w:rPr>
        <w:footnoteRef/>
      </w:r>
      <w:r w:rsidRPr="005166D4">
        <w:rPr>
          <w:rFonts w:ascii="Times New Roman" w:hAnsi="Times New Roman" w:cs="Times New Roman"/>
        </w:rPr>
        <w:t xml:space="preserve"> Harold M Hays, </w:t>
      </w:r>
      <w:r w:rsidRPr="005166D4">
        <w:rPr>
          <w:rFonts w:ascii="Times New Roman" w:hAnsi="Times New Roman" w:cs="Times New Roman"/>
          <w:i/>
          <w:iCs/>
        </w:rPr>
        <w:t>Death and the Democratisation of the Afterlife</w:t>
      </w:r>
      <w:r w:rsidRPr="005166D4">
        <w:rPr>
          <w:rFonts w:ascii="Times New Roman" w:hAnsi="Times New Roman" w:cs="Times New Roman"/>
        </w:rPr>
        <w:t xml:space="preserve">, in </w:t>
      </w:r>
      <w:r w:rsidRPr="005166D4">
        <w:rPr>
          <w:rFonts w:ascii="Times New Roman" w:hAnsi="Times New Roman" w:cs="Times New Roman"/>
          <w:i/>
          <w:iCs/>
        </w:rPr>
        <w:t>Old Kingdom: New Perspectives</w:t>
      </w:r>
      <w:r w:rsidRPr="005166D4">
        <w:rPr>
          <w:rFonts w:ascii="Times New Roman" w:hAnsi="Times New Roman" w:cs="Times New Roman"/>
        </w:rPr>
        <w:t xml:space="preserve"> (2011), pp.115-130. </w:t>
      </w:r>
    </w:p>
  </w:footnote>
  <w:footnote w:id="6">
    <w:p w14:paraId="7FAFD586" w14:textId="2B718E0E" w:rsidR="004B4482" w:rsidRPr="004B4482" w:rsidRDefault="004B4482">
      <w:pPr>
        <w:pStyle w:val="FootnoteText"/>
      </w:pPr>
      <w:r w:rsidRPr="005166D4">
        <w:rPr>
          <w:rStyle w:val="FootnoteReference"/>
          <w:rFonts w:ascii="Times New Roman" w:hAnsi="Times New Roman" w:cs="Times New Roman"/>
        </w:rPr>
        <w:footnoteRef/>
      </w:r>
      <w:r w:rsidRPr="005166D4">
        <w:rPr>
          <w:rFonts w:ascii="Times New Roman" w:hAnsi="Times New Roman" w:cs="Times New Roman"/>
        </w:rPr>
        <w:t xml:space="preserve"> Jan Assmann, </w:t>
      </w:r>
      <w:r w:rsidRPr="005166D4">
        <w:rPr>
          <w:rFonts w:ascii="Times New Roman" w:hAnsi="Times New Roman" w:cs="Times New Roman"/>
          <w:i/>
          <w:iCs/>
        </w:rPr>
        <w:t>The Search for God in Ancient Egypt</w:t>
      </w:r>
      <w:r w:rsidRPr="005166D4">
        <w:rPr>
          <w:rFonts w:ascii="Times New Roman" w:hAnsi="Times New Roman" w:cs="Times New Roman"/>
        </w:rPr>
        <w:t xml:space="preserve"> (Ithaca: Cornell University Press, 2001), p.153.</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484B9" w14:textId="408F3921" w:rsidR="0067115F" w:rsidRPr="00721849" w:rsidRDefault="0067115F" w:rsidP="0067115F">
    <w:pPr>
      <w:pStyle w:val="Header"/>
      <w:rPr>
        <w:rFonts w:ascii="Times New Roman" w:hAnsi="Times New Roman" w:cs="Times New Roman"/>
        <w:sz w:val="22"/>
        <w:szCs w:val="22"/>
      </w:rPr>
    </w:pPr>
    <w:r w:rsidRPr="00721849">
      <w:rPr>
        <w:rFonts w:ascii="Times New Roman" w:hAnsi="Times New Roman" w:cs="Times New Roman"/>
        <w:sz w:val="22"/>
        <w:szCs w:val="22"/>
      </w:rPr>
      <w:t>2325315</w:t>
    </w:r>
    <w:r w:rsidRPr="00721849">
      <w:rPr>
        <w:rFonts w:ascii="Times New Roman" w:hAnsi="Times New Roman" w:cs="Times New Roman"/>
        <w:sz w:val="22"/>
        <w:szCs w:val="22"/>
      </w:rPr>
      <w:tab/>
      <w:t xml:space="preserve">Portfolio </w:t>
    </w:r>
    <w:r>
      <w:rPr>
        <w:rFonts w:ascii="Times New Roman" w:hAnsi="Times New Roman" w:cs="Times New Roman"/>
        <w:sz w:val="22"/>
        <w:szCs w:val="22"/>
      </w:rPr>
      <w:t>2</w:t>
    </w:r>
    <w:r w:rsidRPr="00721849">
      <w:rPr>
        <w:rFonts w:ascii="Times New Roman" w:hAnsi="Times New Roman" w:cs="Times New Roman"/>
        <w:sz w:val="22"/>
        <w:szCs w:val="22"/>
      </w:rPr>
      <w:tab/>
      <w:t>HPAH7015</w:t>
    </w:r>
  </w:p>
  <w:p w14:paraId="23208295" w14:textId="313E5D54" w:rsidR="00163865" w:rsidRDefault="001638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15F"/>
    <w:rsid w:val="00021B8C"/>
    <w:rsid w:val="00163865"/>
    <w:rsid w:val="002130B8"/>
    <w:rsid w:val="00350F6D"/>
    <w:rsid w:val="004B4482"/>
    <w:rsid w:val="005166D4"/>
    <w:rsid w:val="0067115F"/>
    <w:rsid w:val="00695884"/>
    <w:rsid w:val="007322C7"/>
    <w:rsid w:val="007C533D"/>
    <w:rsid w:val="00990C92"/>
    <w:rsid w:val="00A123BB"/>
    <w:rsid w:val="00B11BE4"/>
    <w:rsid w:val="00BB4B88"/>
    <w:rsid w:val="00BD1FAD"/>
    <w:rsid w:val="00C36B65"/>
    <w:rsid w:val="00F1081A"/>
    <w:rsid w:val="00F51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D7111"/>
  <w15:chartTrackingRefBased/>
  <w15:docId w15:val="{EEB33FB9-5F39-7E49-9B38-B998525AF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15F"/>
    <w:pPr>
      <w:spacing w:after="160" w:line="278" w:lineRule="auto"/>
    </w:pPr>
  </w:style>
  <w:style w:type="paragraph" w:styleId="Heading1">
    <w:name w:val="heading 1"/>
    <w:basedOn w:val="Normal"/>
    <w:next w:val="Normal"/>
    <w:link w:val="Heading1Char"/>
    <w:uiPriority w:val="9"/>
    <w:qFormat/>
    <w:rsid w:val="0067115F"/>
    <w:pPr>
      <w:keepNext/>
      <w:keepLines/>
      <w:spacing w:before="360" w:after="8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7115F"/>
    <w:pPr>
      <w:keepNext/>
      <w:keepLines/>
      <w:spacing w:before="160" w:after="8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115F"/>
    <w:pPr>
      <w:keepNext/>
      <w:keepLines/>
      <w:spacing w:before="160" w:after="80" w:line="240"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115F"/>
    <w:pPr>
      <w:keepNext/>
      <w:keepLines/>
      <w:spacing w:before="80" w:after="40" w:line="240"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115F"/>
    <w:pPr>
      <w:keepNext/>
      <w:keepLines/>
      <w:spacing w:before="80" w:after="40" w:line="240"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115F"/>
    <w:pPr>
      <w:keepNext/>
      <w:keepLines/>
      <w:spacing w:before="40" w:after="0" w:line="240"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15F"/>
    <w:pPr>
      <w:keepNext/>
      <w:keepLines/>
      <w:spacing w:before="40" w:after="0" w:line="240"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15F"/>
    <w:pPr>
      <w:keepNext/>
      <w:keepLines/>
      <w:spacing w:after="0" w:line="240"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15F"/>
    <w:pPr>
      <w:keepNext/>
      <w:keepLines/>
      <w:spacing w:after="0" w:line="240"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1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711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711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11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11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11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1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1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15F"/>
    <w:rPr>
      <w:rFonts w:eastAsiaTheme="majorEastAsia" w:cstheme="majorBidi"/>
      <w:color w:val="272727" w:themeColor="text1" w:themeTint="D8"/>
    </w:rPr>
  </w:style>
  <w:style w:type="paragraph" w:styleId="Title">
    <w:name w:val="Title"/>
    <w:basedOn w:val="Normal"/>
    <w:next w:val="Normal"/>
    <w:link w:val="TitleChar"/>
    <w:uiPriority w:val="10"/>
    <w:qFormat/>
    <w:rsid w:val="006711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1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15F"/>
    <w:pPr>
      <w:numPr>
        <w:ilvl w:val="1"/>
      </w:numPr>
      <w:spacing w:line="240"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1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15F"/>
    <w:pPr>
      <w:spacing w:before="160" w:line="240" w:lineRule="auto"/>
      <w:jc w:val="center"/>
    </w:pPr>
    <w:rPr>
      <w:i/>
      <w:iCs/>
      <w:color w:val="404040" w:themeColor="text1" w:themeTint="BF"/>
    </w:rPr>
  </w:style>
  <w:style w:type="character" w:customStyle="1" w:styleId="QuoteChar">
    <w:name w:val="Quote Char"/>
    <w:basedOn w:val="DefaultParagraphFont"/>
    <w:link w:val="Quote"/>
    <w:uiPriority w:val="29"/>
    <w:rsid w:val="0067115F"/>
    <w:rPr>
      <w:i/>
      <w:iCs/>
      <w:color w:val="404040" w:themeColor="text1" w:themeTint="BF"/>
    </w:rPr>
  </w:style>
  <w:style w:type="paragraph" w:styleId="ListParagraph">
    <w:name w:val="List Paragraph"/>
    <w:basedOn w:val="Normal"/>
    <w:uiPriority w:val="34"/>
    <w:qFormat/>
    <w:rsid w:val="0067115F"/>
    <w:pPr>
      <w:spacing w:after="0" w:line="240" w:lineRule="auto"/>
      <w:ind w:left="720"/>
      <w:contextualSpacing/>
    </w:pPr>
  </w:style>
  <w:style w:type="character" w:styleId="IntenseEmphasis">
    <w:name w:val="Intense Emphasis"/>
    <w:basedOn w:val="DefaultParagraphFont"/>
    <w:uiPriority w:val="21"/>
    <w:qFormat/>
    <w:rsid w:val="0067115F"/>
    <w:rPr>
      <w:i/>
      <w:iCs/>
      <w:color w:val="2F5496" w:themeColor="accent1" w:themeShade="BF"/>
    </w:rPr>
  </w:style>
  <w:style w:type="paragraph" w:styleId="IntenseQuote">
    <w:name w:val="Intense Quote"/>
    <w:basedOn w:val="Normal"/>
    <w:next w:val="Normal"/>
    <w:link w:val="IntenseQuoteChar"/>
    <w:uiPriority w:val="30"/>
    <w:qFormat/>
    <w:rsid w:val="0067115F"/>
    <w:pPr>
      <w:pBdr>
        <w:top w:val="single" w:sz="4" w:space="10" w:color="2F5496" w:themeColor="accent1" w:themeShade="BF"/>
        <w:bottom w:val="single" w:sz="4" w:space="10" w:color="2F5496" w:themeColor="accent1" w:themeShade="BF"/>
      </w:pBdr>
      <w:spacing w:before="360" w:after="360" w:line="240"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115F"/>
    <w:rPr>
      <w:i/>
      <w:iCs/>
      <w:color w:val="2F5496" w:themeColor="accent1" w:themeShade="BF"/>
    </w:rPr>
  </w:style>
  <w:style w:type="character" w:styleId="IntenseReference">
    <w:name w:val="Intense Reference"/>
    <w:basedOn w:val="DefaultParagraphFont"/>
    <w:uiPriority w:val="32"/>
    <w:qFormat/>
    <w:rsid w:val="0067115F"/>
    <w:rPr>
      <w:b/>
      <w:bCs/>
      <w:smallCaps/>
      <w:color w:val="2F5496" w:themeColor="accent1" w:themeShade="BF"/>
      <w:spacing w:val="5"/>
    </w:rPr>
  </w:style>
  <w:style w:type="paragraph" w:styleId="Header">
    <w:name w:val="header"/>
    <w:basedOn w:val="Normal"/>
    <w:link w:val="HeaderChar"/>
    <w:uiPriority w:val="99"/>
    <w:unhideWhenUsed/>
    <w:rsid w:val="00671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15F"/>
  </w:style>
  <w:style w:type="paragraph" w:styleId="Footer">
    <w:name w:val="footer"/>
    <w:basedOn w:val="Normal"/>
    <w:link w:val="FooterChar"/>
    <w:uiPriority w:val="99"/>
    <w:unhideWhenUsed/>
    <w:rsid w:val="00671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15F"/>
  </w:style>
  <w:style w:type="character" w:styleId="PageNumber">
    <w:name w:val="page number"/>
    <w:basedOn w:val="DefaultParagraphFont"/>
    <w:uiPriority w:val="99"/>
    <w:semiHidden/>
    <w:unhideWhenUsed/>
    <w:rsid w:val="00163865"/>
  </w:style>
  <w:style w:type="paragraph" w:styleId="FootnoteText">
    <w:name w:val="footnote text"/>
    <w:basedOn w:val="Normal"/>
    <w:link w:val="FootnoteTextChar"/>
    <w:uiPriority w:val="99"/>
    <w:semiHidden/>
    <w:unhideWhenUsed/>
    <w:rsid w:val="00F108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81A"/>
    <w:rPr>
      <w:sz w:val="20"/>
      <w:szCs w:val="20"/>
    </w:rPr>
  </w:style>
  <w:style w:type="character" w:styleId="FootnoteReference">
    <w:name w:val="footnote reference"/>
    <w:basedOn w:val="DefaultParagraphFont"/>
    <w:uiPriority w:val="99"/>
    <w:semiHidden/>
    <w:unhideWhenUsed/>
    <w:rsid w:val="00F108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8DC65-FD9D-2647-8FD6-1C07C0B10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4</Pages>
  <Words>682</Words>
  <Characters>3892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Kathleen Early (2525315)</dc:creator>
  <cp:keywords/>
  <dc:description/>
  <cp:lastModifiedBy>Hannah Kathleen Early (2525315)</cp:lastModifiedBy>
  <cp:revision>3</cp:revision>
  <dcterms:created xsi:type="dcterms:W3CDTF">2026-03-25T11:02:00Z</dcterms:created>
  <dcterms:modified xsi:type="dcterms:W3CDTF">2026-03-25T12:28:00Z</dcterms:modified>
</cp:coreProperties>
</file>