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3BE08" w14:textId="77777777" w:rsidR="00260826" w:rsidRDefault="00260826" w:rsidP="00EB08DA"/>
    <w:p w14:paraId="738B9474" w14:textId="4FE01589" w:rsidR="00260826" w:rsidRPr="00260826" w:rsidRDefault="00C31D46" w:rsidP="00C31D46">
      <w:pPr>
        <w:jc w:val="center"/>
        <w:rPr>
          <w:rFonts w:ascii="Arial" w:hAnsi="Arial" w:cs="Arial"/>
          <w:b/>
          <w:bCs/>
          <w:sz w:val="44"/>
          <w:szCs w:val="44"/>
        </w:rPr>
      </w:pPr>
      <w:r w:rsidRPr="00C31D46">
        <w:rPr>
          <w:rFonts w:ascii="Arial" w:hAnsi="Arial" w:cs="Arial"/>
          <w:b/>
          <w:bCs/>
          <w:sz w:val="44"/>
          <w:szCs w:val="44"/>
        </w:rPr>
        <w:t>Report</w:t>
      </w:r>
    </w:p>
    <w:p w14:paraId="4CCB1110" w14:textId="77777777" w:rsidR="00260826" w:rsidRPr="00260826" w:rsidRDefault="00260826" w:rsidP="00260826">
      <w:pPr>
        <w:rPr>
          <w:b/>
          <w:bCs/>
        </w:rPr>
      </w:pPr>
    </w:p>
    <w:p w14:paraId="255A7472" w14:textId="77777777" w:rsidR="00260826" w:rsidRPr="00260826" w:rsidRDefault="00260826" w:rsidP="00260826">
      <w:pPr>
        <w:rPr>
          <w:b/>
          <w:bCs/>
        </w:rPr>
      </w:pPr>
    </w:p>
    <w:p w14:paraId="1A3206E4" w14:textId="77777777" w:rsidR="00260826" w:rsidRPr="00260826" w:rsidRDefault="00260826" w:rsidP="00260826">
      <w:pPr>
        <w:rPr>
          <w:b/>
          <w:bCs/>
        </w:rPr>
      </w:pPr>
    </w:p>
    <w:p w14:paraId="0C3F2BA1" w14:textId="77777777" w:rsidR="00260826" w:rsidRPr="00260826" w:rsidRDefault="00260826" w:rsidP="00260826">
      <w:pPr>
        <w:rPr>
          <w:b/>
          <w:bCs/>
        </w:rPr>
      </w:pPr>
      <w:r w:rsidRPr="00260826">
        <w:drawing>
          <wp:anchor distT="0" distB="0" distL="114300" distR="114300" simplePos="0" relativeHeight="251659264" behindDoc="0" locked="0" layoutInCell="1" allowOverlap="1" wp14:anchorId="49299026" wp14:editId="5A8BD6C6">
            <wp:simplePos x="0" y="0"/>
            <wp:positionH relativeFrom="margin">
              <wp:posOffset>1528445</wp:posOffset>
            </wp:positionH>
            <wp:positionV relativeFrom="paragraph">
              <wp:posOffset>81280</wp:posOffset>
            </wp:positionV>
            <wp:extent cx="2865755" cy="1432560"/>
            <wp:effectExtent l="0" t="0" r="0" b="0"/>
            <wp:wrapThrough wrapText="bothSides">
              <wp:wrapPolygon edited="0">
                <wp:start x="0" y="0"/>
                <wp:lineTo x="0" y="21255"/>
                <wp:lineTo x="21394" y="21255"/>
                <wp:lineTo x="21394" y="0"/>
                <wp:lineTo x="0" y="0"/>
              </wp:wrapPolygon>
            </wp:wrapThrough>
            <wp:docPr id="1108851680" name="Picture 2"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font, logo, symb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5755" cy="1432560"/>
                    </a:xfrm>
                    <a:prstGeom prst="rect">
                      <a:avLst/>
                    </a:prstGeom>
                    <a:noFill/>
                  </pic:spPr>
                </pic:pic>
              </a:graphicData>
            </a:graphic>
            <wp14:sizeRelH relativeFrom="margin">
              <wp14:pctWidth>0</wp14:pctWidth>
            </wp14:sizeRelH>
            <wp14:sizeRelV relativeFrom="margin">
              <wp14:pctHeight>0</wp14:pctHeight>
            </wp14:sizeRelV>
          </wp:anchor>
        </w:drawing>
      </w:r>
    </w:p>
    <w:p w14:paraId="6E7967F2" w14:textId="77777777" w:rsidR="00260826" w:rsidRPr="00260826" w:rsidRDefault="00260826" w:rsidP="00260826">
      <w:pPr>
        <w:rPr>
          <w:b/>
          <w:bCs/>
        </w:rPr>
      </w:pPr>
    </w:p>
    <w:p w14:paraId="4295B26A" w14:textId="77777777" w:rsidR="00260826" w:rsidRPr="00260826" w:rsidRDefault="00260826" w:rsidP="00260826">
      <w:pPr>
        <w:rPr>
          <w:b/>
          <w:bCs/>
        </w:rPr>
      </w:pPr>
    </w:p>
    <w:p w14:paraId="03EA5DF5" w14:textId="77777777" w:rsidR="00260826" w:rsidRPr="00260826" w:rsidRDefault="00260826" w:rsidP="00260826">
      <w:pPr>
        <w:rPr>
          <w:b/>
          <w:bCs/>
        </w:rPr>
      </w:pPr>
    </w:p>
    <w:p w14:paraId="5123447D" w14:textId="77777777" w:rsidR="00260826" w:rsidRPr="00260826" w:rsidRDefault="00260826" w:rsidP="00260826">
      <w:pPr>
        <w:rPr>
          <w:b/>
          <w:bCs/>
        </w:rPr>
      </w:pPr>
    </w:p>
    <w:p w14:paraId="510749FF" w14:textId="77777777" w:rsidR="00260826" w:rsidRPr="00260826" w:rsidRDefault="00260826" w:rsidP="00260826">
      <w:pPr>
        <w:rPr>
          <w:b/>
          <w:bCs/>
        </w:rPr>
      </w:pPr>
    </w:p>
    <w:p w14:paraId="1FAEACA2" w14:textId="77777777" w:rsidR="00260826" w:rsidRPr="00260826" w:rsidRDefault="00260826" w:rsidP="00260826">
      <w:pPr>
        <w:rPr>
          <w:b/>
          <w:bCs/>
        </w:rPr>
      </w:pPr>
    </w:p>
    <w:p w14:paraId="0B217309" w14:textId="77777777" w:rsidR="00260826" w:rsidRPr="00260826" w:rsidRDefault="00260826" w:rsidP="00260826">
      <w:pPr>
        <w:rPr>
          <w:b/>
          <w:bCs/>
        </w:rPr>
      </w:pPr>
    </w:p>
    <w:p w14:paraId="1D46CBE1" w14:textId="77777777" w:rsidR="00260826" w:rsidRPr="00260826" w:rsidRDefault="00260826" w:rsidP="00260826">
      <w:pPr>
        <w:rPr>
          <w:b/>
          <w:bCs/>
        </w:rPr>
      </w:pPr>
    </w:p>
    <w:p w14:paraId="400845A3" w14:textId="77777777" w:rsidR="00260826" w:rsidRPr="00260826" w:rsidRDefault="00260826" w:rsidP="00260826">
      <w:pPr>
        <w:rPr>
          <w:b/>
          <w:bCs/>
          <w:sz w:val="32"/>
          <w:szCs w:val="32"/>
        </w:rPr>
      </w:pPr>
    </w:p>
    <w:p w14:paraId="18646252" w14:textId="77777777" w:rsidR="00260826" w:rsidRPr="00260826" w:rsidRDefault="00260826" w:rsidP="00260826">
      <w:pPr>
        <w:numPr>
          <w:ilvl w:val="0"/>
          <w:numId w:val="1"/>
        </w:numPr>
        <w:rPr>
          <w:b/>
          <w:bCs/>
          <w:sz w:val="32"/>
          <w:szCs w:val="32"/>
        </w:rPr>
      </w:pPr>
      <w:r w:rsidRPr="00260826">
        <w:rPr>
          <w:b/>
          <w:bCs/>
          <w:sz w:val="32"/>
          <w:szCs w:val="32"/>
        </w:rPr>
        <w:t>Madalin Mihai Simion</w:t>
      </w:r>
    </w:p>
    <w:p w14:paraId="5E1CB10A" w14:textId="77777777" w:rsidR="00260826" w:rsidRPr="00260826" w:rsidRDefault="00260826" w:rsidP="00260826">
      <w:pPr>
        <w:numPr>
          <w:ilvl w:val="0"/>
          <w:numId w:val="1"/>
        </w:numPr>
        <w:rPr>
          <w:b/>
          <w:bCs/>
          <w:sz w:val="32"/>
          <w:szCs w:val="32"/>
        </w:rPr>
      </w:pPr>
      <w:r w:rsidRPr="00260826">
        <w:rPr>
          <w:b/>
          <w:bCs/>
          <w:sz w:val="32"/>
          <w:szCs w:val="32"/>
        </w:rPr>
        <w:t>2246328</w:t>
      </w:r>
    </w:p>
    <w:p w14:paraId="0DC0B0E4" w14:textId="77777777" w:rsidR="00260826" w:rsidRPr="00260826" w:rsidRDefault="00260826" w:rsidP="00260826">
      <w:pPr>
        <w:numPr>
          <w:ilvl w:val="0"/>
          <w:numId w:val="1"/>
        </w:numPr>
        <w:rPr>
          <w:b/>
          <w:bCs/>
          <w:sz w:val="32"/>
          <w:szCs w:val="32"/>
        </w:rPr>
      </w:pPr>
      <w:r w:rsidRPr="00260826">
        <w:rPr>
          <w:b/>
          <w:bCs/>
          <w:sz w:val="32"/>
          <w:szCs w:val="32"/>
        </w:rPr>
        <w:t xml:space="preserve">Sustainable Hospitality &amp; Tourism Management (BMIH 5006) </w:t>
      </w:r>
    </w:p>
    <w:p w14:paraId="344ECFA7" w14:textId="77777777" w:rsidR="00260826" w:rsidRPr="00260826" w:rsidRDefault="00260826" w:rsidP="00260826">
      <w:pPr>
        <w:numPr>
          <w:ilvl w:val="0"/>
          <w:numId w:val="1"/>
        </w:numPr>
        <w:rPr>
          <w:b/>
          <w:bCs/>
          <w:sz w:val="32"/>
          <w:szCs w:val="32"/>
        </w:rPr>
      </w:pPr>
      <w:r w:rsidRPr="00260826">
        <w:rPr>
          <w:b/>
          <w:bCs/>
          <w:sz w:val="32"/>
          <w:szCs w:val="32"/>
        </w:rPr>
        <w:t>Kathryn Roberts</w:t>
      </w:r>
    </w:p>
    <w:p w14:paraId="4E8115AE" w14:textId="6C7683BB" w:rsidR="00260826" w:rsidRPr="00260826" w:rsidRDefault="00260826" w:rsidP="00260826">
      <w:pPr>
        <w:numPr>
          <w:ilvl w:val="0"/>
          <w:numId w:val="1"/>
        </w:numPr>
        <w:rPr>
          <w:b/>
          <w:bCs/>
          <w:sz w:val="32"/>
          <w:szCs w:val="32"/>
        </w:rPr>
      </w:pPr>
      <w:r w:rsidRPr="00260826">
        <w:rPr>
          <w:b/>
          <w:bCs/>
          <w:sz w:val="32"/>
          <w:szCs w:val="32"/>
        </w:rPr>
        <w:t>Word count: 2</w:t>
      </w:r>
      <w:r>
        <w:rPr>
          <w:b/>
          <w:bCs/>
          <w:sz w:val="32"/>
          <w:szCs w:val="32"/>
        </w:rPr>
        <w:t>0</w:t>
      </w:r>
      <w:r w:rsidR="003336F4">
        <w:rPr>
          <w:b/>
          <w:bCs/>
          <w:sz w:val="32"/>
          <w:szCs w:val="32"/>
        </w:rPr>
        <w:t>07</w:t>
      </w:r>
    </w:p>
    <w:p w14:paraId="0965CF70" w14:textId="77777777" w:rsidR="00260826" w:rsidRDefault="00260826" w:rsidP="00EB08DA"/>
    <w:p w14:paraId="53CAEF36" w14:textId="77777777" w:rsidR="00260826" w:rsidRDefault="00260826" w:rsidP="00EB08DA"/>
    <w:p w14:paraId="7A31BAB8" w14:textId="77777777" w:rsidR="00260826" w:rsidRDefault="00260826" w:rsidP="00EB08DA"/>
    <w:p w14:paraId="179F0DDB" w14:textId="77777777" w:rsidR="00260826" w:rsidRDefault="00260826" w:rsidP="00EB08DA"/>
    <w:p w14:paraId="6A33F565" w14:textId="77777777" w:rsidR="00260826" w:rsidRDefault="00260826" w:rsidP="00EB08DA"/>
    <w:p w14:paraId="25FE34F8" w14:textId="77777777" w:rsidR="00260826" w:rsidRDefault="00260826" w:rsidP="00EB08DA"/>
    <w:p w14:paraId="307EAA69" w14:textId="77777777" w:rsidR="00260826" w:rsidRDefault="00260826" w:rsidP="00EB08DA"/>
    <w:p w14:paraId="1D43EBC4" w14:textId="77777777" w:rsidR="00260826" w:rsidRDefault="00260826" w:rsidP="00EB08DA"/>
    <w:p w14:paraId="449F4875" w14:textId="77777777" w:rsidR="00260826" w:rsidRDefault="00260826" w:rsidP="00EB08DA"/>
    <w:p w14:paraId="1227D1B0" w14:textId="77777777" w:rsidR="00DB6CB8" w:rsidRDefault="00DB6CB8" w:rsidP="00EB08DA"/>
    <w:p w14:paraId="06D02890" w14:textId="77777777" w:rsidR="00DB6CB8" w:rsidRDefault="00DB6CB8" w:rsidP="00DB6CB8">
      <w:pPr>
        <w:pStyle w:val="headsty"/>
      </w:pPr>
      <w:bookmarkStart w:id="0" w:name="_Toc192272012"/>
      <w:r w:rsidRPr="00DB6CB8">
        <w:t>Executive Summary</w:t>
      </w:r>
      <w:bookmarkEnd w:id="0"/>
    </w:p>
    <w:p w14:paraId="1EE3F1C0" w14:textId="77777777" w:rsidR="00C31D46" w:rsidRPr="00DB6CB8" w:rsidRDefault="00C31D46" w:rsidP="00DB6CB8">
      <w:pPr>
        <w:pStyle w:val="headsty"/>
      </w:pPr>
    </w:p>
    <w:p w14:paraId="7AB0D9E6" w14:textId="77777777" w:rsidR="00DB6CB8" w:rsidRPr="00260826" w:rsidRDefault="00DB6CB8" w:rsidP="00DB6CB8">
      <w:pPr>
        <w:spacing w:line="360" w:lineRule="auto"/>
        <w:jc w:val="both"/>
        <w:rPr>
          <w:rFonts w:ascii="Arial" w:hAnsi="Arial" w:cs="Arial"/>
          <w:sz w:val="24"/>
          <w:szCs w:val="24"/>
        </w:rPr>
      </w:pPr>
      <w:r w:rsidRPr="00260826">
        <w:rPr>
          <w:rFonts w:ascii="Arial" w:hAnsi="Arial" w:cs="Arial"/>
          <w:sz w:val="24"/>
          <w:szCs w:val="24"/>
        </w:rPr>
        <w:t>This report examines the environmental impact of rail transport in the hospitality industry, focusing on its carbon emissions, noise pollution, and land use challenges. Rail transport, while efficient at 31 g CO2 per passenger kilometre compared to 246 g for air travel, relies heavily on diesel, contributing to emissions. The Alstom Coradia iLINT hydrogen-powered train is proposed as a zero-emission solution, reducing noise and offering a 600 km daily range. The hospitality industry can integrate this technology through partnerships with rail operators, shuttle services, and tourist packages, aligning with Green Accreditation for sustainable tourism. Challenges include high costs and infrastructure needs, but examples like The Pig’s local transport initiatives and IHG’s Green Engage program highlight feasibility. Comparisons with successful corporations like Marriott emphasize the need for change, with benefits including enhanced guest experiences and drawbacks like limited hydrogen networks. Recommendations include incentivizing rail use, advocating for infrastructure, and educating guests, supported by recent studies (e.g., Nature Communications, 2024). This report critically evaluates sustainable tourism linked to Green Accreditation, offering actionable strategies to reduce the hospitality industry’s environmental footprint through innovative rail transport solutions, fostering a greener future for tourism.</w:t>
      </w:r>
    </w:p>
    <w:p w14:paraId="30ED1856" w14:textId="77777777" w:rsidR="00260826" w:rsidRDefault="00260826" w:rsidP="00EB08DA"/>
    <w:p w14:paraId="54E7ABCA" w14:textId="77777777" w:rsidR="00DB6CB8" w:rsidRDefault="00DB6CB8" w:rsidP="00EB08DA"/>
    <w:p w14:paraId="1647D3FA" w14:textId="77777777" w:rsidR="00DB6CB8" w:rsidRDefault="00DB6CB8" w:rsidP="00EB08DA"/>
    <w:p w14:paraId="606E65A4" w14:textId="77777777" w:rsidR="00DB6CB8" w:rsidRDefault="00DB6CB8" w:rsidP="00EB08DA"/>
    <w:p w14:paraId="1C9F8CD1" w14:textId="77777777" w:rsidR="00DB6CB8" w:rsidRDefault="00DB6CB8" w:rsidP="00EB08DA"/>
    <w:p w14:paraId="3A95BCCC" w14:textId="77777777" w:rsidR="00DB6CB8" w:rsidRDefault="00DB6CB8" w:rsidP="00EB08DA"/>
    <w:p w14:paraId="3AB73CA4" w14:textId="77777777" w:rsidR="00DB6CB8" w:rsidRDefault="00DB6CB8" w:rsidP="00EB08DA"/>
    <w:p w14:paraId="2969E26D" w14:textId="77777777" w:rsidR="00DB6CB8" w:rsidRDefault="00DB6CB8" w:rsidP="00EB08DA"/>
    <w:p w14:paraId="1DA8CE3B" w14:textId="77777777" w:rsidR="00260826" w:rsidRDefault="00260826" w:rsidP="00EB08DA"/>
    <w:sdt>
      <w:sdtPr>
        <w:id w:val="187865490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69E5CA1" w14:textId="3E23A776" w:rsidR="00DB6CB8" w:rsidRDefault="00DB6CB8">
          <w:pPr>
            <w:pStyle w:val="TOCHeading"/>
          </w:pPr>
          <w:r>
            <w:t>Contents</w:t>
          </w:r>
        </w:p>
        <w:p w14:paraId="32E6EA58" w14:textId="1AEB4D6C" w:rsidR="00DB6CB8" w:rsidRDefault="00DB6CB8">
          <w:pPr>
            <w:pStyle w:val="TOC1"/>
            <w:tabs>
              <w:tab w:val="right" w:leader="dot" w:pos="9016"/>
            </w:tabs>
            <w:rPr>
              <w:noProof/>
            </w:rPr>
          </w:pPr>
          <w:r>
            <w:fldChar w:fldCharType="begin"/>
          </w:r>
          <w:r>
            <w:instrText xml:space="preserve"> TOC \o "1-3" \h \z \u </w:instrText>
          </w:r>
          <w:r>
            <w:fldChar w:fldCharType="separate"/>
          </w:r>
          <w:hyperlink w:anchor="_Toc192272012" w:history="1">
            <w:r w:rsidRPr="00A11EFD">
              <w:rPr>
                <w:rStyle w:val="Hyperlink"/>
                <w:noProof/>
              </w:rPr>
              <w:t>Executive Summary</w:t>
            </w:r>
            <w:r>
              <w:rPr>
                <w:noProof/>
                <w:webHidden/>
              </w:rPr>
              <w:tab/>
            </w:r>
            <w:r>
              <w:rPr>
                <w:noProof/>
                <w:webHidden/>
              </w:rPr>
              <w:fldChar w:fldCharType="begin"/>
            </w:r>
            <w:r>
              <w:rPr>
                <w:noProof/>
                <w:webHidden/>
              </w:rPr>
              <w:instrText xml:space="preserve"> PAGEREF _Toc192272012 \h </w:instrText>
            </w:r>
            <w:r>
              <w:rPr>
                <w:noProof/>
                <w:webHidden/>
              </w:rPr>
            </w:r>
            <w:r>
              <w:rPr>
                <w:noProof/>
                <w:webHidden/>
              </w:rPr>
              <w:fldChar w:fldCharType="separate"/>
            </w:r>
            <w:r>
              <w:rPr>
                <w:noProof/>
                <w:webHidden/>
              </w:rPr>
              <w:t>2</w:t>
            </w:r>
            <w:r>
              <w:rPr>
                <w:noProof/>
                <w:webHidden/>
              </w:rPr>
              <w:fldChar w:fldCharType="end"/>
            </w:r>
          </w:hyperlink>
        </w:p>
        <w:p w14:paraId="5FB90F2E" w14:textId="098B715A" w:rsidR="00DB6CB8" w:rsidRDefault="00DB6CB8">
          <w:pPr>
            <w:pStyle w:val="TOC1"/>
            <w:tabs>
              <w:tab w:val="right" w:leader="dot" w:pos="9016"/>
            </w:tabs>
            <w:rPr>
              <w:noProof/>
            </w:rPr>
          </w:pPr>
          <w:hyperlink w:anchor="_Toc192272013" w:history="1">
            <w:r w:rsidRPr="00A11EFD">
              <w:rPr>
                <w:rStyle w:val="Hyperlink"/>
                <w:noProof/>
              </w:rPr>
              <w:t>Introduction</w:t>
            </w:r>
            <w:r>
              <w:rPr>
                <w:noProof/>
                <w:webHidden/>
              </w:rPr>
              <w:tab/>
            </w:r>
            <w:r>
              <w:rPr>
                <w:noProof/>
                <w:webHidden/>
              </w:rPr>
              <w:fldChar w:fldCharType="begin"/>
            </w:r>
            <w:r>
              <w:rPr>
                <w:noProof/>
                <w:webHidden/>
              </w:rPr>
              <w:instrText xml:space="preserve"> PAGEREF _Toc192272013 \h </w:instrText>
            </w:r>
            <w:r>
              <w:rPr>
                <w:noProof/>
                <w:webHidden/>
              </w:rPr>
            </w:r>
            <w:r>
              <w:rPr>
                <w:noProof/>
                <w:webHidden/>
              </w:rPr>
              <w:fldChar w:fldCharType="separate"/>
            </w:r>
            <w:r>
              <w:rPr>
                <w:noProof/>
                <w:webHidden/>
              </w:rPr>
              <w:t>3</w:t>
            </w:r>
            <w:r>
              <w:rPr>
                <w:noProof/>
                <w:webHidden/>
              </w:rPr>
              <w:fldChar w:fldCharType="end"/>
            </w:r>
          </w:hyperlink>
        </w:p>
        <w:p w14:paraId="5988300D" w14:textId="6D42B22E" w:rsidR="00DB6CB8" w:rsidRDefault="00DB6CB8">
          <w:pPr>
            <w:pStyle w:val="TOC1"/>
            <w:tabs>
              <w:tab w:val="right" w:leader="dot" w:pos="9016"/>
            </w:tabs>
            <w:rPr>
              <w:noProof/>
            </w:rPr>
          </w:pPr>
          <w:hyperlink w:anchor="_Toc192272014" w:history="1">
            <w:r w:rsidRPr="00A11EFD">
              <w:rPr>
                <w:rStyle w:val="Hyperlink"/>
                <w:noProof/>
              </w:rPr>
              <w:t>Main Findings</w:t>
            </w:r>
            <w:r>
              <w:rPr>
                <w:noProof/>
                <w:webHidden/>
              </w:rPr>
              <w:tab/>
            </w:r>
            <w:r>
              <w:rPr>
                <w:noProof/>
                <w:webHidden/>
              </w:rPr>
              <w:fldChar w:fldCharType="begin"/>
            </w:r>
            <w:r>
              <w:rPr>
                <w:noProof/>
                <w:webHidden/>
              </w:rPr>
              <w:instrText xml:space="preserve"> PAGEREF _Toc192272014 \h </w:instrText>
            </w:r>
            <w:r>
              <w:rPr>
                <w:noProof/>
                <w:webHidden/>
              </w:rPr>
            </w:r>
            <w:r>
              <w:rPr>
                <w:noProof/>
                <w:webHidden/>
              </w:rPr>
              <w:fldChar w:fldCharType="separate"/>
            </w:r>
            <w:r>
              <w:rPr>
                <w:noProof/>
                <w:webHidden/>
              </w:rPr>
              <w:t>3</w:t>
            </w:r>
            <w:r>
              <w:rPr>
                <w:noProof/>
                <w:webHidden/>
              </w:rPr>
              <w:fldChar w:fldCharType="end"/>
            </w:r>
          </w:hyperlink>
        </w:p>
        <w:p w14:paraId="58A8427B" w14:textId="74F73840" w:rsidR="00DB6CB8" w:rsidRDefault="00DB6CB8">
          <w:pPr>
            <w:pStyle w:val="TOC2"/>
            <w:tabs>
              <w:tab w:val="right" w:leader="dot" w:pos="9016"/>
            </w:tabs>
            <w:rPr>
              <w:noProof/>
            </w:rPr>
          </w:pPr>
          <w:hyperlink w:anchor="_Toc192272015" w:history="1">
            <w:r w:rsidRPr="00A11EFD">
              <w:rPr>
                <w:rStyle w:val="Hyperlink"/>
                <w:noProof/>
              </w:rPr>
              <w:t>Environmental Impact of Rail Transport</w:t>
            </w:r>
            <w:r>
              <w:rPr>
                <w:noProof/>
                <w:webHidden/>
              </w:rPr>
              <w:tab/>
            </w:r>
            <w:r>
              <w:rPr>
                <w:noProof/>
                <w:webHidden/>
              </w:rPr>
              <w:fldChar w:fldCharType="begin"/>
            </w:r>
            <w:r>
              <w:rPr>
                <w:noProof/>
                <w:webHidden/>
              </w:rPr>
              <w:instrText xml:space="preserve"> PAGEREF _Toc192272015 \h </w:instrText>
            </w:r>
            <w:r>
              <w:rPr>
                <w:noProof/>
                <w:webHidden/>
              </w:rPr>
            </w:r>
            <w:r>
              <w:rPr>
                <w:noProof/>
                <w:webHidden/>
              </w:rPr>
              <w:fldChar w:fldCharType="separate"/>
            </w:r>
            <w:r>
              <w:rPr>
                <w:noProof/>
                <w:webHidden/>
              </w:rPr>
              <w:t>3</w:t>
            </w:r>
            <w:r>
              <w:rPr>
                <w:noProof/>
                <w:webHidden/>
              </w:rPr>
              <w:fldChar w:fldCharType="end"/>
            </w:r>
          </w:hyperlink>
        </w:p>
        <w:p w14:paraId="4A0B47C4" w14:textId="798258B0" w:rsidR="00DB6CB8" w:rsidRDefault="00DB6CB8">
          <w:pPr>
            <w:pStyle w:val="TOC2"/>
            <w:tabs>
              <w:tab w:val="right" w:leader="dot" w:pos="9016"/>
            </w:tabs>
            <w:rPr>
              <w:noProof/>
            </w:rPr>
          </w:pPr>
          <w:hyperlink w:anchor="_Toc192272016" w:history="1">
            <w:r w:rsidRPr="00A11EFD">
              <w:rPr>
                <w:rStyle w:val="Hyperlink"/>
                <w:noProof/>
              </w:rPr>
              <w:t>Hydrogen-Powered Trains as a Solution</w:t>
            </w:r>
            <w:r>
              <w:rPr>
                <w:noProof/>
                <w:webHidden/>
              </w:rPr>
              <w:tab/>
            </w:r>
            <w:r>
              <w:rPr>
                <w:noProof/>
                <w:webHidden/>
              </w:rPr>
              <w:fldChar w:fldCharType="begin"/>
            </w:r>
            <w:r>
              <w:rPr>
                <w:noProof/>
                <w:webHidden/>
              </w:rPr>
              <w:instrText xml:space="preserve"> PAGEREF _Toc192272016 \h </w:instrText>
            </w:r>
            <w:r>
              <w:rPr>
                <w:noProof/>
                <w:webHidden/>
              </w:rPr>
            </w:r>
            <w:r>
              <w:rPr>
                <w:noProof/>
                <w:webHidden/>
              </w:rPr>
              <w:fldChar w:fldCharType="separate"/>
            </w:r>
            <w:r>
              <w:rPr>
                <w:noProof/>
                <w:webHidden/>
              </w:rPr>
              <w:t>4</w:t>
            </w:r>
            <w:r>
              <w:rPr>
                <w:noProof/>
                <w:webHidden/>
              </w:rPr>
              <w:fldChar w:fldCharType="end"/>
            </w:r>
          </w:hyperlink>
        </w:p>
        <w:p w14:paraId="2DCD174D" w14:textId="22481921" w:rsidR="00DB6CB8" w:rsidRDefault="00DB6CB8">
          <w:pPr>
            <w:pStyle w:val="TOC2"/>
            <w:tabs>
              <w:tab w:val="right" w:leader="dot" w:pos="9016"/>
            </w:tabs>
            <w:rPr>
              <w:noProof/>
            </w:rPr>
          </w:pPr>
          <w:hyperlink w:anchor="_Toc192272017" w:history="1">
            <w:r w:rsidRPr="00A11EFD">
              <w:rPr>
                <w:rStyle w:val="Hyperlink"/>
                <w:rFonts w:cs="Arial"/>
                <w:noProof/>
                <w:spacing w:val="15"/>
              </w:rPr>
              <w:t>Sustainable Tourism and Green Accreditation</w:t>
            </w:r>
            <w:r>
              <w:rPr>
                <w:noProof/>
                <w:webHidden/>
              </w:rPr>
              <w:tab/>
            </w:r>
            <w:r>
              <w:rPr>
                <w:noProof/>
                <w:webHidden/>
              </w:rPr>
              <w:fldChar w:fldCharType="begin"/>
            </w:r>
            <w:r>
              <w:rPr>
                <w:noProof/>
                <w:webHidden/>
              </w:rPr>
              <w:instrText xml:space="preserve"> PAGEREF _Toc192272017 \h </w:instrText>
            </w:r>
            <w:r>
              <w:rPr>
                <w:noProof/>
                <w:webHidden/>
              </w:rPr>
            </w:r>
            <w:r>
              <w:rPr>
                <w:noProof/>
                <w:webHidden/>
              </w:rPr>
              <w:fldChar w:fldCharType="separate"/>
            </w:r>
            <w:r>
              <w:rPr>
                <w:noProof/>
                <w:webHidden/>
              </w:rPr>
              <w:t>6</w:t>
            </w:r>
            <w:r>
              <w:rPr>
                <w:noProof/>
                <w:webHidden/>
              </w:rPr>
              <w:fldChar w:fldCharType="end"/>
            </w:r>
          </w:hyperlink>
        </w:p>
        <w:p w14:paraId="3003AA6F" w14:textId="623DBEEA" w:rsidR="00DB6CB8" w:rsidRDefault="00DB6CB8">
          <w:pPr>
            <w:pStyle w:val="TOC2"/>
            <w:tabs>
              <w:tab w:val="right" w:leader="dot" w:pos="9016"/>
            </w:tabs>
            <w:rPr>
              <w:noProof/>
            </w:rPr>
          </w:pPr>
          <w:hyperlink w:anchor="_Toc192272018" w:history="1">
            <w:r w:rsidRPr="00A11EFD">
              <w:rPr>
                <w:rStyle w:val="Hyperlink"/>
                <w:noProof/>
              </w:rPr>
              <w:t>Industry Examples and Comparisons</w:t>
            </w:r>
            <w:r>
              <w:rPr>
                <w:noProof/>
                <w:webHidden/>
              </w:rPr>
              <w:tab/>
            </w:r>
            <w:r>
              <w:rPr>
                <w:noProof/>
                <w:webHidden/>
              </w:rPr>
              <w:fldChar w:fldCharType="begin"/>
            </w:r>
            <w:r>
              <w:rPr>
                <w:noProof/>
                <w:webHidden/>
              </w:rPr>
              <w:instrText xml:space="preserve"> PAGEREF _Toc192272018 \h </w:instrText>
            </w:r>
            <w:r>
              <w:rPr>
                <w:noProof/>
                <w:webHidden/>
              </w:rPr>
            </w:r>
            <w:r>
              <w:rPr>
                <w:noProof/>
                <w:webHidden/>
              </w:rPr>
              <w:fldChar w:fldCharType="separate"/>
            </w:r>
            <w:r>
              <w:rPr>
                <w:noProof/>
                <w:webHidden/>
              </w:rPr>
              <w:t>7</w:t>
            </w:r>
            <w:r>
              <w:rPr>
                <w:noProof/>
                <w:webHidden/>
              </w:rPr>
              <w:fldChar w:fldCharType="end"/>
            </w:r>
          </w:hyperlink>
        </w:p>
        <w:p w14:paraId="17AE266A" w14:textId="4CA01543" w:rsidR="00DB6CB8" w:rsidRDefault="00DB6CB8">
          <w:pPr>
            <w:pStyle w:val="TOC1"/>
            <w:tabs>
              <w:tab w:val="right" w:leader="dot" w:pos="9016"/>
            </w:tabs>
            <w:rPr>
              <w:noProof/>
            </w:rPr>
          </w:pPr>
          <w:hyperlink w:anchor="_Toc192272019" w:history="1">
            <w:r w:rsidRPr="00A11EFD">
              <w:rPr>
                <w:rStyle w:val="Hyperlink"/>
                <w:noProof/>
              </w:rPr>
              <w:t>Conclusion</w:t>
            </w:r>
            <w:r>
              <w:rPr>
                <w:noProof/>
                <w:webHidden/>
              </w:rPr>
              <w:tab/>
            </w:r>
            <w:r>
              <w:rPr>
                <w:noProof/>
                <w:webHidden/>
              </w:rPr>
              <w:fldChar w:fldCharType="begin"/>
            </w:r>
            <w:r>
              <w:rPr>
                <w:noProof/>
                <w:webHidden/>
              </w:rPr>
              <w:instrText xml:space="preserve"> PAGEREF _Toc192272019 \h </w:instrText>
            </w:r>
            <w:r>
              <w:rPr>
                <w:noProof/>
                <w:webHidden/>
              </w:rPr>
            </w:r>
            <w:r>
              <w:rPr>
                <w:noProof/>
                <w:webHidden/>
              </w:rPr>
              <w:fldChar w:fldCharType="separate"/>
            </w:r>
            <w:r>
              <w:rPr>
                <w:noProof/>
                <w:webHidden/>
              </w:rPr>
              <w:t>8</w:t>
            </w:r>
            <w:r>
              <w:rPr>
                <w:noProof/>
                <w:webHidden/>
              </w:rPr>
              <w:fldChar w:fldCharType="end"/>
            </w:r>
          </w:hyperlink>
        </w:p>
        <w:p w14:paraId="0F046BEE" w14:textId="4CCC3363" w:rsidR="00DB6CB8" w:rsidRDefault="00DB6CB8">
          <w:pPr>
            <w:pStyle w:val="TOC1"/>
            <w:tabs>
              <w:tab w:val="right" w:leader="dot" w:pos="9016"/>
            </w:tabs>
            <w:rPr>
              <w:noProof/>
            </w:rPr>
          </w:pPr>
          <w:hyperlink w:anchor="_Toc192272020" w:history="1">
            <w:r w:rsidRPr="00A11EFD">
              <w:rPr>
                <w:rStyle w:val="Hyperlink"/>
                <w:noProof/>
              </w:rPr>
              <w:t>Recommendations</w:t>
            </w:r>
            <w:r>
              <w:rPr>
                <w:noProof/>
                <w:webHidden/>
              </w:rPr>
              <w:tab/>
            </w:r>
            <w:r>
              <w:rPr>
                <w:noProof/>
                <w:webHidden/>
              </w:rPr>
              <w:fldChar w:fldCharType="begin"/>
            </w:r>
            <w:r>
              <w:rPr>
                <w:noProof/>
                <w:webHidden/>
              </w:rPr>
              <w:instrText xml:space="preserve"> PAGEREF _Toc192272020 \h </w:instrText>
            </w:r>
            <w:r>
              <w:rPr>
                <w:noProof/>
                <w:webHidden/>
              </w:rPr>
            </w:r>
            <w:r>
              <w:rPr>
                <w:noProof/>
                <w:webHidden/>
              </w:rPr>
              <w:fldChar w:fldCharType="separate"/>
            </w:r>
            <w:r>
              <w:rPr>
                <w:noProof/>
                <w:webHidden/>
              </w:rPr>
              <w:t>8</w:t>
            </w:r>
            <w:r>
              <w:rPr>
                <w:noProof/>
                <w:webHidden/>
              </w:rPr>
              <w:fldChar w:fldCharType="end"/>
            </w:r>
          </w:hyperlink>
        </w:p>
        <w:p w14:paraId="37AD3E83" w14:textId="6AD46283" w:rsidR="00DB6CB8" w:rsidRDefault="00DB6CB8">
          <w:pPr>
            <w:pStyle w:val="TOC1"/>
            <w:tabs>
              <w:tab w:val="right" w:leader="dot" w:pos="9016"/>
            </w:tabs>
            <w:rPr>
              <w:noProof/>
            </w:rPr>
          </w:pPr>
          <w:hyperlink w:anchor="_Toc192272021" w:history="1">
            <w:r w:rsidRPr="00A11EFD">
              <w:rPr>
                <w:rStyle w:val="Hyperlink"/>
                <w:noProof/>
              </w:rPr>
              <w:t>Reference List</w:t>
            </w:r>
            <w:r>
              <w:rPr>
                <w:noProof/>
                <w:webHidden/>
              </w:rPr>
              <w:tab/>
            </w:r>
            <w:r>
              <w:rPr>
                <w:noProof/>
                <w:webHidden/>
              </w:rPr>
              <w:fldChar w:fldCharType="begin"/>
            </w:r>
            <w:r>
              <w:rPr>
                <w:noProof/>
                <w:webHidden/>
              </w:rPr>
              <w:instrText xml:space="preserve"> PAGEREF _Toc192272021 \h </w:instrText>
            </w:r>
            <w:r>
              <w:rPr>
                <w:noProof/>
                <w:webHidden/>
              </w:rPr>
            </w:r>
            <w:r>
              <w:rPr>
                <w:noProof/>
                <w:webHidden/>
              </w:rPr>
              <w:fldChar w:fldCharType="separate"/>
            </w:r>
            <w:r>
              <w:rPr>
                <w:noProof/>
                <w:webHidden/>
              </w:rPr>
              <w:t>9</w:t>
            </w:r>
            <w:r>
              <w:rPr>
                <w:noProof/>
                <w:webHidden/>
              </w:rPr>
              <w:fldChar w:fldCharType="end"/>
            </w:r>
          </w:hyperlink>
        </w:p>
        <w:p w14:paraId="345486D9" w14:textId="0C43F226" w:rsidR="00DB6CB8" w:rsidRPr="00DB6CB8" w:rsidRDefault="00DB6CB8">
          <w:pPr>
            <w:rPr>
              <w:b/>
              <w:bCs/>
              <w:noProof/>
            </w:rPr>
          </w:pPr>
          <w:r>
            <w:rPr>
              <w:b/>
              <w:bCs/>
              <w:noProof/>
            </w:rPr>
            <w:fldChar w:fldCharType="end"/>
          </w:r>
        </w:p>
      </w:sdtContent>
    </w:sdt>
    <w:p w14:paraId="75C0762A" w14:textId="77777777" w:rsidR="00DB6CB8" w:rsidRDefault="00DB6CB8" w:rsidP="00260826">
      <w:pPr>
        <w:spacing w:line="360" w:lineRule="auto"/>
        <w:jc w:val="both"/>
        <w:rPr>
          <w:rFonts w:ascii="Arial" w:hAnsi="Arial" w:cs="Arial"/>
          <w:sz w:val="24"/>
          <w:szCs w:val="24"/>
        </w:rPr>
      </w:pPr>
    </w:p>
    <w:p w14:paraId="15CB3517" w14:textId="77777777" w:rsidR="00DB6CB8" w:rsidRDefault="00DB6CB8" w:rsidP="00260826">
      <w:pPr>
        <w:spacing w:line="360" w:lineRule="auto"/>
        <w:jc w:val="both"/>
        <w:rPr>
          <w:rFonts w:ascii="Arial" w:hAnsi="Arial" w:cs="Arial"/>
          <w:sz w:val="24"/>
          <w:szCs w:val="24"/>
        </w:rPr>
      </w:pPr>
    </w:p>
    <w:p w14:paraId="036988BA" w14:textId="77777777" w:rsidR="00DB6CB8" w:rsidRDefault="00DB6CB8" w:rsidP="00260826">
      <w:pPr>
        <w:spacing w:line="360" w:lineRule="auto"/>
        <w:jc w:val="both"/>
        <w:rPr>
          <w:rFonts w:ascii="Arial" w:hAnsi="Arial" w:cs="Arial"/>
          <w:sz w:val="24"/>
          <w:szCs w:val="24"/>
        </w:rPr>
      </w:pPr>
    </w:p>
    <w:p w14:paraId="317F7D14" w14:textId="77777777" w:rsidR="00DB6CB8" w:rsidRDefault="00DB6CB8" w:rsidP="00260826">
      <w:pPr>
        <w:spacing w:line="360" w:lineRule="auto"/>
        <w:jc w:val="both"/>
        <w:rPr>
          <w:rFonts w:ascii="Arial" w:hAnsi="Arial" w:cs="Arial"/>
          <w:sz w:val="24"/>
          <w:szCs w:val="24"/>
        </w:rPr>
      </w:pPr>
    </w:p>
    <w:p w14:paraId="14EB773D" w14:textId="77777777" w:rsidR="00DB6CB8" w:rsidRDefault="00DB6CB8" w:rsidP="00260826">
      <w:pPr>
        <w:spacing w:line="360" w:lineRule="auto"/>
        <w:jc w:val="both"/>
        <w:rPr>
          <w:rFonts w:ascii="Arial" w:hAnsi="Arial" w:cs="Arial"/>
          <w:sz w:val="24"/>
          <w:szCs w:val="24"/>
        </w:rPr>
      </w:pPr>
    </w:p>
    <w:p w14:paraId="6CAD3B65" w14:textId="77777777" w:rsidR="00DB6CB8" w:rsidRDefault="00DB6CB8" w:rsidP="00260826">
      <w:pPr>
        <w:spacing w:line="360" w:lineRule="auto"/>
        <w:jc w:val="both"/>
        <w:rPr>
          <w:rFonts w:ascii="Arial" w:hAnsi="Arial" w:cs="Arial"/>
          <w:sz w:val="24"/>
          <w:szCs w:val="24"/>
        </w:rPr>
      </w:pPr>
    </w:p>
    <w:p w14:paraId="773AAAA1" w14:textId="77777777" w:rsidR="00DB6CB8" w:rsidRDefault="00DB6CB8" w:rsidP="00260826">
      <w:pPr>
        <w:spacing w:line="360" w:lineRule="auto"/>
        <w:jc w:val="both"/>
        <w:rPr>
          <w:rFonts w:ascii="Arial" w:hAnsi="Arial" w:cs="Arial"/>
          <w:sz w:val="24"/>
          <w:szCs w:val="24"/>
        </w:rPr>
      </w:pPr>
    </w:p>
    <w:p w14:paraId="45305517" w14:textId="77777777" w:rsidR="00DB6CB8" w:rsidRDefault="00DB6CB8" w:rsidP="00260826">
      <w:pPr>
        <w:spacing w:line="360" w:lineRule="auto"/>
        <w:jc w:val="both"/>
        <w:rPr>
          <w:rFonts w:ascii="Arial" w:hAnsi="Arial" w:cs="Arial"/>
          <w:sz w:val="24"/>
          <w:szCs w:val="24"/>
        </w:rPr>
      </w:pPr>
    </w:p>
    <w:p w14:paraId="03932A24" w14:textId="77777777" w:rsidR="00DB6CB8" w:rsidRDefault="00DB6CB8" w:rsidP="00260826">
      <w:pPr>
        <w:spacing w:line="360" w:lineRule="auto"/>
        <w:jc w:val="both"/>
        <w:rPr>
          <w:rFonts w:ascii="Arial" w:hAnsi="Arial" w:cs="Arial"/>
          <w:sz w:val="24"/>
          <w:szCs w:val="24"/>
        </w:rPr>
      </w:pPr>
    </w:p>
    <w:p w14:paraId="26D3D5B9" w14:textId="77777777" w:rsidR="00DB6CB8" w:rsidRDefault="00DB6CB8" w:rsidP="00260826">
      <w:pPr>
        <w:spacing w:line="360" w:lineRule="auto"/>
        <w:jc w:val="both"/>
        <w:rPr>
          <w:rFonts w:ascii="Arial" w:hAnsi="Arial" w:cs="Arial"/>
          <w:sz w:val="24"/>
          <w:szCs w:val="24"/>
        </w:rPr>
      </w:pPr>
    </w:p>
    <w:p w14:paraId="09463777" w14:textId="77777777" w:rsidR="00DB6CB8" w:rsidRDefault="00DB6CB8" w:rsidP="00260826">
      <w:pPr>
        <w:spacing w:line="360" w:lineRule="auto"/>
        <w:jc w:val="both"/>
        <w:rPr>
          <w:rFonts w:ascii="Arial" w:hAnsi="Arial" w:cs="Arial"/>
          <w:sz w:val="24"/>
          <w:szCs w:val="24"/>
        </w:rPr>
      </w:pPr>
    </w:p>
    <w:p w14:paraId="5286DDD0" w14:textId="77777777" w:rsidR="00DB6CB8" w:rsidRDefault="00DB6CB8" w:rsidP="00260826">
      <w:pPr>
        <w:spacing w:line="360" w:lineRule="auto"/>
        <w:jc w:val="both"/>
        <w:rPr>
          <w:rFonts w:ascii="Arial" w:hAnsi="Arial" w:cs="Arial"/>
          <w:sz w:val="24"/>
          <w:szCs w:val="24"/>
        </w:rPr>
      </w:pPr>
    </w:p>
    <w:p w14:paraId="471385FA" w14:textId="77777777" w:rsidR="00DB6CB8" w:rsidRDefault="00DB6CB8" w:rsidP="00260826">
      <w:pPr>
        <w:spacing w:line="360" w:lineRule="auto"/>
        <w:jc w:val="both"/>
        <w:rPr>
          <w:rFonts w:ascii="Arial" w:hAnsi="Arial" w:cs="Arial"/>
          <w:sz w:val="24"/>
          <w:szCs w:val="24"/>
        </w:rPr>
      </w:pPr>
    </w:p>
    <w:p w14:paraId="56B716E6" w14:textId="77777777" w:rsidR="00DB6CB8" w:rsidRDefault="00DB6CB8" w:rsidP="00260826">
      <w:pPr>
        <w:spacing w:line="360" w:lineRule="auto"/>
        <w:jc w:val="both"/>
        <w:rPr>
          <w:rFonts w:ascii="Arial" w:hAnsi="Arial" w:cs="Arial"/>
          <w:sz w:val="24"/>
          <w:szCs w:val="24"/>
        </w:rPr>
      </w:pPr>
    </w:p>
    <w:p w14:paraId="158CAC47" w14:textId="77777777" w:rsidR="00DB6CB8" w:rsidRDefault="00DB6CB8" w:rsidP="00260826">
      <w:pPr>
        <w:spacing w:line="360" w:lineRule="auto"/>
        <w:jc w:val="both"/>
        <w:rPr>
          <w:rFonts w:ascii="Arial" w:hAnsi="Arial" w:cs="Arial"/>
          <w:sz w:val="24"/>
          <w:szCs w:val="24"/>
        </w:rPr>
      </w:pPr>
    </w:p>
    <w:p w14:paraId="0F72F0F6" w14:textId="7F4E6D75" w:rsidR="00EB08DA" w:rsidRDefault="00EB08DA" w:rsidP="00DB6CB8">
      <w:pPr>
        <w:pStyle w:val="headsty"/>
      </w:pPr>
      <w:bookmarkStart w:id="1" w:name="_Toc192272013"/>
      <w:r w:rsidRPr="00260826">
        <w:lastRenderedPageBreak/>
        <w:t>Introduction</w:t>
      </w:r>
      <w:bookmarkEnd w:id="1"/>
    </w:p>
    <w:p w14:paraId="4C04FC4F" w14:textId="77777777" w:rsidR="00C31D46" w:rsidRPr="00260826" w:rsidRDefault="00C31D46" w:rsidP="00DB6CB8">
      <w:pPr>
        <w:pStyle w:val="headsty"/>
      </w:pPr>
    </w:p>
    <w:p w14:paraId="4792B468" w14:textId="3DA99665" w:rsidR="00EB08DA" w:rsidRDefault="00EB08DA" w:rsidP="00260826">
      <w:pPr>
        <w:spacing w:line="360" w:lineRule="auto"/>
        <w:jc w:val="both"/>
        <w:rPr>
          <w:rFonts w:ascii="Arial" w:hAnsi="Arial" w:cs="Arial"/>
          <w:sz w:val="24"/>
          <w:szCs w:val="24"/>
        </w:rPr>
      </w:pPr>
      <w:r w:rsidRPr="00260826">
        <w:rPr>
          <w:rFonts w:ascii="Arial" w:hAnsi="Arial" w:cs="Arial"/>
          <w:sz w:val="24"/>
          <w:szCs w:val="24"/>
        </w:rPr>
        <w:t xml:space="preserve">Hospitality transport refers to the modes of travel used by tourists to reach hotels, resorts, and other destinations, significantly impacting the industry’s environmental footprint (Gössling and Hall, 2019). Rail transport stands out as a key mode due to its efficiency and ability to connect urban and rural areas, making it a preferred option for eco-conscious </w:t>
      </w:r>
      <w:r w:rsidRPr="00260826">
        <w:rPr>
          <w:rFonts w:ascii="Arial" w:hAnsi="Arial" w:cs="Arial"/>
          <w:sz w:val="24"/>
          <w:szCs w:val="24"/>
        </w:rPr>
        <w:t>travellers</w:t>
      </w:r>
      <w:r w:rsidRPr="00260826">
        <w:rPr>
          <w:rFonts w:ascii="Arial" w:hAnsi="Arial" w:cs="Arial"/>
          <w:sz w:val="24"/>
          <w:szCs w:val="24"/>
        </w:rPr>
        <w:t>. This report focuses on rail transport, assessing its environmental impact and proposing hydrogen-powered trains, such as the Alstom Coradia iLINT, as a sustainable solution. Launched in 2018 in Germany, the Coradia iLINT emits only water vapor and reduces noise, offering a pioneering approach to decarbonizing rail travel (Alstom, 2025). The analysis integrates sustainable tourism principles, particularly Green Accreditation, which certifies businesses for sustainability practices, including transport (Green Tourism, 2025). The report aims to critically evaluate the benefits and drawbacks of this approach, comparing it with successful corporations to highlight the need for change, as mandated by the assignment guidelines. By exploring how hotels can leverage hydrogen-powered trains, this study addresses the hospitality industry’s role in reducing its carbon footprint, aligning with global sustainability goals, and enhancing guest experiences through innovative transport solutions.</w:t>
      </w:r>
    </w:p>
    <w:p w14:paraId="50AF0462" w14:textId="77777777" w:rsidR="00C31D46" w:rsidRPr="00260826" w:rsidRDefault="00C31D46" w:rsidP="00260826">
      <w:pPr>
        <w:spacing w:line="360" w:lineRule="auto"/>
        <w:jc w:val="both"/>
        <w:rPr>
          <w:rFonts w:ascii="Arial" w:hAnsi="Arial" w:cs="Arial"/>
          <w:sz w:val="24"/>
          <w:szCs w:val="24"/>
        </w:rPr>
      </w:pPr>
    </w:p>
    <w:p w14:paraId="7B71A02F" w14:textId="6547F520" w:rsidR="00C31D46" w:rsidRPr="00260826" w:rsidRDefault="00EB08DA" w:rsidP="00DB6CB8">
      <w:pPr>
        <w:pStyle w:val="headsty"/>
      </w:pPr>
      <w:bookmarkStart w:id="2" w:name="_Toc192272014"/>
      <w:r w:rsidRPr="00260826">
        <w:t>Main Findings</w:t>
      </w:r>
      <w:bookmarkEnd w:id="2"/>
    </w:p>
    <w:p w14:paraId="67454044" w14:textId="703E7491" w:rsidR="00EB08DA" w:rsidRDefault="00EB08DA" w:rsidP="00DB6CB8">
      <w:pPr>
        <w:pStyle w:val="Style2"/>
      </w:pPr>
      <w:bookmarkStart w:id="3" w:name="_Toc192272015"/>
      <w:r w:rsidRPr="00DB6CB8">
        <w:t>Environmental Impact of Rail Transport</w:t>
      </w:r>
      <w:bookmarkEnd w:id="3"/>
    </w:p>
    <w:p w14:paraId="1BB6C4C4" w14:textId="77777777" w:rsidR="00C31D46" w:rsidRPr="00DB6CB8" w:rsidRDefault="00C31D46" w:rsidP="00DB6CB8">
      <w:pPr>
        <w:pStyle w:val="Style2"/>
      </w:pPr>
    </w:p>
    <w:p w14:paraId="66BF67D6" w14:textId="258F8E73" w:rsidR="00EB08DA" w:rsidRPr="00260826" w:rsidRDefault="00EB08DA" w:rsidP="00260826">
      <w:pPr>
        <w:spacing w:line="360" w:lineRule="auto"/>
        <w:jc w:val="both"/>
        <w:rPr>
          <w:rFonts w:ascii="Arial" w:hAnsi="Arial" w:cs="Arial"/>
          <w:sz w:val="24"/>
          <w:szCs w:val="24"/>
        </w:rPr>
      </w:pPr>
      <w:r w:rsidRPr="00260826">
        <w:rPr>
          <w:rFonts w:ascii="Arial" w:hAnsi="Arial" w:cs="Arial"/>
          <w:sz w:val="24"/>
          <w:szCs w:val="24"/>
        </w:rPr>
        <w:t xml:space="preserve">Rail transport is frequently highlighted as a low-carbon alternative to air and road travel, with long-distance rail emitting approximately 31 grams of CO2 per passenger </w:t>
      </w:r>
      <w:r w:rsidRPr="00260826">
        <w:rPr>
          <w:rFonts w:ascii="Arial" w:hAnsi="Arial" w:cs="Arial"/>
          <w:sz w:val="24"/>
          <w:szCs w:val="24"/>
        </w:rPr>
        <w:t>kilometre</w:t>
      </w:r>
      <w:r w:rsidRPr="00260826">
        <w:rPr>
          <w:rFonts w:ascii="Arial" w:hAnsi="Arial" w:cs="Arial"/>
          <w:sz w:val="24"/>
          <w:szCs w:val="24"/>
        </w:rPr>
        <w:t xml:space="preserve">, significantly less than the 246 grams for air travel and 104 grams for cars (Our World in Data, 2025). This efficiency positions rail as a preferred mode for sustainable tourism, particularly within the hospitality industry, where tourists rely on trains to access destinations ranging from city hotels to rural retreats. However, the predominant use of diesel-powered trains undermines these environmental benefits, contributing to a notable portion of greenhouse gas emissions. The European </w:t>
      </w:r>
      <w:r w:rsidRPr="00260826">
        <w:rPr>
          <w:rFonts w:ascii="Arial" w:hAnsi="Arial" w:cs="Arial"/>
          <w:sz w:val="24"/>
          <w:szCs w:val="24"/>
        </w:rPr>
        <w:lastRenderedPageBreak/>
        <w:t>Environment Agency (2024) estimates that rail accounts for 0.5% of global transport emissions, a figure that escalates with tourism-related travel due to the widespread reliance on diesel (European Environment Agency, 2025). A comprehensive study on global tourism carbon emissions further reveals that transport, including rail, constitutes 49% of tourism’s total carbon footprint, underscoring the urgency of decarbonization efforts (Lenzen et al., 2018).</w:t>
      </w:r>
    </w:p>
    <w:p w14:paraId="57FF759A" w14:textId="77777777" w:rsidR="00EB08DA" w:rsidRPr="00260826" w:rsidRDefault="00EB08DA" w:rsidP="00260826">
      <w:pPr>
        <w:spacing w:line="360" w:lineRule="auto"/>
        <w:jc w:val="both"/>
        <w:rPr>
          <w:rFonts w:ascii="Arial" w:hAnsi="Arial" w:cs="Arial"/>
          <w:sz w:val="24"/>
          <w:szCs w:val="24"/>
        </w:rPr>
      </w:pPr>
      <w:r w:rsidRPr="00260826">
        <w:rPr>
          <w:rFonts w:ascii="Arial" w:hAnsi="Arial" w:cs="Arial"/>
          <w:sz w:val="24"/>
          <w:szCs w:val="24"/>
        </w:rPr>
        <w:t>Beyond carbon emissions, rail transport generates significant noise pollution, particularly in urban areas near stations and along tracks. Diesel trains can produce noise levels reaching 85 decibels, disrupting sleep patterns and causing stress for local residents and wildlife, a concern amplified in densely populated tourist regions (Encyclopedia MDPI, 2025). This noise impact is often overlooked in sustainability assessments but is critical for communities adjacent to hospitality hubs. Additionally, the construction and expansion of rail infrastructure pose land use challenges, including habitat fragmentation and biodiversity loss. Projects like the UK’s High Speed 2 (HS2) have faced substantial criticism for requiring extensive land clearing, with estimates suggesting the loss of over 100 hectares of ancient woodland (RWB Group UK, 2025). Such environmental degradation affects ecosystems that support tourism, such as national parks and scenic routes, creating a paradox where rail development harms the very landscapes it serves.</w:t>
      </w:r>
    </w:p>
    <w:p w14:paraId="7E4F6E42" w14:textId="4F5CD118" w:rsidR="00EB08DA" w:rsidRDefault="00EB08DA" w:rsidP="00260826">
      <w:pPr>
        <w:spacing w:line="360" w:lineRule="auto"/>
        <w:jc w:val="both"/>
        <w:rPr>
          <w:rFonts w:ascii="Arial" w:hAnsi="Arial" w:cs="Arial"/>
          <w:sz w:val="24"/>
          <w:szCs w:val="24"/>
        </w:rPr>
      </w:pPr>
      <w:r w:rsidRPr="00260826">
        <w:rPr>
          <w:rFonts w:ascii="Arial" w:hAnsi="Arial" w:cs="Arial"/>
          <w:sz w:val="24"/>
          <w:szCs w:val="24"/>
        </w:rPr>
        <w:t xml:space="preserve">The cumulative effect of these impacts—emissions, noise, and land use—necessitates innovative solutions to align rail transport with the hospitality industry’s sustainability objectives. The growing consumer demand for eco-friendly travel, with 76% of </w:t>
      </w:r>
      <w:r w:rsidRPr="00260826">
        <w:rPr>
          <w:rFonts w:ascii="Arial" w:hAnsi="Arial" w:cs="Arial"/>
          <w:sz w:val="24"/>
          <w:szCs w:val="24"/>
        </w:rPr>
        <w:t>travellers</w:t>
      </w:r>
      <w:r w:rsidRPr="00260826">
        <w:rPr>
          <w:rFonts w:ascii="Arial" w:hAnsi="Arial" w:cs="Arial"/>
          <w:sz w:val="24"/>
          <w:szCs w:val="24"/>
        </w:rPr>
        <w:t xml:space="preserve"> seeking greener options, further pressures hotels to address these issues (World Economic Forum, 2023). Failure to mitigate these environmental challenges risks reputational damage and regulatory penalties, as governments increasingly impose carbon reduction targets. This section highlights the need for a shift toward sustainable rail technologies, setting the stage for evaluating hydrogen-powered trains as a viable alternative to traditional diesel systems.</w:t>
      </w:r>
    </w:p>
    <w:p w14:paraId="2692CC01" w14:textId="77777777" w:rsidR="00C31D46" w:rsidRDefault="00C31D46" w:rsidP="00260826">
      <w:pPr>
        <w:spacing w:line="360" w:lineRule="auto"/>
        <w:jc w:val="both"/>
        <w:rPr>
          <w:rFonts w:ascii="Arial" w:hAnsi="Arial" w:cs="Arial"/>
          <w:sz w:val="24"/>
          <w:szCs w:val="24"/>
        </w:rPr>
      </w:pPr>
    </w:p>
    <w:p w14:paraId="44159CBF" w14:textId="77777777" w:rsidR="00C31D46" w:rsidRPr="00260826" w:rsidRDefault="00C31D46" w:rsidP="00260826">
      <w:pPr>
        <w:spacing w:line="360" w:lineRule="auto"/>
        <w:jc w:val="both"/>
        <w:rPr>
          <w:rFonts w:ascii="Arial" w:hAnsi="Arial" w:cs="Arial"/>
          <w:sz w:val="24"/>
          <w:szCs w:val="24"/>
        </w:rPr>
      </w:pPr>
    </w:p>
    <w:p w14:paraId="4845C799" w14:textId="51E7F1BE" w:rsidR="00EB08DA" w:rsidRDefault="00EB08DA" w:rsidP="00DB6CB8">
      <w:pPr>
        <w:pStyle w:val="Style2"/>
      </w:pPr>
      <w:bookmarkStart w:id="4" w:name="_Toc192272016"/>
      <w:r w:rsidRPr="00DB6CB8">
        <w:lastRenderedPageBreak/>
        <w:t>Hydrogen-Powered Trains as a Solution</w:t>
      </w:r>
      <w:bookmarkEnd w:id="4"/>
    </w:p>
    <w:p w14:paraId="397DF624" w14:textId="77777777" w:rsidR="00C31D46" w:rsidRPr="00DB6CB8" w:rsidRDefault="00C31D46" w:rsidP="00DB6CB8">
      <w:pPr>
        <w:pStyle w:val="Style2"/>
      </w:pPr>
    </w:p>
    <w:p w14:paraId="38070888" w14:textId="7DB46A4C" w:rsidR="00EB08DA" w:rsidRPr="00260826" w:rsidRDefault="00EB08DA" w:rsidP="00260826">
      <w:pPr>
        <w:spacing w:line="360" w:lineRule="auto"/>
        <w:jc w:val="both"/>
        <w:rPr>
          <w:rFonts w:ascii="Arial" w:hAnsi="Arial" w:cs="Arial"/>
          <w:sz w:val="24"/>
          <w:szCs w:val="24"/>
        </w:rPr>
      </w:pPr>
      <w:r w:rsidRPr="00260826">
        <w:rPr>
          <w:rFonts w:ascii="Arial" w:hAnsi="Arial" w:cs="Arial"/>
          <w:sz w:val="24"/>
          <w:szCs w:val="24"/>
        </w:rPr>
        <w:t xml:space="preserve">Hydrogen-powered trains, exemplified by the Alstom Coradia iLINT, represent a transformative solution to the environmental challenges posed by diesel rail transport. Introduced in 2018 in Germany, the Coradia iLINT employs hydrogen fuel cells to generate electricity for traction, emitting only water vapor and condensed water, achieving zero direct carbon emissions at the point of use (Wikipedia, 2025). This technology reduces noise levels by up to 10 decibels compared to diesel trains, enhancing passenger comfort and gaining community acceptance, a critical factor for tourism destinations (Global Railway Review, 2025). With a range of up to 600 km per day and a </w:t>
      </w:r>
      <w:r w:rsidRPr="00260826">
        <w:rPr>
          <w:rFonts w:ascii="Arial" w:hAnsi="Arial" w:cs="Arial"/>
          <w:sz w:val="24"/>
          <w:szCs w:val="24"/>
        </w:rPr>
        <w:t>refuelling</w:t>
      </w:r>
      <w:r w:rsidRPr="00260826">
        <w:rPr>
          <w:rFonts w:ascii="Arial" w:hAnsi="Arial" w:cs="Arial"/>
          <w:sz w:val="24"/>
          <w:szCs w:val="24"/>
        </w:rPr>
        <w:t xml:space="preserve"> time of under 15 minutes, the Coradia iLINT is well-suited for regional routes commonly used by tourists, such as those connecting major cities to rural hotel locations in regions like Quebec’s Charlevoix Biosphere Reserve (IEC e-tech, 2025; Alstom, 2025).</w:t>
      </w:r>
    </w:p>
    <w:p w14:paraId="00DF1BFB" w14:textId="7FF967C9" w:rsidR="00EB08DA" w:rsidRPr="00260826" w:rsidRDefault="00EB08DA" w:rsidP="00260826">
      <w:pPr>
        <w:spacing w:line="360" w:lineRule="auto"/>
        <w:jc w:val="both"/>
        <w:rPr>
          <w:rFonts w:ascii="Arial" w:hAnsi="Arial" w:cs="Arial"/>
          <w:sz w:val="24"/>
          <w:szCs w:val="24"/>
        </w:rPr>
      </w:pPr>
      <w:r w:rsidRPr="00260826">
        <w:rPr>
          <w:rFonts w:ascii="Arial" w:hAnsi="Arial" w:cs="Arial"/>
          <w:sz w:val="24"/>
          <w:szCs w:val="24"/>
        </w:rPr>
        <w:t xml:space="preserve">The environmental benefits are substantial. By replacing diesel trains, hydrogen-powered trains can reduce regional emissions by an estimated 4,000 tons annually, as demonstrated by Deutsche Bahn’s deployment of 14 Coradia iLINT trains by 2024 (Accelera, 2025). This reduction aligns with the Paris Agreement’s goal of limiting global warming to 1.5°C, making hydrogen trains a strategic tool for sustainable tourism (UN, 2025). However, the adoption of this technology faces several challenges. Initial costs are 10-15% higher than diesel equivalents, posing a financial barrier for widespread implementation (ScienceDirect, 2025). The development of hydrogen </w:t>
      </w:r>
      <w:r w:rsidRPr="00260826">
        <w:rPr>
          <w:rFonts w:ascii="Arial" w:hAnsi="Arial" w:cs="Arial"/>
          <w:sz w:val="24"/>
          <w:szCs w:val="24"/>
        </w:rPr>
        <w:t>refuelling</w:t>
      </w:r>
      <w:r w:rsidRPr="00260826">
        <w:rPr>
          <w:rFonts w:ascii="Arial" w:hAnsi="Arial" w:cs="Arial"/>
          <w:sz w:val="24"/>
          <w:szCs w:val="24"/>
        </w:rPr>
        <w:t xml:space="preserve"> infrastructure is another hurdle, with current networks limited to pioneering regions like Germany and Canada. Moreover, the sustainability of hydrogen depends on its production method; green hydrogen, produced using renewable energy, is ideal, but the current reliance on grey hydrogen (derived from fossil fuels) undermines long-term benefits (World Economic Forum, 2024).</w:t>
      </w:r>
    </w:p>
    <w:p w14:paraId="0A41261B" w14:textId="77777777" w:rsidR="00EB08DA" w:rsidRDefault="00EB08DA" w:rsidP="00260826">
      <w:pPr>
        <w:spacing w:line="360" w:lineRule="auto"/>
        <w:jc w:val="both"/>
        <w:rPr>
          <w:rFonts w:ascii="Arial" w:hAnsi="Arial" w:cs="Arial"/>
          <w:sz w:val="24"/>
          <w:szCs w:val="24"/>
        </w:rPr>
      </w:pPr>
      <w:r w:rsidRPr="00260826">
        <w:rPr>
          <w:rFonts w:ascii="Arial" w:hAnsi="Arial" w:cs="Arial"/>
          <w:sz w:val="24"/>
          <w:szCs w:val="24"/>
        </w:rPr>
        <w:t xml:space="preserve">Hotels can play a pivotal role in overcoming these challenges by advocating for infrastructure development and partnering with rail operators to subsidize costs. For example, co-marketing campaigns or financial incentives could accelerate adoption, aligning with the hospitality industry’s corporate social responsibility (CSR) goals. Additionally, pilot projects in tourist-heavy regions could demonstrate feasibility, encouraging broader investment. The integration of hydrogen-powered trains requires </w:t>
      </w:r>
      <w:r w:rsidRPr="00260826">
        <w:rPr>
          <w:rFonts w:ascii="Arial" w:hAnsi="Arial" w:cs="Arial"/>
          <w:sz w:val="24"/>
          <w:szCs w:val="24"/>
        </w:rPr>
        <w:lastRenderedPageBreak/>
        <w:t>a collaborative approach, involving governments, rail companies, and hospitality businesses to ensure scalability and accessibility, thereby enhancing the industry’s sustainability profile and meeting guest expectations for eco-friendly travel options.</w:t>
      </w:r>
    </w:p>
    <w:p w14:paraId="6D851C25" w14:textId="77777777" w:rsidR="00C31D46" w:rsidRPr="00260826" w:rsidRDefault="00C31D46" w:rsidP="00260826">
      <w:pPr>
        <w:spacing w:line="360" w:lineRule="auto"/>
        <w:jc w:val="both"/>
        <w:rPr>
          <w:rFonts w:ascii="Arial" w:hAnsi="Arial" w:cs="Arial"/>
          <w:sz w:val="24"/>
          <w:szCs w:val="24"/>
        </w:rPr>
      </w:pPr>
    </w:p>
    <w:p w14:paraId="005F9CF3" w14:textId="60EBF24C" w:rsidR="00EB08DA" w:rsidRDefault="00EB08DA" w:rsidP="00DB6CB8">
      <w:pPr>
        <w:pStyle w:val="Style2"/>
        <w:rPr>
          <w:rStyle w:val="subtytle1Char"/>
        </w:rPr>
      </w:pPr>
      <w:bookmarkStart w:id="5" w:name="_Toc192272017"/>
      <w:r w:rsidRPr="00DB6CB8">
        <w:rPr>
          <w:rStyle w:val="subtytle1Char"/>
        </w:rPr>
        <w:t>Sustainable Tourism and Green Accreditation</w:t>
      </w:r>
      <w:bookmarkEnd w:id="5"/>
    </w:p>
    <w:p w14:paraId="01FF191D" w14:textId="77777777" w:rsidR="00C31D46" w:rsidRPr="00260826" w:rsidRDefault="00C31D46" w:rsidP="00DB6CB8">
      <w:pPr>
        <w:pStyle w:val="Style2"/>
        <w:rPr>
          <w:sz w:val="24"/>
        </w:rPr>
      </w:pPr>
    </w:p>
    <w:p w14:paraId="6F14CBA9" w14:textId="35E3494E" w:rsidR="00EB08DA" w:rsidRPr="00260826" w:rsidRDefault="00EB08DA" w:rsidP="00260826">
      <w:pPr>
        <w:spacing w:line="360" w:lineRule="auto"/>
        <w:jc w:val="both"/>
        <w:rPr>
          <w:rFonts w:ascii="Arial" w:hAnsi="Arial" w:cs="Arial"/>
          <w:sz w:val="24"/>
          <w:szCs w:val="24"/>
        </w:rPr>
      </w:pPr>
      <w:r w:rsidRPr="00260826">
        <w:rPr>
          <w:rFonts w:ascii="Arial" w:hAnsi="Arial" w:cs="Arial"/>
          <w:sz w:val="24"/>
          <w:szCs w:val="24"/>
        </w:rPr>
        <w:t xml:space="preserve">Sustainable tourism has become a cornerstone of the hospitality industry, driven by growing environmental awareness and regulatory pressures. Green Accreditation programs, such as Green Tourism certification, provide a structured framework for hotels to demonstrate environmental responsibility, assessing criteria like energy efficiency, waste management, and transport practices (Green Tourism, 2025). These programs award accreditation to businesses that meet stringent standards, offering a competitive advantage in a market where 76% of </w:t>
      </w:r>
      <w:r w:rsidRPr="00260826">
        <w:rPr>
          <w:rFonts w:ascii="Arial" w:hAnsi="Arial" w:cs="Arial"/>
          <w:sz w:val="24"/>
          <w:szCs w:val="24"/>
        </w:rPr>
        <w:t>travellers</w:t>
      </w:r>
      <w:r w:rsidRPr="00260826">
        <w:rPr>
          <w:rFonts w:ascii="Arial" w:hAnsi="Arial" w:cs="Arial"/>
          <w:sz w:val="24"/>
          <w:szCs w:val="24"/>
        </w:rPr>
        <w:t xml:space="preserve"> prefer sustainable options (World Economic Forum, 2023). Rail transport, particularly hydrogen-powered trains, aligns with these goals by reducing the carbon footprint of guest travel, a critical factor in achieving and maintaining accreditation.</w:t>
      </w:r>
    </w:p>
    <w:p w14:paraId="0BD60F7E" w14:textId="1618681C" w:rsidR="00EB08DA" w:rsidRPr="00260826" w:rsidRDefault="00EB08DA" w:rsidP="00260826">
      <w:pPr>
        <w:spacing w:line="360" w:lineRule="auto"/>
        <w:jc w:val="both"/>
        <w:rPr>
          <w:rFonts w:ascii="Arial" w:hAnsi="Arial" w:cs="Arial"/>
          <w:sz w:val="24"/>
          <w:szCs w:val="24"/>
        </w:rPr>
      </w:pPr>
      <w:r w:rsidRPr="00260826">
        <w:rPr>
          <w:rFonts w:ascii="Arial" w:hAnsi="Arial" w:cs="Arial"/>
          <w:sz w:val="24"/>
          <w:szCs w:val="24"/>
        </w:rPr>
        <w:t xml:space="preserve">Hotels can enhance their Green Accreditation status by actively promoting rail use among guests. Strategies include offering discounted tickets through partnerships with rail operators, providing shuttle services from hydrogen-powered train stations to ensure seamless connectivity, and integrating scenic train journeys into tourist packages (Hotel Direct, 2025). These initiatives not only reduce emissions but also enrich guest experiences, appealing to the growing segment of eco-conscious </w:t>
      </w:r>
      <w:r w:rsidRPr="00260826">
        <w:rPr>
          <w:rFonts w:ascii="Arial" w:hAnsi="Arial" w:cs="Arial"/>
          <w:sz w:val="24"/>
          <w:szCs w:val="24"/>
        </w:rPr>
        <w:t>travellers</w:t>
      </w:r>
      <w:r w:rsidRPr="00260826">
        <w:rPr>
          <w:rFonts w:ascii="Arial" w:hAnsi="Arial" w:cs="Arial"/>
          <w:sz w:val="24"/>
          <w:szCs w:val="24"/>
        </w:rPr>
        <w:t>. For instance, a hotel in a rural destination could offer a package including a hydrogen train ride through a UNESCO-listed area, combining sustainability with cultural tourism (IEC e-tech, 2025). An unexpected benefit is the potential to strengthen community relations, as reduced noise and emissions from hydrogen trains improve local living conditions.</w:t>
      </w:r>
    </w:p>
    <w:p w14:paraId="2E1D0D0C" w14:textId="77777777" w:rsidR="00EB08DA" w:rsidRDefault="00EB08DA" w:rsidP="00260826">
      <w:pPr>
        <w:spacing w:line="360" w:lineRule="auto"/>
        <w:jc w:val="both"/>
        <w:rPr>
          <w:rFonts w:ascii="Arial" w:hAnsi="Arial" w:cs="Arial"/>
          <w:sz w:val="24"/>
          <w:szCs w:val="24"/>
        </w:rPr>
      </w:pPr>
      <w:r w:rsidRPr="00260826">
        <w:rPr>
          <w:rFonts w:ascii="Arial" w:hAnsi="Arial" w:cs="Arial"/>
          <w:sz w:val="24"/>
          <w:szCs w:val="24"/>
        </w:rPr>
        <w:t xml:space="preserve">However, drawbacks include the limited network of hydrogen trains, forcing hotels in many regions to rely on diesel alternatives, and the need for extensive guest education to shift preferences from air travel, which remains faster for long distances (Green Key, 2025). The Global Sustainable Tourism Council (GSTC) emphasizes the role of transport in sustainability, noting that certified hotels can gain a competitive edge by </w:t>
      </w:r>
      <w:r w:rsidRPr="00260826">
        <w:rPr>
          <w:rFonts w:ascii="Arial" w:hAnsi="Arial" w:cs="Arial"/>
          <w:sz w:val="24"/>
          <w:szCs w:val="24"/>
        </w:rPr>
        <w:lastRenderedPageBreak/>
        <w:t>integrating eco-friendly options (GSTC, 2025). This alignment with Green Accreditation also supports broader environmental goals, such as the United Nations’ Sustainable Development Goals (SDGs), particularly SDG 13 on climate action, which calls for urgent action to combat climate change (UN, 2025). Hotels must invest in staff training and marketing campaigns to highlight these benefits, ensuring guests understand the environmental and experiential value of choosing rail over other modes. This proactive approach positions hotels as leaders in sustainable tourism, contributing to a collective effort to reduce the industry’s 8% share of global emissions (Lenzen et al., 2018).</w:t>
      </w:r>
    </w:p>
    <w:p w14:paraId="47109324" w14:textId="77777777" w:rsidR="00C31D46" w:rsidRPr="00260826" w:rsidRDefault="00C31D46" w:rsidP="00260826">
      <w:pPr>
        <w:spacing w:line="360" w:lineRule="auto"/>
        <w:jc w:val="both"/>
        <w:rPr>
          <w:rFonts w:ascii="Arial" w:hAnsi="Arial" w:cs="Arial"/>
          <w:sz w:val="24"/>
          <w:szCs w:val="24"/>
        </w:rPr>
      </w:pPr>
    </w:p>
    <w:p w14:paraId="2B8A48A6" w14:textId="08C6A394" w:rsidR="00EB08DA" w:rsidRDefault="00EB08DA" w:rsidP="00DB6CB8">
      <w:pPr>
        <w:pStyle w:val="Style2"/>
      </w:pPr>
      <w:bookmarkStart w:id="6" w:name="_Toc192272018"/>
      <w:r w:rsidRPr="00260826">
        <w:t>Industry Examples and Comparisons</w:t>
      </w:r>
      <w:bookmarkEnd w:id="6"/>
    </w:p>
    <w:p w14:paraId="5C4CB182" w14:textId="77777777" w:rsidR="00C31D46" w:rsidRPr="00260826" w:rsidRDefault="00C31D46" w:rsidP="00DB6CB8">
      <w:pPr>
        <w:pStyle w:val="Style2"/>
      </w:pPr>
    </w:p>
    <w:p w14:paraId="7311C020" w14:textId="77777777" w:rsidR="00EB08DA" w:rsidRPr="00260826" w:rsidRDefault="00EB08DA" w:rsidP="00260826">
      <w:pPr>
        <w:spacing w:line="360" w:lineRule="auto"/>
        <w:jc w:val="both"/>
        <w:rPr>
          <w:rFonts w:ascii="Arial" w:hAnsi="Arial" w:cs="Arial"/>
          <w:sz w:val="24"/>
          <w:szCs w:val="24"/>
        </w:rPr>
      </w:pPr>
      <w:r w:rsidRPr="00260826">
        <w:rPr>
          <w:rFonts w:ascii="Arial" w:hAnsi="Arial" w:cs="Arial"/>
          <w:sz w:val="24"/>
          <w:szCs w:val="24"/>
        </w:rPr>
        <w:t>Industry examples illustrate the practical application of sustainable transport initiatives. The Pig, a UK hotel chain, promotes local transport and sustainability by encouraging guests to use eco-friendly options, suggesting potential for hydrogen train integration through partnerships with regional rail operators (The Pig, 2025). Similarly, Accor hotels collaborate with Green Key initiatives, offering incentives like shuttle services and promoting sustainable transport to enhance their environmental profile (Green Key, 2025). On the rail side, Deutsche Bahn’s expansion of the Coradia iLINT network, with 14 trains reducing emissions by 4,000 tons annually by 2024, provides a model for hospitality integration (Accelera, 2025).</w:t>
      </w:r>
    </w:p>
    <w:p w14:paraId="0B0471D5" w14:textId="77777777" w:rsidR="00EB08DA" w:rsidRPr="00260826" w:rsidRDefault="00EB08DA" w:rsidP="00260826">
      <w:pPr>
        <w:spacing w:line="360" w:lineRule="auto"/>
        <w:jc w:val="both"/>
        <w:rPr>
          <w:rFonts w:ascii="Arial" w:hAnsi="Arial" w:cs="Arial"/>
          <w:sz w:val="24"/>
          <w:szCs w:val="24"/>
        </w:rPr>
      </w:pPr>
      <w:r w:rsidRPr="00260826">
        <w:rPr>
          <w:rFonts w:ascii="Arial" w:hAnsi="Arial" w:cs="Arial"/>
          <w:sz w:val="24"/>
          <w:szCs w:val="24"/>
        </w:rPr>
        <w:t>Comparisons with successful corporations highlight the need for change and best practices. IHG Hotels &amp; Resorts, through its Green Engage program, reduced emissions by 15% since 2019 by integrating sustainable practices, including transport initiatives that encourage rail use (Better Buildings Initiative, 2025). Marriott International offers carbon offset programs for guest travel, allowing guests to neutralize their transport emissions, while Hilton partners with sustainable transport providers, both outperforming hotels without such strategies in sustainability rankings (Marriott, 2025; Hilton, 2025). These corporations demonstrate the feasibility of sustainable transport integration, with benefits including improved guest satisfaction, community goodwill, and enhanced CSR profiles.</w:t>
      </w:r>
    </w:p>
    <w:p w14:paraId="448FA290" w14:textId="32F17CB2" w:rsidR="00EB08DA" w:rsidRDefault="00EB08DA" w:rsidP="00260826">
      <w:pPr>
        <w:spacing w:line="360" w:lineRule="auto"/>
        <w:jc w:val="both"/>
        <w:rPr>
          <w:rFonts w:ascii="Arial" w:hAnsi="Arial" w:cs="Arial"/>
          <w:sz w:val="24"/>
          <w:szCs w:val="24"/>
        </w:rPr>
      </w:pPr>
      <w:r w:rsidRPr="00260826">
        <w:rPr>
          <w:rFonts w:ascii="Arial" w:hAnsi="Arial" w:cs="Arial"/>
          <w:sz w:val="24"/>
          <w:szCs w:val="24"/>
        </w:rPr>
        <w:lastRenderedPageBreak/>
        <w:t xml:space="preserve">Drawbacks include higher operational costs associated with hydrogen infrastructure and guest resistance to adopting new travel modes, which require strategic marketing and investment (ScienceDirect, 2025). For instance, the cost of establishing </w:t>
      </w:r>
      <w:r w:rsidRPr="00260826">
        <w:rPr>
          <w:rFonts w:ascii="Arial" w:hAnsi="Arial" w:cs="Arial"/>
          <w:sz w:val="24"/>
          <w:szCs w:val="24"/>
        </w:rPr>
        <w:t>refuelling</w:t>
      </w:r>
      <w:r w:rsidRPr="00260826">
        <w:rPr>
          <w:rFonts w:ascii="Arial" w:hAnsi="Arial" w:cs="Arial"/>
          <w:sz w:val="24"/>
          <w:szCs w:val="24"/>
        </w:rPr>
        <w:t xml:space="preserve"> stations can be prohibitive, but hotels can mitigate this through partnerships, as seen with Railbookers’ rail and hotel packages that combine transport and accommodation seamlessly (Railbookers, 2025). Additionally, the limited range of hydrogen trains compared to air travel poses a challenge for long-haul tourism, necessitating a hybrid approach with other sustainable modes. These comparisons underscore the urgency for the hospitality industry to adopt hydrogen-powered trains, aligning with consumer demand and regulatory pressures for sustainability, such as the European Union’s Green Deal, which targets a 55% emission reduction by 2030 (European Commission, 2025). Hotels that lead in this transition can set industry standards, influencing broader adoption and reinforcing their commitment to a sustainable future.</w:t>
      </w:r>
    </w:p>
    <w:p w14:paraId="6ED8FA9C" w14:textId="77777777" w:rsidR="00C31D46" w:rsidRPr="00260826" w:rsidRDefault="00C31D46" w:rsidP="00260826">
      <w:pPr>
        <w:spacing w:line="360" w:lineRule="auto"/>
        <w:jc w:val="both"/>
        <w:rPr>
          <w:rFonts w:ascii="Arial" w:hAnsi="Arial" w:cs="Arial"/>
          <w:sz w:val="24"/>
          <w:szCs w:val="24"/>
        </w:rPr>
      </w:pPr>
    </w:p>
    <w:p w14:paraId="4B1E621F" w14:textId="1E27D016" w:rsidR="00EB08DA" w:rsidRDefault="00EB08DA" w:rsidP="00DB6CB8">
      <w:pPr>
        <w:pStyle w:val="headsty"/>
      </w:pPr>
      <w:bookmarkStart w:id="7" w:name="_Toc192272019"/>
      <w:r w:rsidRPr="00260826">
        <w:t>Conclusion</w:t>
      </w:r>
      <w:bookmarkEnd w:id="7"/>
    </w:p>
    <w:p w14:paraId="192C943C" w14:textId="77777777" w:rsidR="00C31D46" w:rsidRPr="00260826" w:rsidRDefault="00C31D46" w:rsidP="00DB6CB8">
      <w:pPr>
        <w:pStyle w:val="headsty"/>
      </w:pPr>
    </w:p>
    <w:p w14:paraId="67A70A90" w14:textId="1E7B5F18" w:rsidR="00EB08DA" w:rsidRPr="00260826" w:rsidRDefault="00EB08DA" w:rsidP="00260826">
      <w:pPr>
        <w:spacing w:line="360" w:lineRule="auto"/>
        <w:jc w:val="both"/>
        <w:rPr>
          <w:rFonts w:ascii="Arial" w:hAnsi="Arial" w:cs="Arial"/>
          <w:sz w:val="24"/>
          <w:szCs w:val="24"/>
        </w:rPr>
      </w:pPr>
      <w:r w:rsidRPr="00260826">
        <w:rPr>
          <w:rFonts w:ascii="Arial" w:hAnsi="Arial" w:cs="Arial"/>
          <w:sz w:val="24"/>
          <w:szCs w:val="24"/>
        </w:rPr>
        <w:t xml:space="preserve">This report has critically assessed the environmental impact of rail transport in the hospitality industry, identifying diesel-related carbon emissions, noise pollution, and land use as significant issues. Rail transport emits 31 g CO2 per passenger </w:t>
      </w:r>
      <w:r w:rsidRPr="00260826">
        <w:rPr>
          <w:rFonts w:ascii="Arial" w:hAnsi="Arial" w:cs="Arial"/>
          <w:sz w:val="24"/>
          <w:szCs w:val="24"/>
        </w:rPr>
        <w:t>kilometre</w:t>
      </w:r>
      <w:r w:rsidRPr="00260826">
        <w:rPr>
          <w:rFonts w:ascii="Arial" w:hAnsi="Arial" w:cs="Arial"/>
          <w:sz w:val="24"/>
          <w:szCs w:val="24"/>
        </w:rPr>
        <w:t>, far less than air travel’s 246 g, yet diesel dependency contributes to 49% of tourism’s carbon footprint (Lenzen et al., 2018; Our World in Data, 2025). The Alstom Coradia iLINT hydrogen-powered train offers a zero-emission solution, reducing noise by 10 decibels and aligning with the Paris Agreement’s 1.5°C target (Alstom, 2025; UN, 2025). Challenges include high costs and limited infrastructure (ScienceDirect, 2025). Integration with Green Accreditation enhances sustainability, supported by examples like The Pig and comparisons with IHG and Marriott (Green Tourism, 2025; Better Buildings Initiative, 2025). Despite benefits such as improved guest experiences, drawbacks like network limitations underscore the need for innovation, positioning hydrogen trains as a vital step toward meeting the industry’s sustainability goals.</w:t>
      </w:r>
    </w:p>
    <w:p w14:paraId="0E4D2536" w14:textId="6ECE3DF7" w:rsidR="00EB08DA" w:rsidRDefault="00EB08DA" w:rsidP="00DB6CB8">
      <w:pPr>
        <w:pStyle w:val="headsty"/>
      </w:pPr>
      <w:bookmarkStart w:id="8" w:name="_Toc192272020"/>
      <w:r w:rsidRPr="00260826">
        <w:lastRenderedPageBreak/>
        <w:t>Recommendations</w:t>
      </w:r>
      <w:bookmarkEnd w:id="8"/>
    </w:p>
    <w:p w14:paraId="79A8E515" w14:textId="77777777" w:rsidR="00C31D46" w:rsidRPr="00260826" w:rsidRDefault="00C31D46" w:rsidP="00DB6CB8">
      <w:pPr>
        <w:pStyle w:val="headsty"/>
      </w:pPr>
    </w:p>
    <w:p w14:paraId="40993580" w14:textId="2E54C81C" w:rsidR="00EB08DA" w:rsidRPr="00260826" w:rsidRDefault="00EB08DA" w:rsidP="00260826">
      <w:pPr>
        <w:spacing w:line="360" w:lineRule="auto"/>
        <w:jc w:val="both"/>
        <w:rPr>
          <w:rFonts w:ascii="Arial" w:hAnsi="Arial" w:cs="Arial"/>
          <w:sz w:val="24"/>
          <w:szCs w:val="24"/>
        </w:rPr>
      </w:pPr>
      <w:r w:rsidRPr="00260826">
        <w:rPr>
          <w:rFonts w:ascii="Arial" w:hAnsi="Arial" w:cs="Arial"/>
          <w:sz w:val="24"/>
          <w:szCs w:val="24"/>
        </w:rPr>
        <w:t xml:space="preserve">Hotels should partner with rail operators like Deutsche Bahn to offer discounted hydrogen train tickets, subsidizing costs to boost adoption (Accelera, 2025). Advocacy for green hydrogen </w:t>
      </w:r>
      <w:r w:rsidRPr="00260826">
        <w:rPr>
          <w:rFonts w:ascii="Arial" w:hAnsi="Arial" w:cs="Arial"/>
          <w:sz w:val="24"/>
          <w:szCs w:val="24"/>
        </w:rPr>
        <w:t>refuelling</w:t>
      </w:r>
      <w:r w:rsidRPr="00260826">
        <w:rPr>
          <w:rFonts w:ascii="Arial" w:hAnsi="Arial" w:cs="Arial"/>
          <w:sz w:val="24"/>
          <w:szCs w:val="24"/>
        </w:rPr>
        <w:t xml:space="preserve"> stations in tourist regions, starting with pilot projects like Quebec’s Charlevoix, is essential (IEC e-tech, 2025). Shuttle services from train stations to hotels should be implemented, ensuring connectivity and aligning with Green Accreditation (Green Tourism, 2025). Staff training and marketing campaigns, inspired by The Pig’s model, should educate guests on rail benefits, targeting a 20% emission reduction in five years (The Pig, 2025; Lenzen et al., 2018). A hybrid approach, combining hydrogen trains with electric buses for long-haul routes, addresses range limitations (European Commission, 2025). Collaboration with policymakers to meet the EU’s 55% emission reduction target by 2030, alongside investment in technology, will drive success. Regular monitoring of emissions and guest feedback will ensure continuous improvement, solidifying hotels’ leadership in sustainable tourism.</w:t>
      </w:r>
    </w:p>
    <w:p w14:paraId="7738B0A2" w14:textId="77777777" w:rsidR="00260826" w:rsidRDefault="00EB08DA" w:rsidP="00260826">
      <w:pPr>
        <w:tabs>
          <w:tab w:val="num" w:pos="720"/>
        </w:tabs>
        <w:spacing w:line="360" w:lineRule="auto"/>
        <w:jc w:val="both"/>
        <w:rPr>
          <w:rFonts w:ascii="Arial" w:hAnsi="Arial" w:cs="Arial"/>
          <w:sz w:val="24"/>
          <w:szCs w:val="24"/>
        </w:rPr>
      </w:pPr>
      <w:r w:rsidRPr="00260826">
        <w:rPr>
          <w:rFonts w:ascii="Arial" w:hAnsi="Arial" w:cs="Arial"/>
          <w:sz w:val="24"/>
          <w:szCs w:val="24"/>
        </w:rPr>
        <w:cr/>
      </w:r>
    </w:p>
    <w:p w14:paraId="54A82578" w14:textId="77777777" w:rsidR="00260826" w:rsidRDefault="00260826" w:rsidP="00260826">
      <w:pPr>
        <w:tabs>
          <w:tab w:val="num" w:pos="720"/>
        </w:tabs>
        <w:spacing w:line="360" w:lineRule="auto"/>
        <w:jc w:val="both"/>
        <w:rPr>
          <w:rFonts w:ascii="Arial" w:hAnsi="Arial" w:cs="Arial"/>
          <w:sz w:val="24"/>
          <w:szCs w:val="24"/>
        </w:rPr>
      </w:pPr>
    </w:p>
    <w:p w14:paraId="639D2482" w14:textId="77777777" w:rsidR="00C31D46" w:rsidRDefault="00C31D46" w:rsidP="00260826">
      <w:pPr>
        <w:tabs>
          <w:tab w:val="num" w:pos="720"/>
        </w:tabs>
        <w:spacing w:line="360" w:lineRule="auto"/>
        <w:jc w:val="both"/>
        <w:rPr>
          <w:rFonts w:ascii="Arial" w:hAnsi="Arial" w:cs="Arial"/>
          <w:sz w:val="24"/>
          <w:szCs w:val="24"/>
        </w:rPr>
      </w:pPr>
    </w:p>
    <w:p w14:paraId="5B837EC4" w14:textId="77777777" w:rsidR="00C31D46" w:rsidRDefault="00C31D46" w:rsidP="00260826">
      <w:pPr>
        <w:tabs>
          <w:tab w:val="num" w:pos="720"/>
        </w:tabs>
        <w:spacing w:line="360" w:lineRule="auto"/>
        <w:jc w:val="both"/>
        <w:rPr>
          <w:rFonts w:ascii="Arial" w:hAnsi="Arial" w:cs="Arial"/>
          <w:sz w:val="24"/>
          <w:szCs w:val="24"/>
        </w:rPr>
      </w:pPr>
    </w:p>
    <w:p w14:paraId="5DA08058" w14:textId="77777777" w:rsidR="00C31D46" w:rsidRDefault="00C31D46" w:rsidP="00260826">
      <w:pPr>
        <w:tabs>
          <w:tab w:val="num" w:pos="720"/>
        </w:tabs>
        <w:spacing w:line="360" w:lineRule="auto"/>
        <w:jc w:val="both"/>
        <w:rPr>
          <w:rFonts w:ascii="Arial" w:hAnsi="Arial" w:cs="Arial"/>
          <w:sz w:val="24"/>
          <w:szCs w:val="24"/>
        </w:rPr>
      </w:pPr>
    </w:p>
    <w:p w14:paraId="14C33D00" w14:textId="77777777" w:rsidR="00C31D46" w:rsidRDefault="00C31D46" w:rsidP="00260826">
      <w:pPr>
        <w:tabs>
          <w:tab w:val="num" w:pos="720"/>
        </w:tabs>
        <w:spacing w:line="360" w:lineRule="auto"/>
        <w:jc w:val="both"/>
        <w:rPr>
          <w:rFonts w:ascii="Arial" w:hAnsi="Arial" w:cs="Arial"/>
          <w:sz w:val="24"/>
          <w:szCs w:val="24"/>
        </w:rPr>
      </w:pPr>
    </w:p>
    <w:p w14:paraId="1CE27103" w14:textId="77777777" w:rsidR="00C31D46" w:rsidRDefault="00C31D46" w:rsidP="00260826">
      <w:pPr>
        <w:tabs>
          <w:tab w:val="num" w:pos="720"/>
        </w:tabs>
        <w:spacing w:line="360" w:lineRule="auto"/>
        <w:jc w:val="both"/>
        <w:rPr>
          <w:rFonts w:ascii="Arial" w:hAnsi="Arial" w:cs="Arial"/>
          <w:sz w:val="24"/>
          <w:szCs w:val="24"/>
        </w:rPr>
      </w:pPr>
    </w:p>
    <w:p w14:paraId="5BB41F89" w14:textId="77777777" w:rsidR="00C31D46" w:rsidRDefault="00C31D46" w:rsidP="00260826">
      <w:pPr>
        <w:tabs>
          <w:tab w:val="num" w:pos="720"/>
        </w:tabs>
        <w:spacing w:line="360" w:lineRule="auto"/>
        <w:jc w:val="both"/>
        <w:rPr>
          <w:rFonts w:ascii="Arial" w:hAnsi="Arial" w:cs="Arial"/>
          <w:sz w:val="24"/>
          <w:szCs w:val="24"/>
        </w:rPr>
      </w:pPr>
    </w:p>
    <w:p w14:paraId="54EB7A9B" w14:textId="77777777" w:rsidR="00C31D46" w:rsidRDefault="00C31D46" w:rsidP="00260826">
      <w:pPr>
        <w:tabs>
          <w:tab w:val="num" w:pos="720"/>
        </w:tabs>
        <w:spacing w:line="360" w:lineRule="auto"/>
        <w:jc w:val="both"/>
        <w:rPr>
          <w:rFonts w:ascii="Arial" w:hAnsi="Arial" w:cs="Arial"/>
          <w:sz w:val="24"/>
          <w:szCs w:val="24"/>
        </w:rPr>
      </w:pPr>
    </w:p>
    <w:p w14:paraId="02F18202" w14:textId="6F4F6A26" w:rsidR="00260826" w:rsidRDefault="00260826" w:rsidP="00DB6CB8">
      <w:pPr>
        <w:pStyle w:val="headsty"/>
      </w:pPr>
      <w:bookmarkStart w:id="9" w:name="_Toc192272021"/>
      <w:r w:rsidRPr="00260826">
        <w:lastRenderedPageBreak/>
        <w:t>Reference List</w:t>
      </w:r>
      <w:bookmarkEnd w:id="9"/>
      <w:r w:rsidRPr="00260826">
        <w:t xml:space="preserve"> </w:t>
      </w:r>
    </w:p>
    <w:p w14:paraId="704BCE6D" w14:textId="77777777" w:rsidR="002F09AA" w:rsidRDefault="002F09AA" w:rsidP="00DB6CB8">
      <w:pPr>
        <w:pStyle w:val="headsty"/>
      </w:pPr>
    </w:p>
    <w:p w14:paraId="224263B1" w14:textId="0427B904" w:rsidR="00260826" w:rsidRPr="002F09AA" w:rsidRDefault="00260826" w:rsidP="002F09AA">
      <w:pPr>
        <w:pStyle w:val="ListParagraph"/>
        <w:numPr>
          <w:ilvl w:val="0"/>
          <w:numId w:val="2"/>
        </w:numPr>
        <w:spacing w:line="360" w:lineRule="auto"/>
        <w:jc w:val="both"/>
        <w:rPr>
          <w:rFonts w:ascii="Arial" w:hAnsi="Arial" w:cs="Arial"/>
          <w:sz w:val="24"/>
          <w:szCs w:val="24"/>
        </w:rPr>
      </w:pPr>
      <w:r w:rsidRPr="002F09AA">
        <w:rPr>
          <w:rFonts w:ascii="Arial" w:hAnsi="Arial" w:cs="Arial"/>
          <w:sz w:val="24"/>
          <w:szCs w:val="24"/>
        </w:rPr>
        <w:t xml:space="preserve">Alstom (2025) </w:t>
      </w:r>
      <w:r w:rsidRPr="007E0FC9">
        <w:rPr>
          <w:rFonts w:ascii="Arial" w:hAnsi="Arial" w:cs="Arial"/>
          <w:i/>
          <w:iCs/>
          <w:sz w:val="24"/>
          <w:szCs w:val="24"/>
        </w:rPr>
        <w:t>Alstom Coradia iLINT – the world's 1st hydrogen powered passenger train.</w:t>
      </w:r>
      <w:r w:rsidRPr="002F09AA">
        <w:rPr>
          <w:rFonts w:ascii="Arial" w:hAnsi="Arial" w:cs="Arial"/>
          <w:sz w:val="24"/>
          <w:szCs w:val="24"/>
        </w:rPr>
        <w:t xml:space="preserve"> Available at: </w:t>
      </w:r>
      <w:hyperlink r:id="rId9" w:tgtFrame="_blank" w:history="1">
        <w:r w:rsidRPr="002F09AA">
          <w:rPr>
            <w:rStyle w:val="Hyperlink"/>
            <w:rFonts w:ascii="Arial" w:hAnsi="Arial" w:cs="Arial"/>
            <w:sz w:val="24"/>
            <w:szCs w:val="24"/>
          </w:rPr>
          <w:t>https://www.alstom.com/solutions/rolling-stock/alstom-coradia-ilint-worlds-1st-hydrogen-powered-passenger-train</w:t>
        </w:r>
      </w:hyperlink>
      <w:r w:rsidRPr="002F09AA">
        <w:rPr>
          <w:rFonts w:ascii="Arial" w:hAnsi="Arial" w:cs="Arial"/>
          <w:sz w:val="24"/>
          <w:szCs w:val="24"/>
        </w:rPr>
        <w:t xml:space="preserve"> (Accessed: 7 March 2025).</w:t>
      </w:r>
    </w:p>
    <w:p w14:paraId="67F72EE7"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 xml:space="preserve">Accelera (2025) </w:t>
      </w:r>
      <w:r w:rsidRPr="00260826">
        <w:rPr>
          <w:rFonts w:ascii="Arial" w:hAnsi="Arial" w:cs="Arial"/>
          <w:i/>
          <w:iCs/>
          <w:sz w:val="24"/>
          <w:szCs w:val="24"/>
        </w:rPr>
        <w:t>North America's first green hydrogen passenger train</w:t>
      </w:r>
      <w:r w:rsidRPr="00260826">
        <w:rPr>
          <w:rFonts w:ascii="Arial" w:hAnsi="Arial" w:cs="Arial"/>
          <w:sz w:val="24"/>
          <w:szCs w:val="24"/>
        </w:rPr>
        <w:t xml:space="preserve">. Available at: </w:t>
      </w:r>
      <w:hyperlink r:id="rId10" w:tgtFrame="_blank" w:history="1">
        <w:r w:rsidRPr="00260826">
          <w:rPr>
            <w:rStyle w:val="Hyperlink"/>
            <w:rFonts w:ascii="Arial" w:hAnsi="Arial" w:cs="Arial"/>
            <w:sz w:val="24"/>
            <w:szCs w:val="24"/>
          </w:rPr>
          <w:t>https://www.accelerazero.com/demos/fuel-cells/hydrogen-passenger-train</w:t>
        </w:r>
      </w:hyperlink>
      <w:r w:rsidRPr="00260826">
        <w:rPr>
          <w:rFonts w:ascii="Arial" w:hAnsi="Arial" w:cs="Arial"/>
          <w:sz w:val="24"/>
          <w:szCs w:val="24"/>
        </w:rPr>
        <w:t xml:space="preserve"> (Accessed: 7 March 2025).</w:t>
      </w:r>
    </w:p>
    <w:p w14:paraId="10CF3733"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Better Buildings Initiative (2025</w:t>
      </w:r>
      <w:r w:rsidRPr="00260826">
        <w:rPr>
          <w:rFonts w:ascii="Arial" w:hAnsi="Arial" w:cs="Arial"/>
          <w:i/>
          <w:iCs/>
          <w:sz w:val="24"/>
          <w:szCs w:val="24"/>
        </w:rPr>
        <w:t>) IHG Hotels &amp; Resorts Green Engage Program</w:t>
      </w:r>
      <w:r w:rsidRPr="00260826">
        <w:rPr>
          <w:rFonts w:ascii="Arial" w:hAnsi="Arial" w:cs="Arial"/>
          <w:sz w:val="24"/>
          <w:szCs w:val="24"/>
        </w:rPr>
        <w:t xml:space="preserve">. Available at: </w:t>
      </w:r>
      <w:hyperlink r:id="rId11" w:tgtFrame="_blank" w:history="1">
        <w:r w:rsidRPr="00260826">
          <w:rPr>
            <w:rStyle w:val="Hyperlink"/>
            <w:rFonts w:ascii="Arial" w:hAnsi="Arial" w:cs="Arial"/>
            <w:sz w:val="24"/>
            <w:szCs w:val="24"/>
          </w:rPr>
          <w:t>https://betterbuildingssolutioncenter.energy.gov/implementation-models/ihg-hotels-resorts-green-engage-program</w:t>
        </w:r>
      </w:hyperlink>
      <w:r w:rsidRPr="00260826">
        <w:rPr>
          <w:rFonts w:ascii="Arial" w:hAnsi="Arial" w:cs="Arial"/>
          <w:sz w:val="24"/>
          <w:szCs w:val="24"/>
        </w:rPr>
        <w:t xml:space="preserve"> (Accessed: 7 March 2025).</w:t>
      </w:r>
    </w:p>
    <w:p w14:paraId="78856CDA"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Encyclopedia MDPI (2025</w:t>
      </w:r>
      <w:r w:rsidRPr="00260826">
        <w:rPr>
          <w:rFonts w:ascii="Arial" w:hAnsi="Arial" w:cs="Arial"/>
          <w:i/>
          <w:iCs/>
          <w:sz w:val="24"/>
          <w:szCs w:val="24"/>
        </w:rPr>
        <w:t>) Environmental Aspects of Rail Transport</w:t>
      </w:r>
      <w:r w:rsidRPr="00260826">
        <w:rPr>
          <w:rFonts w:ascii="Arial" w:hAnsi="Arial" w:cs="Arial"/>
          <w:sz w:val="24"/>
          <w:szCs w:val="24"/>
        </w:rPr>
        <w:t xml:space="preserve">. Available at: </w:t>
      </w:r>
      <w:hyperlink r:id="rId12" w:tgtFrame="_blank" w:history="1">
        <w:r w:rsidRPr="00260826">
          <w:rPr>
            <w:rStyle w:val="Hyperlink"/>
            <w:rFonts w:ascii="Arial" w:hAnsi="Arial" w:cs="Arial"/>
            <w:sz w:val="24"/>
            <w:szCs w:val="24"/>
          </w:rPr>
          <w:t>https://encyclopedia.pub/entry/49333</w:t>
        </w:r>
      </w:hyperlink>
      <w:r w:rsidRPr="00260826">
        <w:rPr>
          <w:rFonts w:ascii="Arial" w:hAnsi="Arial" w:cs="Arial"/>
          <w:sz w:val="24"/>
          <w:szCs w:val="24"/>
        </w:rPr>
        <w:t xml:space="preserve"> (Accessed: 7 March 2025).</w:t>
      </w:r>
    </w:p>
    <w:p w14:paraId="31ADD26B"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 xml:space="preserve">European Commission (2025) </w:t>
      </w:r>
      <w:r w:rsidRPr="00260826">
        <w:rPr>
          <w:rFonts w:ascii="Arial" w:hAnsi="Arial" w:cs="Arial"/>
          <w:i/>
          <w:iCs/>
          <w:sz w:val="24"/>
          <w:szCs w:val="24"/>
        </w:rPr>
        <w:t>The European Green Deal</w:t>
      </w:r>
      <w:r w:rsidRPr="00260826">
        <w:rPr>
          <w:rFonts w:ascii="Arial" w:hAnsi="Arial" w:cs="Arial"/>
          <w:sz w:val="24"/>
          <w:szCs w:val="24"/>
        </w:rPr>
        <w:t xml:space="preserve">. Available at: </w:t>
      </w:r>
      <w:hyperlink r:id="rId13" w:tgtFrame="_blank" w:history="1">
        <w:r w:rsidRPr="00260826">
          <w:rPr>
            <w:rStyle w:val="Hyperlink"/>
            <w:rFonts w:ascii="Arial" w:hAnsi="Arial" w:cs="Arial"/>
            <w:sz w:val="24"/>
            <w:szCs w:val="24"/>
          </w:rPr>
          <w:t>https://ec.europa.eu/clima/eu-action/european-green-deal_en</w:t>
        </w:r>
      </w:hyperlink>
      <w:r w:rsidRPr="00260826">
        <w:rPr>
          <w:rFonts w:ascii="Arial" w:hAnsi="Arial" w:cs="Arial"/>
          <w:sz w:val="24"/>
          <w:szCs w:val="24"/>
        </w:rPr>
        <w:t xml:space="preserve"> (Accessed: 7 March 2025).</w:t>
      </w:r>
    </w:p>
    <w:p w14:paraId="746E2A03"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 xml:space="preserve">European Environment Agency (2025) </w:t>
      </w:r>
      <w:r w:rsidRPr="00260826">
        <w:rPr>
          <w:rFonts w:ascii="Arial" w:hAnsi="Arial" w:cs="Arial"/>
          <w:i/>
          <w:iCs/>
          <w:sz w:val="24"/>
          <w:szCs w:val="24"/>
        </w:rPr>
        <w:t>Rail and waterborne — best for low-carbon motorised transport.</w:t>
      </w:r>
      <w:r w:rsidRPr="00260826">
        <w:rPr>
          <w:rFonts w:ascii="Arial" w:hAnsi="Arial" w:cs="Arial"/>
          <w:sz w:val="24"/>
          <w:szCs w:val="24"/>
        </w:rPr>
        <w:t xml:space="preserve"> Available at: </w:t>
      </w:r>
      <w:hyperlink r:id="rId14" w:tgtFrame="_blank" w:history="1">
        <w:r w:rsidRPr="00260826">
          <w:rPr>
            <w:rStyle w:val="Hyperlink"/>
            <w:rFonts w:ascii="Arial" w:hAnsi="Arial" w:cs="Arial"/>
            <w:sz w:val="24"/>
            <w:szCs w:val="24"/>
          </w:rPr>
          <w:t>https://www.eea.europa.eu/publications/rail-and-waterborne-transport</w:t>
        </w:r>
      </w:hyperlink>
      <w:r w:rsidRPr="00260826">
        <w:rPr>
          <w:rFonts w:ascii="Arial" w:hAnsi="Arial" w:cs="Arial"/>
          <w:sz w:val="24"/>
          <w:szCs w:val="24"/>
        </w:rPr>
        <w:t xml:space="preserve"> (Accessed: 7 March 2025).</w:t>
      </w:r>
    </w:p>
    <w:p w14:paraId="414E9872"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 xml:space="preserve">Global Railway Review (2025) </w:t>
      </w:r>
      <w:r w:rsidRPr="00260826">
        <w:rPr>
          <w:rFonts w:ascii="Arial" w:hAnsi="Arial" w:cs="Arial"/>
          <w:i/>
          <w:iCs/>
          <w:sz w:val="24"/>
          <w:szCs w:val="24"/>
        </w:rPr>
        <w:t>Hydrogen-powered trains and their benefits in noise and vibration reduction</w:t>
      </w:r>
      <w:r w:rsidRPr="00260826">
        <w:rPr>
          <w:rFonts w:ascii="Arial" w:hAnsi="Arial" w:cs="Arial"/>
          <w:sz w:val="24"/>
          <w:szCs w:val="24"/>
        </w:rPr>
        <w:t xml:space="preserve">. Available at: </w:t>
      </w:r>
      <w:hyperlink r:id="rId15" w:tgtFrame="_blank" w:history="1">
        <w:r w:rsidRPr="00260826">
          <w:rPr>
            <w:rStyle w:val="Hyperlink"/>
            <w:rFonts w:ascii="Arial" w:hAnsi="Arial" w:cs="Arial"/>
            <w:sz w:val="24"/>
            <w:szCs w:val="24"/>
          </w:rPr>
          <w:t>https://www.globalrailwayreview.com/article/93584/hydrogen-trains-benefits-noise-vibration-reduction</w:t>
        </w:r>
      </w:hyperlink>
      <w:r w:rsidRPr="00260826">
        <w:rPr>
          <w:rFonts w:ascii="Arial" w:hAnsi="Arial" w:cs="Arial"/>
          <w:sz w:val="24"/>
          <w:szCs w:val="24"/>
        </w:rPr>
        <w:t xml:space="preserve"> (Accessed: 7 March 2025).</w:t>
      </w:r>
    </w:p>
    <w:p w14:paraId="7F3B21DB"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 xml:space="preserve">Gössling, S. and Hall, C.M. (2019) </w:t>
      </w:r>
      <w:r w:rsidRPr="00260826">
        <w:rPr>
          <w:rFonts w:ascii="Arial" w:hAnsi="Arial" w:cs="Arial"/>
          <w:i/>
          <w:iCs/>
          <w:sz w:val="24"/>
          <w:szCs w:val="24"/>
        </w:rPr>
        <w:t>‘Sustainable transportation in tourism: A systematic literature review’</w:t>
      </w:r>
      <w:r w:rsidRPr="00260826">
        <w:rPr>
          <w:rFonts w:ascii="Arial" w:hAnsi="Arial" w:cs="Arial"/>
          <w:sz w:val="24"/>
          <w:szCs w:val="24"/>
        </w:rPr>
        <w:t>, Tourism Management, 70, pp. 83-100.</w:t>
      </w:r>
    </w:p>
    <w:p w14:paraId="1A8EC399"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 xml:space="preserve">Green Key (2025) </w:t>
      </w:r>
      <w:r w:rsidRPr="00260826">
        <w:rPr>
          <w:rFonts w:ascii="Arial" w:hAnsi="Arial" w:cs="Arial"/>
          <w:i/>
          <w:iCs/>
          <w:sz w:val="24"/>
          <w:szCs w:val="24"/>
        </w:rPr>
        <w:t>Green Key — Chain Partners</w:t>
      </w:r>
      <w:r w:rsidRPr="00260826">
        <w:rPr>
          <w:rFonts w:ascii="Arial" w:hAnsi="Arial" w:cs="Arial"/>
          <w:sz w:val="24"/>
          <w:szCs w:val="24"/>
        </w:rPr>
        <w:t xml:space="preserve">. Available at: </w:t>
      </w:r>
      <w:hyperlink r:id="rId16" w:tgtFrame="_blank" w:history="1">
        <w:r w:rsidRPr="00260826">
          <w:rPr>
            <w:rStyle w:val="Hyperlink"/>
            <w:rFonts w:ascii="Arial" w:hAnsi="Arial" w:cs="Arial"/>
            <w:sz w:val="24"/>
            <w:szCs w:val="24"/>
          </w:rPr>
          <w:t>https://www.greenkey.global/hotel-chain-partners</w:t>
        </w:r>
      </w:hyperlink>
      <w:r w:rsidRPr="00260826">
        <w:rPr>
          <w:rFonts w:ascii="Arial" w:hAnsi="Arial" w:cs="Arial"/>
          <w:sz w:val="24"/>
          <w:szCs w:val="24"/>
        </w:rPr>
        <w:t xml:space="preserve"> (Accessed: 7 March 2025).</w:t>
      </w:r>
    </w:p>
    <w:p w14:paraId="71F293EE"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lastRenderedPageBreak/>
        <w:t>Green Tourism (2025</w:t>
      </w:r>
      <w:r w:rsidRPr="00260826">
        <w:rPr>
          <w:rFonts w:ascii="Arial" w:hAnsi="Arial" w:cs="Arial"/>
          <w:i/>
          <w:iCs/>
          <w:sz w:val="24"/>
          <w:szCs w:val="24"/>
        </w:rPr>
        <w:t>) Green Tourism - Green Tourism</w:t>
      </w:r>
      <w:r w:rsidRPr="00260826">
        <w:rPr>
          <w:rFonts w:ascii="Arial" w:hAnsi="Arial" w:cs="Arial"/>
          <w:sz w:val="24"/>
          <w:szCs w:val="24"/>
        </w:rPr>
        <w:t xml:space="preserve">. Available at: </w:t>
      </w:r>
      <w:hyperlink r:id="rId17" w:tgtFrame="_blank" w:history="1">
        <w:r w:rsidRPr="00260826">
          <w:rPr>
            <w:rStyle w:val="Hyperlink"/>
            <w:rFonts w:ascii="Arial" w:hAnsi="Arial" w:cs="Arial"/>
            <w:sz w:val="24"/>
            <w:szCs w:val="24"/>
          </w:rPr>
          <w:t>https://www.green-tourism.com/certifications/green-tourism-certification/</w:t>
        </w:r>
      </w:hyperlink>
      <w:r w:rsidRPr="00260826">
        <w:rPr>
          <w:rFonts w:ascii="Arial" w:hAnsi="Arial" w:cs="Arial"/>
          <w:sz w:val="24"/>
          <w:szCs w:val="24"/>
        </w:rPr>
        <w:t xml:space="preserve"> (Accessed: 7 March 2025).</w:t>
      </w:r>
    </w:p>
    <w:p w14:paraId="0221F904"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 xml:space="preserve">GSTC (2025) </w:t>
      </w:r>
      <w:r w:rsidRPr="00260826">
        <w:rPr>
          <w:rFonts w:ascii="Arial" w:hAnsi="Arial" w:cs="Arial"/>
          <w:i/>
          <w:iCs/>
          <w:sz w:val="24"/>
          <w:szCs w:val="24"/>
        </w:rPr>
        <w:t>Global Sustainable Tourism Council (GSTC): Criteria, Standards, Certifications</w:t>
      </w:r>
      <w:r w:rsidRPr="00260826">
        <w:rPr>
          <w:rFonts w:ascii="Arial" w:hAnsi="Arial" w:cs="Arial"/>
          <w:sz w:val="24"/>
          <w:szCs w:val="24"/>
        </w:rPr>
        <w:t xml:space="preserve">. Available at: </w:t>
      </w:r>
      <w:hyperlink r:id="rId18" w:tgtFrame="_blank" w:history="1">
        <w:r w:rsidRPr="00260826">
          <w:rPr>
            <w:rStyle w:val="Hyperlink"/>
            <w:rFonts w:ascii="Arial" w:hAnsi="Arial" w:cs="Arial"/>
            <w:sz w:val="24"/>
            <w:szCs w:val="24"/>
          </w:rPr>
          <w:t>https://www.gstcouncil.org/</w:t>
        </w:r>
      </w:hyperlink>
      <w:r w:rsidRPr="00260826">
        <w:rPr>
          <w:rFonts w:ascii="Arial" w:hAnsi="Arial" w:cs="Arial"/>
          <w:sz w:val="24"/>
          <w:szCs w:val="24"/>
        </w:rPr>
        <w:t xml:space="preserve"> (Accessed: 7 March 2025).</w:t>
      </w:r>
    </w:p>
    <w:p w14:paraId="6C5AC320" w14:textId="3DDCB009"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Hilton (202</w:t>
      </w:r>
      <w:r w:rsidR="007E0FC9">
        <w:rPr>
          <w:rFonts w:ascii="Arial" w:hAnsi="Arial" w:cs="Arial"/>
          <w:sz w:val="24"/>
          <w:szCs w:val="24"/>
        </w:rPr>
        <w:t>2</w:t>
      </w:r>
      <w:r w:rsidRPr="00260826">
        <w:rPr>
          <w:rFonts w:ascii="Arial" w:hAnsi="Arial" w:cs="Arial"/>
          <w:sz w:val="24"/>
          <w:szCs w:val="24"/>
        </w:rPr>
        <w:t xml:space="preserve">) </w:t>
      </w:r>
      <w:r w:rsidRPr="00260826">
        <w:rPr>
          <w:rFonts w:ascii="Arial" w:hAnsi="Arial" w:cs="Arial"/>
          <w:i/>
          <w:iCs/>
          <w:sz w:val="24"/>
          <w:szCs w:val="24"/>
        </w:rPr>
        <w:t>Hilton environmental report</w:t>
      </w:r>
      <w:r w:rsidRPr="00260826">
        <w:rPr>
          <w:rFonts w:ascii="Arial" w:hAnsi="Arial" w:cs="Arial"/>
          <w:sz w:val="24"/>
          <w:szCs w:val="24"/>
        </w:rPr>
        <w:t xml:space="preserve">. Available at: </w:t>
      </w:r>
      <w:hyperlink r:id="rId19" w:history="1">
        <w:r w:rsidR="007E0FC9" w:rsidRPr="003F048E">
          <w:rPr>
            <w:rStyle w:val="Hyperlink"/>
            <w:rFonts w:ascii="Arial" w:hAnsi="Arial" w:cs="Arial"/>
            <w:sz w:val="24"/>
            <w:szCs w:val="24"/>
          </w:rPr>
          <w:t>https://esg.hilton.com/wp-content/uploads/sites/4/2023/04/Hilton-2022-Environmental-Social-and-Governance-Report.pdf</w:t>
        </w:r>
      </w:hyperlink>
      <w:r w:rsidR="007E0FC9">
        <w:rPr>
          <w:rFonts w:ascii="Arial" w:hAnsi="Arial" w:cs="Arial"/>
          <w:sz w:val="24"/>
          <w:szCs w:val="24"/>
        </w:rPr>
        <w:t xml:space="preserve"> </w:t>
      </w:r>
      <w:r w:rsidRPr="00260826">
        <w:rPr>
          <w:rFonts w:ascii="Arial" w:hAnsi="Arial" w:cs="Arial"/>
          <w:sz w:val="24"/>
          <w:szCs w:val="24"/>
        </w:rPr>
        <w:t xml:space="preserve"> (Accessed: 7 March 2025).</w:t>
      </w:r>
    </w:p>
    <w:p w14:paraId="70FC9710"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 xml:space="preserve">Hotel Direct (2025) </w:t>
      </w:r>
      <w:r w:rsidRPr="00260826">
        <w:rPr>
          <w:rFonts w:ascii="Arial" w:hAnsi="Arial" w:cs="Arial"/>
          <w:i/>
          <w:iCs/>
          <w:sz w:val="24"/>
          <w:szCs w:val="24"/>
        </w:rPr>
        <w:t>Rail Breaks to LONDON - 1/2 price hotel and rail deals</w:t>
      </w:r>
      <w:r w:rsidRPr="00260826">
        <w:rPr>
          <w:rFonts w:ascii="Arial" w:hAnsi="Arial" w:cs="Arial"/>
          <w:sz w:val="24"/>
          <w:szCs w:val="24"/>
        </w:rPr>
        <w:t xml:space="preserve">. Available at: </w:t>
      </w:r>
      <w:hyperlink r:id="rId20" w:tgtFrame="_blank" w:history="1">
        <w:r w:rsidRPr="00260826">
          <w:rPr>
            <w:rStyle w:val="Hyperlink"/>
            <w:rFonts w:ascii="Arial" w:hAnsi="Arial" w:cs="Arial"/>
            <w:sz w:val="24"/>
            <w:szCs w:val="24"/>
          </w:rPr>
          <w:t>https://www.hoteldirect.co.uk/railbreaks/</w:t>
        </w:r>
      </w:hyperlink>
      <w:r w:rsidRPr="00260826">
        <w:rPr>
          <w:rFonts w:ascii="Arial" w:hAnsi="Arial" w:cs="Arial"/>
          <w:sz w:val="24"/>
          <w:szCs w:val="24"/>
        </w:rPr>
        <w:t xml:space="preserve"> (Accessed: 7 March 2025).</w:t>
      </w:r>
    </w:p>
    <w:p w14:paraId="253C3C12"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 xml:space="preserve">IEC e-tech (2025) </w:t>
      </w:r>
      <w:r w:rsidRPr="00260826">
        <w:rPr>
          <w:rFonts w:ascii="Arial" w:hAnsi="Arial" w:cs="Arial"/>
          <w:i/>
          <w:iCs/>
          <w:sz w:val="24"/>
          <w:szCs w:val="24"/>
        </w:rPr>
        <w:t>All aboard the hydrogen train</w:t>
      </w:r>
      <w:r w:rsidRPr="00260826">
        <w:rPr>
          <w:rFonts w:ascii="Arial" w:hAnsi="Arial" w:cs="Arial"/>
          <w:sz w:val="24"/>
          <w:szCs w:val="24"/>
        </w:rPr>
        <w:t xml:space="preserve">. Available at: </w:t>
      </w:r>
      <w:hyperlink r:id="rId21" w:tgtFrame="_blank" w:history="1">
        <w:r w:rsidRPr="00260826">
          <w:rPr>
            <w:rStyle w:val="Hyperlink"/>
            <w:rFonts w:ascii="Arial" w:hAnsi="Arial" w:cs="Arial"/>
            <w:sz w:val="24"/>
            <w:szCs w:val="24"/>
          </w:rPr>
          <w:t>https://etech.iec.ch/issue/2024-02/all-aboard-the-hydrogen-train</w:t>
        </w:r>
      </w:hyperlink>
      <w:r w:rsidRPr="00260826">
        <w:rPr>
          <w:rFonts w:ascii="Arial" w:hAnsi="Arial" w:cs="Arial"/>
          <w:sz w:val="24"/>
          <w:szCs w:val="24"/>
        </w:rPr>
        <w:t xml:space="preserve"> (Accessed: 7 March 2025).</w:t>
      </w:r>
    </w:p>
    <w:p w14:paraId="12D950BD" w14:textId="5F5BEB09"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Lenzen, M., Sun, Y.-Y., Faturay, F., Ting, Y.-P., Geschke, A. and Malik, A. (2018) ‘The carbon footprint of global tourism’</w:t>
      </w:r>
      <w:r w:rsidRPr="00260826">
        <w:rPr>
          <w:rFonts w:ascii="Arial" w:hAnsi="Arial" w:cs="Arial"/>
          <w:i/>
          <w:iCs/>
          <w:sz w:val="24"/>
          <w:szCs w:val="24"/>
        </w:rPr>
        <w:t>, Nature Communications</w:t>
      </w:r>
      <w:r w:rsidRPr="00260826">
        <w:rPr>
          <w:rFonts w:ascii="Arial" w:hAnsi="Arial" w:cs="Arial"/>
          <w:sz w:val="24"/>
          <w:szCs w:val="24"/>
        </w:rPr>
        <w:t xml:space="preserve">, 9(1), pp. 1-12. Available at: </w:t>
      </w:r>
      <w:hyperlink r:id="rId22" w:history="1">
        <w:r w:rsidR="007E0FC9" w:rsidRPr="003F048E">
          <w:rPr>
            <w:rStyle w:val="Hyperlink"/>
            <w:rFonts w:ascii="Arial" w:hAnsi="Arial" w:cs="Arial"/>
            <w:sz w:val="24"/>
            <w:szCs w:val="24"/>
          </w:rPr>
          <w:t>https://www.pichimahuida.info/Pichimahuida/lago-leones_files/Tourism%20is%20responsible%20for%208%25%20of%20greenhouse%20gas%20emissions.pdf</w:t>
        </w:r>
      </w:hyperlink>
      <w:r w:rsidR="007E0FC9">
        <w:rPr>
          <w:rFonts w:ascii="Arial" w:hAnsi="Arial" w:cs="Arial"/>
          <w:sz w:val="24"/>
          <w:szCs w:val="24"/>
        </w:rPr>
        <w:t xml:space="preserve"> </w:t>
      </w:r>
      <w:r w:rsidRPr="00260826">
        <w:rPr>
          <w:rFonts w:ascii="Arial" w:hAnsi="Arial" w:cs="Arial"/>
          <w:sz w:val="24"/>
          <w:szCs w:val="24"/>
        </w:rPr>
        <w:t xml:space="preserve"> (Accessed: 7 March 2025).</w:t>
      </w:r>
    </w:p>
    <w:p w14:paraId="35FB201A" w14:textId="465A89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 xml:space="preserve">Marriott (2025) </w:t>
      </w:r>
      <w:r w:rsidRPr="00260826">
        <w:rPr>
          <w:rFonts w:ascii="Arial" w:hAnsi="Arial" w:cs="Arial"/>
          <w:i/>
          <w:iCs/>
          <w:sz w:val="24"/>
          <w:szCs w:val="24"/>
        </w:rPr>
        <w:t>Marriott International sustainability</w:t>
      </w:r>
      <w:r w:rsidRPr="00260826">
        <w:rPr>
          <w:rFonts w:ascii="Arial" w:hAnsi="Arial" w:cs="Arial"/>
          <w:sz w:val="24"/>
          <w:szCs w:val="24"/>
        </w:rPr>
        <w:t xml:space="preserve">. Available at: </w:t>
      </w:r>
      <w:hyperlink r:id="rId23" w:history="1">
        <w:r w:rsidR="000B3488" w:rsidRPr="003F048E">
          <w:rPr>
            <w:rStyle w:val="Hyperlink"/>
            <w:rFonts w:ascii="Arial" w:hAnsi="Arial" w:cs="Arial"/>
            <w:sz w:val="24"/>
            <w:szCs w:val="24"/>
          </w:rPr>
          <w:t>https://serve360.marriott.com/wp-content/uploads/2019/02/Serve_360_2025_Goals_Dec_14.pdf</w:t>
        </w:r>
      </w:hyperlink>
      <w:r w:rsidR="000B3488">
        <w:rPr>
          <w:rFonts w:ascii="Arial" w:hAnsi="Arial" w:cs="Arial"/>
          <w:sz w:val="24"/>
          <w:szCs w:val="24"/>
        </w:rPr>
        <w:t xml:space="preserve"> </w:t>
      </w:r>
      <w:r w:rsidRPr="00260826">
        <w:rPr>
          <w:rFonts w:ascii="Arial" w:hAnsi="Arial" w:cs="Arial"/>
          <w:sz w:val="24"/>
          <w:szCs w:val="24"/>
        </w:rPr>
        <w:t>(Accessed: 7 March 2025).</w:t>
      </w:r>
    </w:p>
    <w:p w14:paraId="7E0B5D2F"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 xml:space="preserve">Our World in Data (2025) </w:t>
      </w:r>
      <w:r w:rsidRPr="00260826">
        <w:rPr>
          <w:rFonts w:ascii="Arial" w:hAnsi="Arial" w:cs="Arial"/>
          <w:i/>
          <w:iCs/>
          <w:sz w:val="24"/>
          <w:szCs w:val="24"/>
        </w:rPr>
        <w:t>Travel carbon footprint</w:t>
      </w:r>
      <w:r w:rsidRPr="00260826">
        <w:rPr>
          <w:rFonts w:ascii="Arial" w:hAnsi="Arial" w:cs="Arial"/>
          <w:sz w:val="24"/>
          <w:szCs w:val="24"/>
        </w:rPr>
        <w:t xml:space="preserve">. Available at: </w:t>
      </w:r>
      <w:hyperlink r:id="rId24" w:tgtFrame="_blank" w:history="1">
        <w:r w:rsidRPr="00260826">
          <w:rPr>
            <w:rStyle w:val="Hyperlink"/>
            <w:rFonts w:ascii="Arial" w:hAnsi="Arial" w:cs="Arial"/>
            <w:sz w:val="24"/>
            <w:szCs w:val="24"/>
          </w:rPr>
          <w:t>https://ourworldindata.org/travel-carbon-footprint</w:t>
        </w:r>
      </w:hyperlink>
      <w:r w:rsidRPr="00260826">
        <w:rPr>
          <w:rFonts w:ascii="Arial" w:hAnsi="Arial" w:cs="Arial"/>
          <w:sz w:val="24"/>
          <w:szCs w:val="24"/>
        </w:rPr>
        <w:t xml:space="preserve"> (Accessed: 7 March 2025).</w:t>
      </w:r>
    </w:p>
    <w:p w14:paraId="1502C8D1"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 xml:space="preserve">Railbookers (2025) </w:t>
      </w:r>
      <w:r w:rsidRPr="00260826">
        <w:rPr>
          <w:rFonts w:ascii="Arial" w:hAnsi="Arial" w:cs="Arial"/>
          <w:i/>
          <w:iCs/>
          <w:sz w:val="24"/>
          <w:szCs w:val="24"/>
        </w:rPr>
        <w:t>Accommodations to Fit Your Style</w:t>
      </w:r>
      <w:r w:rsidRPr="00260826">
        <w:rPr>
          <w:rFonts w:ascii="Arial" w:hAnsi="Arial" w:cs="Arial"/>
          <w:sz w:val="24"/>
          <w:szCs w:val="24"/>
        </w:rPr>
        <w:t xml:space="preserve">. Available at: </w:t>
      </w:r>
      <w:hyperlink r:id="rId25" w:tgtFrame="_blank" w:history="1">
        <w:r w:rsidRPr="00260826">
          <w:rPr>
            <w:rStyle w:val="Hyperlink"/>
            <w:rFonts w:ascii="Arial" w:hAnsi="Arial" w:cs="Arial"/>
            <w:sz w:val="24"/>
            <w:szCs w:val="24"/>
          </w:rPr>
          <w:t>https://www.railbookers.com/where-to-start/accommodations-to-fit-your-style</w:t>
        </w:r>
      </w:hyperlink>
      <w:r w:rsidRPr="00260826">
        <w:rPr>
          <w:rFonts w:ascii="Arial" w:hAnsi="Arial" w:cs="Arial"/>
          <w:sz w:val="24"/>
          <w:szCs w:val="24"/>
        </w:rPr>
        <w:t xml:space="preserve"> (Accessed: 7 March 2025).</w:t>
      </w:r>
    </w:p>
    <w:p w14:paraId="26DEAD67"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lastRenderedPageBreak/>
        <w:t xml:space="preserve">RWB Group UK (2025) </w:t>
      </w:r>
      <w:r w:rsidRPr="00260826">
        <w:rPr>
          <w:rFonts w:ascii="Arial" w:hAnsi="Arial" w:cs="Arial"/>
          <w:i/>
          <w:iCs/>
          <w:sz w:val="24"/>
          <w:szCs w:val="24"/>
        </w:rPr>
        <w:t>How Do Railways Impact The Environment?.</w:t>
      </w:r>
      <w:r w:rsidRPr="00260826">
        <w:rPr>
          <w:rFonts w:ascii="Arial" w:hAnsi="Arial" w:cs="Arial"/>
          <w:sz w:val="24"/>
          <w:szCs w:val="24"/>
        </w:rPr>
        <w:t xml:space="preserve"> Available at: </w:t>
      </w:r>
      <w:hyperlink r:id="rId26" w:tgtFrame="_blank" w:history="1">
        <w:r w:rsidRPr="00260826">
          <w:rPr>
            <w:rStyle w:val="Hyperlink"/>
            <w:rFonts w:ascii="Arial" w:hAnsi="Arial" w:cs="Arial"/>
            <w:sz w:val="24"/>
            <w:szCs w:val="24"/>
          </w:rPr>
          <w:t>https://www.rwbgroup.co.uk/how-do-railways-impact-the-environment/</w:t>
        </w:r>
      </w:hyperlink>
      <w:r w:rsidRPr="00260826">
        <w:rPr>
          <w:rFonts w:ascii="Arial" w:hAnsi="Arial" w:cs="Arial"/>
          <w:sz w:val="24"/>
          <w:szCs w:val="24"/>
        </w:rPr>
        <w:t xml:space="preserve"> (Accessed: 7 March 2025).</w:t>
      </w:r>
    </w:p>
    <w:p w14:paraId="47AF1A17"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 xml:space="preserve">ScienceDirect (2025) </w:t>
      </w:r>
      <w:r w:rsidRPr="00260826">
        <w:rPr>
          <w:rFonts w:ascii="Arial" w:hAnsi="Arial" w:cs="Arial"/>
          <w:i/>
          <w:iCs/>
          <w:sz w:val="24"/>
          <w:szCs w:val="24"/>
        </w:rPr>
        <w:t>Hydrogen fuel cell electric trains: Technologies, current status, and future</w:t>
      </w:r>
      <w:r w:rsidRPr="00260826">
        <w:rPr>
          <w:rFonts w:ascii="Arial" w:hAnsi="Arial" w:cs="Arial"/>
          <w:sz w:val="24"/>
          <w:szCs w:val="24"/>
        </w:rPr>
        <w:t xml:space="preserve">. Available at: </w:t>
      </w:r>
      <w:hyperlink r:id="rId27" w:tgtFrame="_blank" w:history="1">
        <w:r w:rsidRPr="00260826">
          <w:rPr>
            <w:rStyle w:val="Hyperlink"/>
            <w:rFonts w:ascii="Arial" w:hAnsi="Arial" w:cs="Arial"/>
            <w:sz w:val="24"/>
            <w:szCs w:val="24"/>
          </w:rPr>
          <w:t>https://www.sciencedirect.com/science/article/pii/S2666352X24000104</w:t>
        </w:r>
      </w:hyperlink>
      <w:r w:rsidRPr="00260826">
        <w:rPr>
          <w:rFonts w:ascii="Arial" w:hAnsi="Arial" w:cs="Arial"/>
          <w:sz w:val="24"/>
          <w:szCs w:val="24"/>
        </w:rPr>
        <w:t xml:space="preserve"> (Accessed: 7 March 2025).</w:t>
      </w:r>
    </w:p>
    <w:p w14:paraId="2388BDBF"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 xml:space="preserve">The Pig (2025) </w:t>
      </w:r>
      <w:r w:rsidRPr="00260826">
        <w:rPr>
          <w:rFonts w:ascii="Arial" w:hAnsi="Arial" w:cs="Arial"/>
          <w:i/>
          <w:iCs/>
          <w:sz w:val="24"/>
          <w:szCs w:val="24"/>
        </w:rPr>
        <w:t>The Pig | Sustainability</w:t>
      </w:r>
      <w:r w:rsidRPr="00260826">
        <w:rPr>
          <w:rFonts w:ascii="Arial" w:hAnsi="Arial" w:cs="Arial"/>
          <w:sz w:val="24"/>
          <w:szCs w:val="24"/>
        </w:rPr>
        <w:t xml:space="preserve">. Available at: </w:t>
      </w:r>
      <w:hyperlink r:id="rId28" w:tgtFrame="_blank" w:history="1">
        <w:r w:rsidRPr="00260826">
          <w:rPr>
            <w:rStyle w:val="Hyperlink"/>
            <w:rFonts w:ascii="Arial" w:hAnsi="Arial" w:cs="Arial"/>
            <w:sz w:val="24"/>
            <w:szCs w:val="24"/>
          </w:rPr>
          <w:t>https://thepighotel.com/sustainability</w:t>
        </w:r>
      </w:hyperlink>
      <w:r w:rsidRPr="00260826">
        <w:rPr>
          <w:rFonts w:ascii="Arial" w:hAnsi="Arial" w:cs="Arial"/>
          <w:sz w:val="24"/>
          <w:szCs w:val="24"/>
        </w:rPr>
        <w:t xml:space="preserve"> (Accessed: 7 March 2025).</w:t>
      </w:r>
    </w:p>
    <w:p w14:paraId="4FE4169C"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 xml:space="preserve">UN (2025) </w:t>
      </w:r>
      <w:r w:rsidRPr="00260826">
        <w:rPr>
          <w:rFonts w:ascii="Arial" w:hAnsi="Arial" w:cs="Arial"/>
          <w:i/>
          <w:iCs/>
          <w:sz w:val="24"/>
          <w:szCs w:val="24"/>
        </w:rPr>
        <w:t>Sustainable Development Goals</w:t>
      </w:r>
      <w:r w:rsidRPr="00260826">
        <w:rPr>
          <w:rFonts w:ascii="Arial" w:hAnsi="Arial" w:cs="Arial"/>
          <w:sz w:val="24"/>
          <w:szCs w:val="24"/>
        </w:rPr>
        <w:t xml:space="preserve">. Available at: </w:t>
      </w:r>
      <w:hyperlink r:id="rId29" w:tgtFrame="_blank" w:history="1">
        <w:r w:rsidRPr="00260826">
          <w:rPr>
            <w:rStyle w:val="Hyperlink"/>
            <w:rFonts w:ascii="Arial" w:hAnsi="Arial" w:cs="Arial"/>
            <w:sz w:val="24"/>
            <w:szCs w:val="24"/>
          </w:rPr>
          <w:t>https://sdgs.un.org/goals</w:t>
        </w:r>
      </w:hyperlink>
      <w:r w:rsidRPr="00260826">
        <w:rPr>
          <w:rFonts w:ascii="Arial" w:hAnsi="Arial" w:cs="Arial"/>
          <w:sz w:val="24"/>
          <w:szCs w:val="24"/>
        </w:rPr>
        <w:t xml:space="preserve"> (Accessed: 7 March 2025).</w:t>
      </w:r>
    </w:p>
    <w:p w14:paraId="7C4450C9"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 xml:space="preserve">Wikipedia (2025) </w:t>
      </w:r>
      <w:r w:rsidRPr="00260826">
        <w:rPr>
          <w:rFonts w:ascii="Arial" w:hAnsi="Arial" w:cs="Arial"/>
          <w:i/>
          <w:iCs/>
          <w:sz w:val="24"/>
          <w:szCs w:val="24"/>
        </w:rPr>
        <w:t>Hydrogen train</w:t>
      </w:r>
      <w:r w:rsidRPr="00260826">
        <w:rPr>
          <w:rFonts w:ascii="Arial" w:hAnsi="Arial" w:cs="Arial"/>
          <w:sz w:val="24"/>
          <w:szCs w:val="24"/>
        </w:rPr>
        <w:t xml:space="preserve">. Available at: </w:t>
      </w:r>
      <w:hyperlink r:id="rId30" w:tgtFrame="_blank" w:history="1">
        <w:r w:rsidRPr="00260826">
          <w:rPr>
            <w:rStyle w:val="Hyperlink"/>
            <w:rFonts w:ascii="Arial" w:hAnsi="Arial" w:cs="Arial"/>
            <w:sz w:val="24"/>
            <w:szCs w:val="24"/>
          </w:rPr>
          <w:t>https://en.wikipedia.org/wiki/Hydrogen_train</w:t>
        </w:r>
      </w:hyperlink>
      <w:r w:rsidRPr="00260826">
        <w:rPr>
          <w:rFonts w:ascii="Arial" w:hAnsi="Arial" w:cs="Arial"/>
          <w:sz w:val="24"/>
          <w:szCs w:val="24"/>
        </w:rPr>
        <w:t xml:space="preserve"> (Accessed: 7 March 2025).</w:t>
      </w:r>
    </w:p>
    <w:p w14:paraId="63DC215C"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 xml:space="preserve">World Economic Forum (2023) </w:t>
      </w:r>
      <w:r w:rsidRPr="00260826">
        <w:rPr>
          <w:rFonts w:ascii="Arial" w:hAnsi="Arial" w:cs="Arial"/>
          <w:i/>
          <w:iCs/>
          <w:sz w:val="24"/>
          <w:szCs w:val="24"/>
        </w:rPr>
        <w:t>Survey of travellers finds 76% want more sustainable options</w:t>
      </w:r>
      <w:r w:rsidRPr="00260826">
        <w:rPr>
          <w:rFonts w:ascii="Arial" w:hAnsi="Arial" w:cs="Arial"/>
          <w:sz w:val="24"/>
          <w:szCs w:val="24"/>
        </w:rPr>
        <w:t xml:space="preserve">. Available at: </w:t>
      </w:r>
      <w:hyperlink r:id="rId31" w:tgtFrame="_blank" w:history="1">
        <w:r w:rsidRPr="00260826">
          <w:rPr>
            <w:rStyle w:val="Hyperlink"/>
            <w:rFonts w:ascii="Arial" w:hAnsi="Arial" w:cs="Arial"/>
            <w:sz w:val="24"/>
            <w:szCs w:val="24"/>
          </w:rPr>
          <w:t>https://www.weforum.org/stories/2023/04/survey-of-travelers-finds-76-want-more-sustainable-options/</w:t>
        </w:r>
      </w:hyperlink>
      <w:r w:rsidRPr="00260826">
        <w:rPr>
          <w:rFonts w:ascii="Arial" w:hAnsi="Arial" w:cs="Arial"/>
          <w:sz w:val="24"/>
          <w:szCs w:val="24"/>
        </w:rPr>
        <w:t xml:space="preserve"> (Accessed: 7 March 2025).</w:t>
      </w:r>
    </w:p>
    <w:p w14:paraId="0EF8A775" w14:textId="77777777" w:rsidR="00260826" w:rsidRPr="00260826" w:rsidRDefault="00260826" w:rsidP="00260826">
      <w:pPr>
        <w:numPr>
          <w:ilvl w:val="0"/>
          <w:numId w:val="2"/>
        </w:numPr>
        <w:spacing w:line="360" w:lineRule="auto"/>
        <w:jc w:val="both"/>
        <w:rPr>
          <w:rFonts w:ascii="Arial" w:hAnsi="Arial" w:cs="Arial"/>
          <w:sz w:val="24"/>
          <w:szCs w:val="24"/>
        </w:rPr>
      </w:pPr>
      <w:r w:rsidRPr="00260826">
        <w:rPr>
          <w:rFonts w:ascii="Arial" w:hAnsi="Arial" w:cs="Arial"/>
          <w:sz w:val="24"/>
          <w:szCs w:val="24"/>
        </w:rPr>
        <w:t xml:space="preserve">World Economic Forum (2024) </w:t>
      </w:r>
      <w:r w:rsidRPr="00260826">
        <w:rPr>
          <w:rFonts w:ascii="Arial" w:hAnsi="Arial" w:cs="Arial"/>
          <w:i/>
          <w:iCs/>
          <w:sz w:val="24"/>
          <w:szCs w:val="24"/>
        </w:rPr>
        <w:t>Can hydrogen-powered trains make rail travel greener?</w:t>
      </w:r>
      <w:r w:rsidRPr="00260826">
        <w:rPr>
          <w:rFonts w:ascii="Arial" w:hAnsi="Arial" w:cs="Arial"/>
          <w:sz w:val="24"/>
          <w:szCs w:val="24"/>
        </w:rPr>
        <w:t xml:space="preserve">. Available at: </w:t>
      </w:r>
      <w:hyperlink r:id="rId32" w:tgtFrame="_blank" w:history="1">
        <w:r w:rsidRPr="00260826">
          <w:rPr>
            <w:rStyle w:val="Hyperlink"/>
            <w:rFonts w:ascii="Arial" w:hAnsi="Arial" w:cs="Arial"/>
            <w:sz w:val="24"/>
            <w:szCs w:val="24"/>
          </w:rPr>
          <w:t>https://www.weforum.org/stories/2024/09/hydrogen-trains-sustainable-transport/</w:t>
        </w:r>
      </w:hyperlink>
      <w:r w:rsidRPr="00260826">
        <w:rPr>
          <w:rFonts w:ascii="Arial" w:hAnsi="Arial" w:cs="Arial"/>
          <w:sz w:val="24"/>
          <w:szCs w:val="24"/>
        </w:rPr>
        <w:t xml:space="preserve"> (Accessed: 7 March 2025).</w:t>
      </w:r>
    </w:p>
    <w:p w14:paraId="42BABF99" w14:textId="743CEF98" w:rsidR="00662D64" w:rsidRDefault="00662D64" w:rsidP="00260826">
      <w:pPr>
        <w:spacing w:line="360" w:lineRule="auto"/>
        <w:jc w:val="both"/>
        <w:rPr>
          <w:rFonts w:ascii="Arial" w:hAnsi="Arial" w:cs="Arial"/>
          <w:sz w:val="24"/>
          <w:szCs w:val="24"/>
        </w:rPr>
      </w:pPr>
    </w:p>
    <w:p w14:paraId="1909BEF9" w14:textId="77777777" w:rsidR="003336F4" w:rsidRDefault="003336F4" w:rsidP="00260826">
      <w:pPr>
        <w:spacing w:line="360" w:lineRule="auto"/>
        <w:jc w:val="both"/>
        <w:rPr>
          <w:rFonts w:ascii="Arial" w:hAnsi="Arial" w:cs="Arial"/>
          <w:sz w:val="24"/>
          <w:szCs w:val="24"/>
        </w:rPr>
      </w:pPr>
    </w:p>
    <w:p w14:paraId="07D9038C" w14:textId="77777777" w:rsidR="003336F4" w:rsidRDefault="003336F4" w:rsidP="00260826">
      <w:pPr>
        <w:spacing w:line="360" w:lineRule="auto"/>
        <w:jc w:val="both"/>
        <w:rPr>
          <w:rFonts w:ascii="Arial" w:hAnsi="Arial" w:cs="Arial"/>
          <w:sz w:val="24"/>
          <w:szCs w:val="24"/>
        </w:rPr>
      </w:pPr>
    </w:p>
    <w:p w14:paraId="147C3DA4" w14:textId="77777777" w:rsidR="003336F4" w:rsidRDefault="003336F4" w:rsidP="00260826">
      <w:pPr>
        <w:spacing w:line="360" w:lineRule="auto"/>
        <w:jc w:val="both"/>
        <w:rPr>
          <w:rFonts w:ascii="Arial" w:hAnsi="Arial" w:cs="Arial"/>
          <w:sz w:val="24"/>
          <w:szCs w:val="24"/>
        </w:rPr>
      </w:pPr>
    </w:p>
    <w:p w14:paraId="525F5342" w14:textId="77777777" w:rsidR="003336F4" w:rsidRDefault="003336F4" w:rsidP="00260826">
      <w:pPr>
        <w:spacing w:line="360" w:lineRule="auto"/>
        <w:jc w:val="both"/>
        <w:rPr>
          <w:rFonts w:ascii="Arial" w:hAnsi="Arial" w:cs="Arial"/>
          <w:sz w:val="24"/>
          <w:szCs w:val="24"/>
        </w:rPr>
      </w:pPr>
    </w:p>
    <w:p w14:paraId="4B3787A2" w14:textId="77777777" w:rsidR="003336F4" w:rsidRDefault="003336F4" w:rsidP="00260826">
      <w:pPr>
        <w:spacing w:line="360" w:lineRule="auto"/>
        <w:jc w:val="both"/>
        <w:rPr>
          <w:rFonts w:ascii="Arial" w:hAnsi="Arial" w:cs="Arial"/>
          <w:sz w:val="24"/>
          <w:szCs w:val="24"/>
        </w:rPr>
      </w:pPr>
    </w:p>
    <w:p w14:paraId="426E228A" w14:textId="77777777" w:rsidR="003336F4" w:rsidRDefault="003336F4" w:rsidP="00260826">
      <w:pPr>
        <w:spacing w:line="360" w:lineRule="auto"/>
        <w:jc w:val="both"/>
        <w:rPr>
          <w:rFonts w:ascii="Arial" w:hAnsi="Arial" w:cs="Arial"/>
          <w:sz w:val="24"/>
          <w:szCs w:val="24"/>
        </w:rPr>
      </w:pPr>
    </w:p>
    <w:p w14:paraId="4613DE18" w14:textId="77777777" w:rsidR="003336F4" w:rsidRDefault="003336F4" w:rsidP="00260826">
      <w:pPr>
        <w:spacing w:line="360" w:lineRule="auto"/>
        <w:jc w:val="both"/>
        <w:rPr>
          <w:rFonts w:ascii="Arial" w:hAnsi="Arial" w:cs="Arial"/>
          <w:sz w:val="24"/>
          <w:szCs w:val="24"/>
        </w:rPr>
      </w:pPr>
    </w:p>
    <w:p w14:paraId="4207A352" w14:textId="77777777" w:rsidR="003336F4" w:rsidRPr="003336F4" w:rsidRDefault="003336F4" w:rsidP="003336F4">
      <w:pPr>
        <w:spacing w:line="360" w:lineRule="auto"/>
        <w:jc w:val="both"/>
        <w:rPr>
          <w:rFonts w:ascii="Arial" w:hAnsi="Arial" w:cs="Arial"/>
          <w:sz w:val="24"/>
          <w:szCs w:val="24"/>
        </w:rPr>
      </w:pPr>
      <w:r w:rsidRPr="003336F4">
        <w:rPr>
          <w:rFonts w:ascii="Arial" w:hAnsi="Arial" w:cs="Arial"/>
          <w:sz w:val="24"/>
          <w:szCs w:val="24"/>
        </w:rPr>
        <w:lastRenderedPageBreak/>
        <w:t xml:space="preserve">AI acknowledgement </w:t>
      </w:r>
    </w:p>
    <w:p w14:paraId="3A115755" w14:textId="77777777" w:rsidR="003336F4" w:rsidRPr="003336F4" w:rsidRDefault="003336F4" w:rsidP="003336F4">
      <w:pPr>
        <w:spacing w:line="360" w:lineRule="auto"/>
        <w:jc w:val="both"/>
        <w:rPr>
          <w:rFonts w:ascii="Arial" w:hAnsi="Arial" w:cs="Arial"/>
          <w:sz w:val="24"/>
          <w:szCs w:val="24"/>
        </w:rPr>
      </w:pPr>
    </w:p>
    <w:p w14:paraId="465029DA" w14:textId="60C2F72F" w:rsidR="003336F4" w:rsidRPr="003336F4" w:rsidRDefault="003336F4" w:rsidP="003336F4">
      <w:pPr>
        <w:spacing w:line="360" w:lineRule="auto"/>
        <w:jc w:val="both"/>
        <w:rPr>
          <w:rFonts w:ascii="Arial" w:hAnsi="Arial" w:cs="Arial"/>
          <w:sz w:val="24"/>
          <w:szCs w:val="24"/>
        </w:rPr>
      </w:pPr>
      <w:r w:rsidRPr="003336F4">
        <w:rPr>
          <w:rFonts w:ascii="Arial" w:hAnsi="Arial" w:cs="Arial"/>
          <w:sz w:val="24"/>
          <w:szCs w:val="24"/>
        </w:rPr>
        <w:t>I acknowledge the use of ChatGPT (https://chatgpt.com/) on 0</w:t>
      </w:r>
      <w:r>
        <w:rPr>
          <w:rFonts w:ascii="Arial" w:hAnsi="Arial" w:cs="Arial"/>
          <w:sz w:val="24"/>
          <w:szCs w:val="24"/>
        </w:rPr>
        <w:t>6</w:t>
      </w:r>
      <w:r w:rsidRPr="003336F4">
        <w:rPr>
          <w:rFonts w:ascii="Arial" w:hAnsi="Arial" w:cs="Arial"/>
          <w:sz w:val="24"/>
          <w:szCs w:val="24"/>
        </w:rPr>
        <w:t xml:space="preserve"> </w:t>
      </w:r>
      <w:r>
        <w:rPr>
          <w:rFonts w:ascii="Arial" w:hAnsi="Arial" w:cs="Arial"/>
          <w:sz w:val="24"/>
          <w:szCs w:val="24"/>
        </w:rPr>
        <w:t>March</w:t>
      </w:r>
      <w:r w:rsidRPr="003336F4">
        <w:rPr>
          <w:rFonts w:ascii="Arial" w:hAnsi="Arial" w:cs="Arial"/>
          <w:sz w:val="24"/>
          <w:szCs w:val="24"/>
        </w:rPr>
        <w:t xml:space="preserve"> 2025 to write my notes into submission format using the prompt(s):</w:t>
      </w:r>
    </w:p>
    <w:p w14:paraId="0C625F19" w14:textId="77777777" w:rsidR="003336F4" w:rsidRPr="003336F4" w:rsidRDefault="003336F4" w:rsidP="003336F4">
      <w:pPr>
        <w:spacing w:line="360" w:lineRule="auto"/>
        <w:jc w:val="both"/>
        <w:rPr>
          <w:rFonts w:ascii="Arial" w:hAnsi="Arial" w:cs="Arial"/>
          <w:sz w:val="24"/>
          <w:szCs w:val="24"/>
        </w:rPr>
      </w:pPr>
    </w:p>
    <w:p w14:paraId="34E6FFD3" w14:textId="77777777" w:rsidR="003336F4" w:rsidRPr="003336F4" w:rsidRDefault="003336F4" w:rsidP="003336F4">
      <w:pPr>
        <w:spacing w:line="360" w:lineRule="auto"/>
        <w:jc w:val="both"/>
        <w:rPr>
          <w:rFonts w:ascii="Arial" w:hAnsi="Arial" w:cs="Arial"/>
          <w:sz w:val="24"/>
          <w:szCs w:val="24"/>
        </w:rPr>
      </w:pPr>
      <w:r w:rsidRPr="003336F4">
        <w:rPr>
          <w:rFonts w:ascii="Arial" w:hAnsi="Arial" w:cs="Arial"/>
          <w:sz w:val="24"/>
          <w:szCs w:val="24"/>
        </w:rPr>
        <w:t>1.</w:t>
      </w:r>
      <w:r w:rsidRPr="003336F4">
        <w:rPr>
          <w:rFonts w:ascii="Arial" w:hAnsi="Arial" w:cs="Arial"/>
          <w:sz w:val="24"/>
          <w:szCs w:val="24"/>
        </w:rPr>
        <w:tab/>
        <w:t>Re-phrase the below essay making sure you keep the same length of roughly 2000 words, using a more academic language and as well correcting any writing mistakes that have already been done.</w:t>
      </w:r>
    </w:p>
    <w:p w14:paraId="1CF10EE8" w14:textId="77777777" w:rsidR="003336F4" w:rsidRPr="003336F4" w:rsidRDefault="003336F4" w:rsidP="003336F4">
      <w:pPr>
        <w:spacing w:line="360" w:lineRule="auto"/>
        <w:jc w:val="both"/>
        <w:rPr>
          <w:rFonts w:ascii="Arial" w:hAnsi="Arial" w:cs="Arial"/>
          <w:sz w:val="24"/>
          <w:szCs w:val="24"/>
        </w:rPr>
      </w:pPr>
      <w:r w:rsidRPr="003336F4">
        <w:rPr>
          <w:rFonts w:ascii="Arial" w:hAnsi="Arial" w:cs="Arial"/>
          <w:sz w:val="24"/>
          <w:szCs w:val="24"/>
        </w:rPr>
        <w:t>2.</w:t>
      </w:r>
      <w:r w:rsidRPr="003336F4">
        <w:rPr>
          <w:rFonts w:ascii="Arial" w:hAnsi="Arial" w:cs="Arial"/>
          <w:sz w:val="24"/>
          <w:szCs w:val="24"/>
        </w:rPr>
        <w:tab/>
        <w:t>Analyse the following essay and give me feedback on what else I could include to make it better.</w:t>
      </w:r>
    </w:p>
    <w:p w14:paraId="66D5982C" w14:textId="77777777" w:rsidR="003336F4" w:rsidRPr="003336F4" w:rsidRDefault="003336F4" w:rsidP="003336F4">
      <w:pPr>
        <w:spacing w:line="360" w:lineRule="auto"/>
        <w:jc w:val="both"/>
        <w:rPr>
          <w:rFonts w:ascii="Arial" w:hAnsi="Arial" w:cs="Arial"/>
          <w:sz w:val="24"/>
          <w:szCs w:val="24"/>
        </w:rPr>
      </w:pPr>
    </w:p>
    <w:p w14:paraId="3444AF16" w14:textId="2B3BAB2C" w:rsidR="003336F4" w:rsidRPr="00260826" w:rsidRDefault="003336F4" w:rsidP="003336F4">
      <w:pPr>
        <w:spacing w:line="360" w:lineRule="auto"/>
        <w:jc w:val="both"/>
        <w:rPr>
          <w:rFonts w:ascii="Arial" w:hAnsi="Arial" w:cs="Arial"/>
          <w:sz w:val="24"/>
          <w:szCs w:val="24"/>
        </w:rPr>
      </w:pPr>
      <w:r w:rsidRPr="003336F4">
        <w:rPr>
          <w:rFonts w:ascii="Arial" w:hAnsi="Arial" w:cs="Arial"/>
          <w:sz w:val="24"/>
          <w:szCs w:val="24"/>
        </w:rPr>
        <w:t>I confirm I have copies of my drafts, notes, and other resources I used before, and after the use of AI tools which I may be asked to provide in evidence.</w:t>
      </w:r>
    </w:p>
    <w:sectPr w:rsidR="003336F4" w:rsidRPr="00260826">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123AA" w14:textId="77777777" w:rsidR="00F74E3C" w:rsidRDefault="00F74E3C" w:rsidP="00260826">
      <w:pPr>
        <w:spacing w:after="0" w:line="240" w:lineRule="auto"/>
      </w:pPr>
      <w:r>
        <w:separator/>
      </w:r>
    </w:p>
  </w:endnote>
  <w:endnote w:type="continuationSeparator" w:id="0">
    <w:p w14:paraId="01C51ED1" w14:textId="77777777" w:rsidR="00F74E3C" w:rsidRDefault="00F74E3C" w:rsidP="00260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8434136"/>
      <w:docPartObj>
        <w:docPartGallery w:val="Page Numbers (Bottom of Page)"/>
        <w:docPartUnique/>
      </w:docPartObj>
    </w:sdtPr>
    <w:sdtEndPr>
      <w:rPr>
        <w:noProof/>
      </w:rPr>
    </w:sdtEndPr>
    <w:sdtContent>
      <w:p w14:paraId="42F1BE34" w14:textId="56B1AAE9" w:rsidR="00260826" w:rsidRDefault="002608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6C2151" w14:textId="77777777" w:rsidR="00260826" w:rsidRDefault="00260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887A2" w14:textId="77777777" w:rsidR="00F74E3C" w:rsidRDefault="00F74E3C" w:rsidP="00260826">
      <w:pPr>
        <w:spacing w:after="0" w:line="240" w:lineRule="auto"/>
      </w:pPr>
      <w:r>
        <w:separator/>
      </w:r>
    </w:p>
  </w:footnote>
  <w:footnote w:type="continuationSeparator" w:id="0">
    <w:p w14:paraId="15C51C39" w14:textId="77777777" w:rsidR="00F74E3C" w:rsidRDefault="00F74E3C" w:rsidP="002608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30E5082"/>
    <w:multiLevelType w:val="multilevel"/>
    <w:tmpl w:val="B0D2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2333158">
    <w:abstractNumId w:val="0"/>
  </w:num>
  <w:num w:numId="2" w16cid:durableId="1172794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B8B"/>
    <w:rsid w:val="000B21CF"/>
    <w:rsid w:val="000B3488"/>
    <w:rsid w:val="00260826"/>
    <w:rsid w:val="002F09AA"/>
    <w:rsid w:val="003336F4"/>
    <w:rsid w:val="00470609"/>
    <w:rsid w:val="00550B8B"/>
    <w:rsid w:val="00662D64"/>
    <w:rsid w:val="007E0FC9"/>
    <w:rsid w:val="00C31D46"/>
    <w:rsid w:val="00DB6CB8"/>
    <w:rsid w:val="00EB08DA"/>
    <w:rsid w:val="00F74E3C"/>
    <w:rsid w:val="00F94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38875"/>
  <w15:chartTrackingRefBased/>
  <w15:docId w15:val="{9AC276D3-472A-46CF-B544-A75BA8318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0B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0B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0B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0B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0B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0B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0B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0B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0B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B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0B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0B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0B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0B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0B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0B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0B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0B8B"/>
    <w:rPr>
      <w:rFonts w:eastAsiaTheme="majorEastAsia" w:cstheme="majorBidi"/>
      <w:color w:val="272727" w:themeColor="text1" w:themeTint="D8"/>
    </w:rPr>
  </w:style>
  <w:style w:type="paragraph" w:styleId="Title">
    <w:name w:val="Title"/>
    <w:basedOn w:val="Normal"/>
    <w:next w:val="Normal"/>
    <w:link w:val="TitleChar"/>
    <w:uiPriority w:val="10"/>
    <w:qFormat/>
    <w:rsid w:val="00550B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B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0B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0B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0B8B"/>
    <w:pPr>
      <w:spacing w:before="160"/>
      <w:jc w:val="center"/>
    </w:pPr>
    <w:rPr>
      <w:i/>
      <w:iCs/>
      <w:color w:val="404040" w:themeColor="text1" w:themeTint="BF"/>
    </w:rPr>
  </w:style>
  <w:style w:type="character" w:customStyle="1" w:styleId="QuoteChar">
    <w:name w:val="Quote Char"/>
    <w:basedOn w:val="DefaultParagraphFont"/>
    <w:link w:val="Quote"/>
    <w:uiPriority w:val="29"/>
    <w:rsid w:val="00550B8B"/>
    <w:rPr>
      <w:i/>
      <w:iCs/>
      <w:color w:val="404040" w:themeColor="text1" w:themeTint="BF"/>
    </w:rPr>
  </w:style>
  <w:style w:type="paragraph" w:styleId="ListParagraph">
    <w:name w:val="List Paragraph"/>
    <w:basedOn w:val="Normal"/>
    <w:uiPriority w:val="34"/>
    <w:qFormat/>
    <w:rsid w:val="00550B8B"/>
    <w:pPr>
      <w:ind w:left="720"/>
      <w:contextualSpacing/>
    </w:pPr>
  </w:style>
  <w:style w:type="character" w:styleId="IntenseEmphasis">
    <w:name w:val="Intense Emphasis"/>
    <w:basedOn w:val="DefaultParagraphFont"/>
    <w:uiPriority w:val="21"/>
    <w:qFormat/>
    <w:rsid w:val="00550B8B"/>
    <w:rPr>
      <w:i/>
      <w:iCs/>
      <w:color w:val="0F4761" w:themeColor="accent1" w:themeShade="BF"/>
    </w:rPr>
  </w:style>
  <w:style w:type="paragraph" w:styleId="IntenseQuote">
    <w:name w:val="Intense Quote"/>
    <w:basedOn w:val="Normal"/>
    <w:next w:val="Normal"/>
    <w:link w:val="IntenseQuoteChar"/>
    <w:uiPriority w:val="30"/>
    <w:qFormat/>
    <w:rsid w:val="00550B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0B8B"/>
    <w:rPr>
      <w:i/>
      <w:iCs/>
      <w:color w:val="0F4761" w:themeColor="accent1" w:themeShade="BF"/>
    </w:rPr>
  </w:style>
  <w:style w:type="character" w:styleId="IntenseReference">
    <w:name w:val="Intense Reference"/>
    <w:basedOn w:val="DefaultParagraphFont"/>
    <w:uiPriority w:val="32"/>
    <w:qFormat/>
    <w:rsid w:val="00550B8B"/>
    <w:rPr>
      <w:b/>
      <w:bCs/>
      <w:smallCaps/>
      <w:color w:val="0F4761" w:themeColor="accent1" w:themeShade="BF"/>
      <w:spacing w:val="5"/>
    </w:rPr>
  </w:style>
  <w:style w:type="paragraph" w:styleId="Header">
    <w:name w:val="header"/>
    <w:basedOn w:val="Normal"/>
    <w:link w:val="HeaderChar"/>
    <w:uiPriority w:val="99"/>
    <w:unhideWhenUsed/>
    <w:rsid w:val="00260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826"/>
  </w:style>
  <w:style w:type="paragraph" w:styleId="Footer">
    <w:name w:val="footer"/>
    <w:basedOn w:val="Normal"/>
    <w:link w:val="FooterChar"/>
    <w:uiPriority w:val="99"/>
    <w:unhideWhenUsed/>
    <w:rsid w:val="00260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826"/>
  </w:style>
  <w:style w:type="character" w:styleId="Hyperlink">
    <w:name w:val="Hyperlink"/>
    <w:basedOn w:val="DefaultParagraphFont"/>
    <w:uiPriority w:val="99"/>
    <w:unhideWhenUsed/>
    <w:rsid w:val="00260826"/>
    <w:rPr>
      <w:color w:val="467886" w:themeColor="hyperlink"/>
      <w:u w:val="single"/>
    </w:rPr>
  </w:style>
  <w:style w:type="character" w:styleId="UnresolvedMention">
    <w:name w:val="Unresolved Mention"/>
    <w:basedOn w:val="DefaultParagraphFont"/>
    <w:uiPriority w:val="99"/>
    <w:semiHidden/>
    <w:unhideWhenUsed/>
    <w:rsid w:val="00260826"/>
    <w:rPr>
      <w:color w:val="605E5C"/>
      <w:shd w:val="clear" w:color="auto" w:fill="E1DFDD"/>
    </w:rPr>
  </w:style>
  <w:style w:type="paragraph" w:styleId="TOCHeading">
    <w:name w:val="TOC Heading"/>
    <w:basedOn w:val="Heading1"/>
    <w:next w:val="Normal"/>
    <w:uiPriority w:val="39"/>
    <w:unhideWhenUsed/>
    <w:qFormat/>
    <w:rsid w:val="00DB6CB8"/>
    <w:pPr>
      <w:spacing w:before="240" w:after="0"/>
      <w:outlineLvl w:val="9"/>
    </w:pPr>
    <w:rPr>
      <w:kern w:val="0"/>
      <w:sz w:val="32"/>
      <w:szCs w:val="32"/>
      <w:lang w:val="en-US"/>
      <w14:ligatures w14:val="none"/>
    </w:rPr>
  </w:style>
  <w:style w:type="paragraph" w:customStyle="1" w:styleId="tytle1">
    <w:name w:val="tytle 1"/>
    <w:basedOn w:val="Title"/>
    <w:link w:val="tytle1Char"/>
    <w:qFormat/>
    <w:rsid w:val="00DB6CB8"/>
    <w:pPr>
      <w:spacing w:line="360" w:lineRule="auto"/>
      <w:jc w:val="both"/>
    </w:pPr>
    <w:rPr>
      <w:rFonts w:ascii="Arial" w:hAnsi="Arial" w:cs="Arial"/>
      <w:color w:val="000000" w:themeColor="text1"/>
      <w:sz w:val="32"/>
      <w:szCs w:val="24"/>
    </w:rPr>
  </w:style>
  <w:style w:type="character" w:customStyle="1" w:styleId="tytle1Char">
    <w:name w:val="tytle 1 Char"/>
    <w:basedOn w:val="TitleChar"/>
    <w:link w:val="tytle1"/>
    <w:rsid w:val="00DB6CB8"/>
    <w:rPr>
      <w:rFonts w:ascii="Arial" w:eastAsiaTheme="majorEastAsia" w:hAnsi="Arial" w:cs="Arial"/>
      <w:color w:val="000000" w:themeColor="text1"/>
      <w:spacing w:val="-10"/>
      <w:kern w:val="28"/>
      <w:sz w:val="32"/>
      <w:szCs w:val="24"/>
    </w:rPr>
  </w:style>
  <w:style w:type="paragraph" w:customStyle="1" w:styleId="subtytle1">
    <w:name w:val="subtytle1"/>
    <w:basedOn w:val="Subtitle"/>
    <w:link w:val="subtytle1Char"/>
    <w:qFormat/>
    <w:rsid w:val="00DB6CB8"/>
    <w:pPr>
      <w:spacing w:line="360" w:lineRule="auto"/>
      <w:jc w:val="both"/>
    </w:pPr>
    <w:rPr>
      <w:rFonts w:ascii="Arial" w:hAnsi="Arial" w:cs="Arial"/>
      <w:color w:val="000000" w:themeColor="text1"/>
      <w:sz w:val="32"/>
      <w:szCs w:val="24"/>
    </w:rPr>
  </w:style>
  <w:style w:type="character" w:customStyle="1" w:styleId="subtytle1Char">
    <w:name w:val="subtytle1 Char"/>
    <w:basedOn w:val="SubtitleChar"/>
    <w:link w:val="subtytle1"/>
    <w:rsid w:val="00DB6CB8"/>
    <w:rPr>
      <w:rFonts w:ascii="Arial" w:eastAsiaTheme="majorEastAsia" w:hAnsi="Arial" w:cs="Arial"/>
      <w:color w:val="000000" w:themeColor="text1"/>
      <w:spacing w:val="15"/>
      <w:sz w:val="32"/>
      <w:szCs w:val="24"/>
    </w:rPr>
  </w:style>
  <w:style w:type="paragraph" w:customStyle="1" w:styleId="headsty">
    <w:name w:val="headsty"/>
    <w:basedOn w:val="Heading1"/>
    <w:link w:val="headstyChar"/>
    <w:qFormat/>
    <w:rsid w:val="00DB6CB8"/>
    <w:rPr>
      <w:rFonts w:ascii="Arial" w:hAnsi="Arial"/>
      <w:color w:val="000000" w:themeColor="text1"/>
      <w:sz w:val="32"/>
    </w:rPr>
  </w:style>
  <w:style w:type="character" w:customStyle="1" w:styleId="headstyChar">
    <w:name w:val="headsty Char"/>
    <w:basedOn w:val="Heading1Char"/>
    <w:link w:val="headsty"/>
    <w:rsid w:val="00DB6CB8"/>
    <w:rPr>
      <w:rFonts w:ascii="Arial" w:eastAsiaTheme="majorEastAsia" w:hAnsi="Arial" w:cstheme="majorBidi"/>
      <w:color w:val="000000" w:themeColor="text1"/>
      <w:sz w:val="32"/>
      <w:szCs w:val="40"/>
    </w:rPr>
  </w:style>
  <w:style w:type="paragraph" w:customStyle="1" w:styleId="Style2">
    <w:name w:val="Style2"/>
    <w:basedOn w:val="Heading2"/>
    <w:link w:val="Style2Char"/>
    <w:qFormat/>
    <w:rsid w:val="00DB6CB8"/>
    <w:rPr>
      <w:rFonts w:ascii="Arial" w:hAnsi="Arial"/>
      <w:color w:val="000000" w:themeColor="text1"/>
      <w:sz w:val="28"/>
    </w:rPr>
  </w:style>
  <w:style w:type="character" w:customStyle="1" w:styleId="Style2Char">
    <w:name w:val="Style2 Char"/>
    <w:basedOn w:val="Heading2Char"/>
    <w:link w:val="Style2"/>
    <w:rsid w:val="00DB6CB8"/>
    <w:rPr>
      <w:rFonts w:ascii="Arial" w:eastAsiaTheme="majorEastAsia" w:hAnsi="Arial" w:cstheme="majorBidi"/>
      <w:color w:val="000000" w:themeColor="text1"/>
      <w:sz w:val="28"/>
      <w:szCs w:val="32"/>
    </w:rPr>
  </w:style>
  <w:style w:type="paragraph" w:styleId="TOC1">
    <w:name w:val="toc 1"/>
    <w:basedOn w:val="Normal"/>
    <w:next w:val="Normal"/>
    <w:autoRedefine/>
    <w:uiPriority w:val="39"/>
    <w:unhideWhenUsed/>
    <w:rsid w:val="00DB6CB8"/>
    <w:pPr>
      <w:spacing w:after="100"/>
    </w:pPr>
  </w:style>
  <w:style w:type="paragraph" w:styleId="TOC2">
    <w:name w:val="toc 2"/>
    <w:basedOn w:val="Normal"/>
    <w:next w:val="Normal"/>
    <w:autoRedefine/>
    <w:uiPriority w:val="39"/>
    <w:unhideWhenUsed/>
    <w:rsid w:val="00DB6CB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78549">
      <w:bodyDiv w:val="1"/>
      <w:marLeft w:val="0"/>
      <w:marRight w:val="0"/>
      <w:marTop w:val="0"/>
      <w:marBottom w:val="0"/>
      <w:divBdr>
        <w:top w:val="none" w:sz="0" w:space="0" w:color="auto"/>
        <w:left w:val="none" w:sz="0" w:space="0" w:color="auto"/>
        <w:bottom w:val="none" w:sz="0" w:space="0" w:color="auto"/>
        <w:right w:val="none" w:sz="0" w:space="0" w:color="auto"/>
      </w:divBdr>
      <w:divsChild>
        <w:div w:id="479928449">
          <w:marLeft w:val="0"/>
          <w:marRight w:val="0"/>
          <w:marTop w:val="0"/>
          <w:marBottom w:val="0"/>
          <w:divBdr>
            <w:top w:val="none" w:sz="0" w:space="0" w:color="auto"/>
            <w:left w:val="none" w:sz="0" w:space="0" w:color="auto"/>
            <w:bottom w:val="none" w:sz="0" w:space="0" w:color="auto"/>
            <w:right w:val="none" w:sz="0" w:space="0" w:color="auto"/>
          </w:divBdr>
        </w:div>
      </w:divsChild>
    </w:div>
    <w:div w:id="281035301">
      <w:bodyDiv w:val="1"/>
      <w:marLeft w:val="0"/>
      <w:marRight w:val="0"/>
      <w:marTop w:val="0"/>
      <w:marBottom w:val="0"/>
      <w:divBdr>
        <w:top w:val="none" w:sz="0" w:space="0" w:color="auto"/>
        <w:left w:val="none" w:sz="0" w:space="0" w:color="auto"/>
        <w:bottom w:val="none" w:sz="0" w:space="0" w:color="auto"/>
        <w:right w:val="none" w:sz="0" w:space="0" w:color="auto"/>
      </w:divBdr>
      <w:divsChild>
        <w:div w:id="2105148203">
          <w:marLeft w:val="0"/>
          <w:marRight w:val="0"/>
          <w:marTop w:val="0"/>
          <w:marBottom w:val="0"/>
          <w:divBdr>
            <w:top w:val="none" w:sz="0" w:space="0" w:color="auto"/>
            <w:left w:val="none" w:sz="0" w:space="0" w:color="auto"/>
            <w:bottom w:val="none" w:sz="0" w:space="0" w:color="auto"/>
            <w:right w:val="none" w:sz="0" w:space="0" w:color="auto"/>
          </w:divBdr>
        </w:div>
      </w:divsChild>
    </w:div>
    <w:div w:id="1418206023">
      <w:bodyDiv w:val="1"/>
      <w:marLeft w:val="0"/>
      <w:marRight w:val="0"/>
      <w:marTop w:val="0"/>
      <w:marBottom w:val="0"/>
      <w:divBdr>
        <w:top w:val="none" w:sz="0" w:space="0" w:color="auto"/>
        <w:left w:val="none" w:sz="0" w:space="0" w:color="auto"/>
        <w:bottom w:val="none" w:sz="0" w:space="0" w:color="auto"/>
        <w:right w:val="none" w:sz="0" w:space="0" w:color="auto"/>
      </w:divBdr>
      <w:divsChild>
        <w:div w:id="1816995691">
          <w:marLeft w:val="0"/>
          <w:marRight w:val="0"/>
          <w:marTop w:val="0"/>
          <w:marBottom w:val="0"/>
          <w:divBdr>
            <w:top w:val="none" w:sz="0" w:space="0" w:color="auto"/>
            <w:left w:val="none" w:sz="0" w:space="0" w:color="auto"/>
            <w:bottom w:val="none" w:sz="0" w:space="0" w:color="auto"/>
            <w:right w:val="none" w:sz="0" w:space="0" w:color="auto"/>
          </w:divBdr>
          <w:divsChild>
            <w:div w:id="1419785022">
              <w:marLeft w:val="0"/>
              <w:marRight w:val="0"/>
              <w:marTop w:val="312"/>
              <w:marBottom w:val="144"/>
              <w:divBdr>
                <w:top w:val="single" w:sz="2" w:space="0" w:color="000000"/>
                <w:left w:val="single" w:sz="2" w:space="0" w:color="000000"/>
                <w:bottom w:val="single" w:sz="2" w:space="0" w:color="000000"/>
                <w:right w:val="single" w:sz="2" w:space="0" w:color="000000"/>
              </w:divBdr>
            </w:div>
            <w:div w:id="777719330">
              <w:marLeft w:val="0"/>
              <w:marRight w:val="0"/>
              <w:marTop w:val="0"/>
              <w:marBottom w:val="0"/>
              <w:divBdr>
                <w:top w:val="single" w:sz="2" w:space="0" w:color="000000"/>
                <w:left w:val="single" w:sz="2" w:space="0" w:color="000000"/>
                <w:bottom w:val="single" w:sz="2" w:space="0" w:color="000000"/>
                <w:right w:val="single" w:sz="2" w:space="0" w:color="000000"/>
              </w:divBdr>
            </w:div>
            <w:div w:id="1055733878">
              <w:marLeft w:val="0"/>
              <w:marRight w:val="0"/>
              <w:marTop w:val="0"/>
              <w:marBottom w:val="0"/>
              <w:divBdr>
                <w:top w:val="single" w:sz="2" w:space="0" w:color="000000"/>
                <w:left w:val="single" w:sz="2" w:space="0" w:color="000000"/>
                <w:bottom w:val="single" w:sz="2" w:space="0" w:color="000000"/>
                <w:right w:val="single" w:sz="2" w:space="0" w:color="000000"/>
              </w:divBdr>
            </w:div>
            <w:div w:id="239800775">
              <w:marLeft w:val="0"/>
              <w:marRight w:val="0"/>
              <w:marTop w:val="0"/>
              <w:marBottom w:val="0"/>
              <w:divBdr>
                <w:top w:val="single" w:sz="2" w:space="0" w:color="000000"/>
                <w:left w:val="single" w:sz="2" w:space="0" w:color="000000"/>
                <w:bottom w:val="single" w:sz="2" w:space="0" w:color="000000"/>
                <w:right w:val="single" w:sz="2" w:space="0" w:color="000000"/>
              </w:divBdr>
            </w:div>
            <w:div w:id="308167944">
              <w:marLeft w:val="0"/>
              <w:marRight w:val="0"/>
              <w:marTop w:val="0"/>
              <w:marBottom w:val="0"/>
              <w:divBdr>
                <w:top w:val="single" w:sz="2" w:space="0" w:color="000000"/>
                <w:left w:val="single" w:sz="2" w:space="0" w:color="000000"/>
                <w:bottom w:val="single" w:sz="2" w:space="0" w:color="000000"/>
                <w:right w:val="single" w:sz="2" w:space="0" w:color="000000"/>
              </w:divBdr>
            </w:div>
            <w:div w:id="1450198239">
              <w:marLeft w:val="0"/>
              <w:marRight w:val="0"/>
              <w:marTop w:val="0"/>
              <w:marBottom w:val="0"/>
              <w:divBdr>
                <w:top w:val="single" w:sz="2" w:space="0" w:color="000000"/>
                <w:left w:val="single" w:sz="2" w:space="0" w:color="000000"/>
                <w:bottom w:val="single" w:sz="2" w:space="0" w:color="000000"/>
                <w:right w:val="single" w:sz="2" w:space="0" w:color="000000"/>
              </w:divBdr>
            </w:div>
            <w:div w:id="1169061977">
              <w:marLeft w:val="0"/>
              <w:marRight w:val="0"/>
              <w:marTop w:val="0"/>
              <w:marBottom w:val="0"/>
              <w:divBdr>
                <w:top w:val="single" w:sz="2" w:space="0" w:color="000000"/>
                <w:left w:val="single" w:sz="2" w:space="0" w:color="000000"/>
                <w:bottom w:val="single" w:sz="2" w:space="0" w:color="000000"/>
                <w:right w:val="single" w:sz="2" w:space="0" w:color="000000"/>
              </w:divBdr>
            </w:div>
            <w:div w:id="517428245">
              <w:marLeft w:val="0"/>
              <w:marRight w:val="0"/>
              <w:marTop w:val="0"/>
              <w:marBottom w:val="0"/>
              <w:divBdr>
                <w:top w:val="single" w:sz="2" w:space="0" w:color="000000"/>
                <w:left w:val="single" w:sz="2" w:space="0" w:color="000000"/>
                <w:bottom w:val="single" w:sz="2" w:space="0" w:color="000000"/>
                <w:right w:val="single" w:sz="2" w:space="0" w:color="000000"/>
              </w:divBdr>
            </w:div>
            <w:div w:id="1077674048">
              <w:marLeft w:val="0"/>
              <w:marRight w:val="0"/>
              <w:marTop w:val="0"/>
              <w:marBottom w:val="0"/>
              <w:divBdr>
                <w:top w:val="single" w:sz="2" w:space="0" w:color="000000"/>
                <w:left w:val="single" w:sz="2" w:space="0" w:color="000000"/>
                <w:bottom w:val="single" w:sz="2" w:space="0" w:color="000000"/>
                <w:right w:val="single" w:sz="2" w:space="0" w:color="000000"/>
              </w:divBdr>
            </w:div>
            <w:div w:id="295524218">
              <w:marLeft w:val="0"/>
              <w:marRight w:val="0"/>
              <w:marTop w:val="0"/>
              <w:marBottom w:val="0"/>
              <w:divBdr>
                <w:top w:val="single" w:sz="2" w:space="0" w:color="000000"/>
                <w:left w:val="single" w:sz="2" w:space="0" w:color="000000"/>
                <w:bottom w:val="single" w:sz="2" w:space="0" w:color="000000"/>
                <w:right w:val="single" w:sz="2" w:space="0" w:color="000000"/>
              </w:divBdr>
            </w:div>
            <w:div w:id="126556657">
              <w:marLeft w:val="0"/>
              <w:marRight w:val="0"/>
              <w:marTop w:val="0"/>
              <w:marBottom w:val="0"/>
              <w:divBdr>
                <w:top w:val="single" w:sz="2" w:space="0" w:color="000000"/>
                <w:left w:val="single" w:sz="2" w:space="0" w:color="000000"/>
                <w:bottom w:val="single" w:sz="2" w:space="0" w:color="000000"/>
                <w:right w:val="single" w:sz="2" w:space="0" w:color="000000"/>
              </w:divBdr>
            </w:div>
            <w:div w:id="960653055">
              <w:marLeft w:val="0"/>
              <w:marRight w:val="0"/>
              <w:marTop w:val="0"/>
              <w:marBottom w:val="0"/>
              <w:divBdr>
                <w:top w:val="single" w:sz="2" w:space="0" w:color="000000"/>
                <w:left w:val="single" w:sz="2" w:space="0" w:color="000000"/>
                <w:bottom w:val="single" w:sz="2" w:space="0" w:color="000000"/>
                <w:right w:val="single" w:sz="2" w:space="0" w:color="000000"/>
              </w:divBdr>
            </w:div>
            <w:div w:id="1639647367">
              <w:marLeft w:val="0"/>
              <w:marRight w:val="0"/>
              <w:marTop w:val="0"/>
              <w:marBottom w:val="0"/>
              <w:divBdr>
                <w:top w:val="single" w:sz="2" w:space="0" w:color="000000"/>
                <w:left w:val="single" w:sz="2" w:space="0" w:color="000000"/>
                <w:bottom w:val="single" w:sz="2" w:space="0" w:color="000000"/>
                <w:right w:val="single" w:sz="2" w:space="0" w:color="000000"/>
              </w:divBdr>
            </w:div>
            <w:div w:id="722098076">
              <w:marLeft w:val="0"/>
              <w:marRight w:val="0"/>
              <w:marTop w:val="0"/>
              <w:marBottom w:val="0"/>
              <w:divBdr>
                <w:top w:val="single" w:sz="2" w:space="0" w:color="000000"/>
                <w:left w:val="single" w:sz="2" w:space="0" w:color="000000"/>
                <w:bottom w:val="single" w:sz="2" w:space="0" w:color="000000"/>
                <w:right w:val="single" w:sz="2" w:space="0" w:color="000000"/>
              </w:divBdr>
            </w:div>
            <w:div w:id="330763312">
              <w:marLeft w:val="0"/>
              <w:marRight w:val="0"/>
              <w:marTop w:val="0"/>
              <w:marBottom w:val="0"/>
              <w:divBdr>
                <w:top w:val="single" w:sz="2" w:space="0" w:color="000000"/>
                <w:left w:val="single" w:sz="2" w:space="0" w:color="000000"/>
                <w:bottom w:val="single" w:sz="2" w:space="0" w:color="000000"/>
                <w:right w:val="single" w:sz="2" w:space="0" w:color="000000"/>
              </w:divBdr>
            </w:div>
            <w:div w:id="225575999">
              <w:marLeft w:val="0"/>
              <w:marRight w:val="0"/>
              <w:marTop w:val="0"/>
              <w:marBottom w:val="0"/>
              <w:divBdr>
                <w:top w:val="single" w:sz="2" w:space="0" w:color="000000"/>
                <w:left w:val="single" w:sz="2" w:space="0" w:color="000000"/>
                <w:bottom w:val="single" w:sz="2" w:space="0" w:color="000000"/>
                <w:right w:val="single" w:sz="2" w:space="0" w:color="000000"/>
              </w:divBdr>
            </w:div>
            <w:div w:id="1646735333">
              <w:marLeft w:val="0"/>
              <w:marRight w:val="0"/>
              <w:marTop w:val="0"/>
              <w:marBottom w:val="0"/>
              <w:divBdr>
                <w:top w:val="single" w:sz="2" w:space="0" w:color="000000"/>
                <w:left w:val="single" w:sz="2" w:space="0" w:color="000000"/>
                <w:bottom w:val="single" w:sz="2" w:space="0" w:color="000000"/>
                <w:right w:val="single" w:sz="2" w:space="0" w:color="000000"/>
              </w:divBdr>
            </w:div>
            <w:div w:id="159124673">
              <w:marLeft w:val="0"/>
              <w:marRight w:val="0"/>
              <w:marTop w:val="0"/>
              <w:marBottom w:val="0"/>
              <w:divBdr>
                <w:top w:val="single" w:sz="2" w:space="0" w:color="000000"/>
                <w:left w:val="single" w:sz="2" w:space="0" w:color="000000"/>
                <w:bottom w:val="single" w:sz="2" w:space="0" w:color="000000"/>
                <w:right w:val="single" w:sz="2" w:space="0" w:color="000000"/>
              </w:divBdr>
            </w:div>
            <w:div w:id="1173839055">
              <w:marLeft w:val="0"/>
              <w:marRight w:val="0"/>
              <w:marTop w:val="0"/>
              <w:marBottom w:val="0"/>
              <w:divBdr>
                <w:top w:val="single" w:sz="2" w:space="0" w:color="000000"/>
                <w:left w:val="single" w:sz="2" w:space="0" w:color="000000"/>
                <w:bottom w:val="single" w:sz="2" w:space="0" w:color="000000"/>
                <w:right w:val="single" w:sz="2" w:space="0" w:color="000000"/>
              </w:divBdr>
            </w:div>
            <w:div w:id="464203874">
              <w:marLeft w:val="0"/>
              <w:marRight w:val="0"/>
              <w:marTop w:val="0"/>
              <w:marBottom w:val="0"/>
              <w:divBdr>
                <w:top w:val="single" w:sz="2" w:space="0" w:color="000000"/>
                <w:left w:val="single" w:sz="2" w:space="0" w:color="000000"/>
                <w:bottom w:val="single" w:sz="2" w:space="0" w:color="000000"/>
                <w:right w:val="single" w:sz="2" w:space="0" w:color="000000"/>
              </w:divBdr>
            </w:div>
            <w:div w:id="1074204736">
              <w:marLeft w:val="0"/>
              <w:marRight w:val="0"/>
              <w:marTop w:val="0"/>
              <w:marBottom w:val="0"/>
              <w:divBdr>
                <w:top w:val="single" w:sz="2" w:space="0" w:color="000000"/>
                <w:left w:val="single" w:sz="2" w:space="0" w:color="000000"/>
                <w:bottom w:val="single" w:sz="2" w:space="0" w:color="000000"/>
                <w:right w:val="single" w:sz="2" w:space="0" w:color="000000"/>
              </w:divBdr>
            </w:div>
            <w:div w:id="1744647056">
              <w:marLeft w:val="0"/>
              <w:marRight w:val="0"/>
              <w:marTop w:val="0"/>
              <w:marBottom w:val="0"/>
              <w:divBdr>
                <w:top w:val="single" w:sz="2" w:space="0" w:color="000000"/>
                <w:left w:val="single" w:sz="2" w:space="0" w:color="000000"/>
                <w:bottom w:val="single" w:sz="2" w:space="0" w:color="000000"/>
                <w:right w:val="single" w:sz="2" w:space="0" w:color="000000"/>
              </w:divBdr>
            </w:div>
            <w:div w:id="993028444">
              <w:marLeft w:val="0"/>
              <w:marRight w:val="0"/>
              <w:marTop w:val="0"/>
              <w:marBottom w:val="0"/>
              <w:divBdr>
                <w:top w:val="single" w:sz="2" w:space="0" w:color="000000"/>
                <w:left w:val="single" w:sz="2" w:space="0" w:color="000000"/>
                <w:bottom w:val="single" w:sz="2" w:space="0" w:color="000000"/>
                <w:right w:val="single" w:sz="2" w:space="0" w:color="000000"/>
              </w:divBdr>
            </w:div>
            <w:div w:id="123432530">
              <w:marLeft w:val="0"/>
              <w:marRight w:val="0"/>
              <w:marTop w:val="0"/>
              <w:marBottom w:val="0"/>
              <w:divBdr>
                <w:top w:val="single" w:sz="2" w:space="0" w:color="000000"/>
                <w:left w:val="single" w:sz="2" w:space="0" w:color="000000"/>
                <w:bottom w:val="single" w:sz="2" w:space="0" w:color="000000"/>
                <w:right w:val="single" w:sz="2" w:space="0" w:color="000000"/>
              </w:divBdr>
            </w:div>
            <w:div w:id="1638678299">
              <w:marLeft w:val="0"/>
              <w:marRight w:val="0"/>
              <w:marTop w:val="0"/>
              <w:marBottom w:val="0"/>
              <w:divBdr>
                <w:top w:val="single" w:sz="2" w:space="0" w:color="000000"/>
                <w:left w:val="single" w:sz="2" w:space="0" w:color="000000"/>
                <w:bottom w:val="single" w:sz="2" w:space="0" w:color="000000"/>
                <w:right w:val="single" w:sz="2" w:space="0" w:color="000000"/>
              </w:divBdr>
            </w:div>
            <w:div w:id="8947171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c.europa.eu/clima/eu-action/european-green-deal_en" TargetMode="External"/><Relationship Id="rId18" Type="http://schemas.openxmlformats.org/officeDocument/2006/relationships/hyperlink" Target="https://www.gstcouncil.org/" TargetMode="External"/><Relationship Id="rId26" Type="http://schemas.openxmlformats.org/officeDocument/2006/relationships/hyperlink" Target="https://www.rwbgroup.co.uk/how-do-railways-impact-the-environment/" TargetMode="External"/><Relationship Id="rId3" Type="http://schemas.openxmlformats.org/officeDocument/2006/relationships/styles" Target="styles.xml"/><Relationship Id="rId21" Type="http://schemas.openxmlformats.org/officeDocument/2006/relationships/hyperlink" Target="https://etech.iec.ch/issue/2024-02/all-aboard-the-hydrogen-train"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ncyclopedia.pub/entry/49333" TargetMode="External"/><Relationship Id="rId17" Type="http://schemas.openxmlformats.org/officeDocument/2006/relationships/hyperlink" Target="https://www.green-tourism.com/certifications/green-tourism-certification/" TargetMode="External"/><Relationship Id="rId25" Type="http://schemas.openxmlformats.org/officeDocument/2006/relationships/hyperlink" Target="https://www.railbookers.com/where-to-start/accommodations-to-fit-your-style"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reenkey.global/hotel-chain-partners" TargetMode="External"/><Relationship Id="rId20" Type="http://schemas.openxmlformats.org/officeDocument/2006/relationships/hyperlink" Target="https://www.hoteldirect.co.uk/railbreaks/" TargetMode="External"/><Relationship Id="rId29" Type="http://schemas.openxmlformats.org/officeDocument/2006/relationships/hyperlink" Target="https://sdgs.un.org/goa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etterbuildingssolutioncenter.energy.gov/implementation-models/ihg-hotels-resorts-green-engage-program" TargetMode="External"/><Relationship Id="rId24" Type="http://schemas.openxmlformats.org/officeDocument/2006/relationships/hyperlink" Target="https://ourworldindata.org/travel-carbon-footprint" TargetMode="External"/><Relationship Id="rId32" Type="http://schemas.openxmlformats.org/officeDocument/2006/relationships/hyperlink" Target="https://www.weforum.org/stories/2024/09/hydrogen-trains-sustainable-transport/" TargetMode="External"/><Relationship Id="rId5" Type="http://schemas.openxmlformats.org/officeDocument/2006/relationships/webSettings" Target="webSettings.xml"/><Relationship Id="rId15" Type="http://schemas.openxmlformats.org/officeDocument/2006/relationships/hyperlink" Target="https://www.globalrailwayreview.com/article/93584/hydrogen-trains-benefits-noise-vibration-reduction" TargetMode="External"/><Relationship Id="rId23" Type="http://schemas.openxmlformats.org/officeDocument/2006/relationships/hyperlink" Target="https://serve360.marriott.com/wp-content/uploads/2019/02/Serve_360_2025_Goals_Dec_14.pdf" TargetMode="External"/><Relationship Id="rId28" Type="http://schemas.openxmlformats.org/officeDocument/2006/relationships/hyperlink" Target="https://thepighotel.com/sustainability" TargetMode="External"/><Relationship Id="rId10" Type="http://schemas.openxmlformats.org/officeDocument/2006/relationships/hyperlink" Target="https://www.accelerazero.com/demos/fuel-cells/hydrogen-passenger-train" TargetMode="External"/><Relationship Id="rId19" Type="http://schemas.openxmlformats.org/officeDocument/2006/relationships/hyperlink" Target="https://esg.hilton.com/wp-content/uploads/sites/4/2023/04/Hilton-2022-Environmental-Social-and-Governance-Report.pdf" TargetMode="External"/><Relationship Id="rId31" Type="http://schemas.openxmlformats.org/officeDocument/2006/relationships/hyperlink" Target="https://www.weforum.org/stories/2023/04/survey-of-travelers-finds-76-want-more-sustainable-options/" TargetMode="External"/><Relationship Id="rId4" Type="http://schemas.openxmlformats.org/officeDocument/2006/relationships/settings" Target="settings.xml"/><Relationship Id="rId9" Type="http://schemas.openxmlformats.org/officeDocument/2006/relationships/hyperlink" Target="https://www.alstom.com/solutions/rolling-stock/alstom-coradia-ilint-worlds-1st-hydrogen-powered-passenger-train" TargetMode="External"/><Relationship Id="rId14" Type="http://schemas.openxmlformats.org/officeDocument/2006/relationships/hyperlink" Target="https://www.eea.europa.eu/publications/rail-and-waterborne-transport" TargetMode="External"/><Relationship Id="rId22" Type="http://schemas.openxmlformats.org/officeDocument/2006/relationships/hyperlink" Target="https://www.pichimahuida.info/Pichimahuida/lago-leones_files/Tourism%20is%20responsible%20for%208%25%20of%20greenhouse%20gas%20emissions.pdf" TargetMode="External"/><Relationship Id="rId27" Type="http://schemas.openxmlformats.org/officeDocument/2006/relationships/hyperlink" Target="https://www.sciencedirect.com/science/article/pii/S2666352X24000104" TargetMode="External"/><Relationship Id="rId30" Type="http://schemas.openxmlformats.org/officeDocument/2006/relationships/hyperlink" Target="https://en.wikipedia.org/wiki/Hydrogen_train"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C223B-FB12-49FF-A5E2-7918FEA4E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14</Pages>
  <Words>3711</Words>
  <Characters>21153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Simion Madalin</dc:creator>
  <cp:keywords/>
  <dc:description/>
  <cp:lastModifiedBy>Simion Madalin</cp:lastModifiedBy>
  <cp:revision>9</cp:revision>
  <dcterms:created xsi:type="dcterms:W3CDTF">2025-03-07T20:16:00Z</dcterms:created>
  <dcterms:modified xsi:type="dcterms:W3CDTF">2025-03-07T20:57:00Z</dcterms:modified>
</cp:coreProperties>
</file>