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000" w:lineRule="auto"/>
        <w:rPr/>
      </w:pPr>
      <w:r w:rsidDel="00000000" w:rsidR="00000000" w:rsidRPr="00000000">
        <w:rPr>
          <w:rtl w:val="0"/>
        </w:rPr>
      </w:r>
    </w:p>
    <w:p w:rsidR="00000000" w:rsidDel="00000000" w:rsidP="00000000" w:rsidRDefault="00000000" w:rsidRPr="00000000" w14:paraId="00000002">
      <w:pPr>
        <w:spacing w:after="200" w:lineRule="auto"/>
        <w:jc w:val="center"/>
        <w:rPr/>
      </w:pPr>
      <w:r w:rsidDel="00000000" w:rsidR="00000000" w:rsidRPr="00000000">
        <w:rPr>
          <w:rFonts w:ascii="Arial" w:cs="Arial" w:eastAsia="Arial" w:hAnsi="Arial"/>
          <w:b w:val="1"/>
          <w:bCs w:val="1"/>
          <w:sz w:val="26"/>
          <w:szCs w:val="26"/>
          <w:rtl w:val="0"/>
        </w:rPr>
        <w:t xml:space="preserve">Module Code and Title: BMHP5019 – Introduction to Independent Research Skills</w:t>
      </w:r>
      <w:r w:rsidDel="00000000" w:rsidR="00000000" w:rsidRPr="00000000">
        <w:rPr>
          <w:rtl w:val="0"/>
        </w:rPr>
      </w:r>
    </w:p>
    <w:p w:rsidR="00000000" w:rsidDel="00000000" w:rsidP="00000000" w:rsidRDefault="00000000" w:rsidRPr="00000000" w14:paraId="00000003">
      <w:pPr>
        <w:spacing w:after="200" w:lineRule="auto"/>
        <w:jc w:val="center"/>
        <w:rPr/>
      </w:pPr>
      <w:r w:rsidDel="00000000" w:rsidR="00000000" w:rsidRPr="00000000">
        <w:rPr>
          <w:rtl w:val="0"/>
        </w:rPr>
      </w:r>
    </w:p>
    <w:p w:rsidR="00000000" w:rsidDel="00000000" w:rsidP="00000000" w:rsidRDefault="00000000" w:rsidRPr="00000000" w14:paraId="00000004">
      <w:pPr>
        <w:spacing w:after="200" w:lineRule="auto"/>
        <w:jc w:val="center"/>
        <w:rPr/>
      </w:pPr>
      <w:r w:rsidDel="00000000" w:rsidR="00000000" w:rsidRPr="00000000">
        <w:rPr>
          <w:rFonts w:ascii="Arial" w:cs="Arial" w:eastAsia="Arial" w:hAnsi="Arial"/>
          <w:b w:val="1"/>
          <w:bCs w:val="1"/>
          <w:sz w:val="28"/>
          <w:szCs w:val="28"/>
          <w:rtl w:val="0"/>
        </w:rPr>
        <w:t xml:space="preserve">Component 2: Research Report</w:t>
      </w:r>
      <w:r w:rsidDel="00000000" w:rsidR="00000000" w:rsidRPr="00000000">
        <w:rPr>
          <w:rtl w:val="0"/>
        </w:rPr>
      </w:r>
    </w:p>
    <w:p w:rsidR="00000000" w:rsidDel="00000000" w:rsidP="00000000" w:rsidRDefault="00000000" w:rsidRPr="00000000" w14:paraId="00000005">
      <w:pPr>
        <w:spacing w:after="200" w:lineRule="auto"/>
        <w:jc w:val="center"/>
        <w:rPr/>
      </w:pPr>
      <w:r w:rsidDel="00000000" w:rsidR="00000000" w:rsidRPr="00000000">
        <w:rPr>
          <w:rtl w:val="0"/>
        </w:rPr>
      </w:r>
    </w:p>
    <w:p w:rsidR="00000000" w:rsidDel="00000000" w:rsidP="00000000" w:rsidRDefault="00000000" w:rsidRPr="00000000" w14:paraId="00000006">
      <w:pPr>
        <w:spacing w:after="200" w:lineRule="auto"/>
        <w:jc w:val="center"/>
        <w:rPr/>
      </w:pPr>
      <w:r w:rsidDel="00000000" w:rsidR="00000000" w:rsidRPr="00000000">
        <w:rPr>
          <w:rFonts w:ascii="Arial" w:cs="Arial" w:eastAsia="Arial" w:hAnsi="Arial"/>
          <w:i w:val="1"/>
          <w:iCs w:val="1"/>
          <w:sz w:val="24"/>
          <w:szCs w:val="24"/>
          <w:rtl w:val="0"/>
        </w:rPr>
        <w:t xml:space="preserve">The Impact of COVID-19 on the Mental Health of Older Adults Within Ages 65+</w:t>
      </w:r>
      <w:r w:rsidDel="00000000" w:rsidR="00000000" w:rsidRPr="00000000">
        <w:rPr>
          <w:rtl w:val="0"/>
        </w:rPr>
      </w:r>
    </w:p>
    <w:p w:rsidR="00000000" w:rsidDel="00000000" w:rsidP="00000000" w:rsidRDefault="00000000" w:rsidRPr="00000000" w14:paraId="00000007">
      <w:pPr>
        <w:spacing w:after="200" w:lineRule="auto"/>
        <w:jc w:val="center"/>
        <w:rPr/>
      </w:pPr>
      <w:r w:rsidDel="00000000" w:rsidR="00000000" w:rsidRPr="00000000">
        <w:rPr>
          <w:rtl w:val="0"/>
        </w:rPr>
      </w:r>
    </w:p>
    <w:p w:rsidR="00000000" w:rsidDel="00000000" w:rsidP="00000000" w:rsidRDefault="00000000" w:rsidRPr="00000000" w14:paraId="00000008">
      <w:pPr>
        <w:spacing w:after="200" w:lineRule="auto"/>
        <w:jc w:val="center"/>
        <w:rPr/>
      </w:pPr>
      <w:r w:rsidDel="00000000" w:rsidR="00000000" w:rsidRPr="00000000">
        <w:rPr>
          <w:rtl w:val="0"/>
        </w:rPr>
      </w:r>
    </w:p>
    <w:p w:rsidR="00000000" w:rsidDel="00000000" w:rsidP="00000000" w:rsidRDefault="00000000" w:rsidRPr="00000000" w14:paraId="00000009">
      <w:pPr>
        <w:spacing w:after="200" w:lineRule="auto"/>
        <w:jc w:val="center"/>
        <w:rPr/>
      </w:pPr>
      <w:r w:rsidDel="00000000" w:rsidR="00000000" w:rsidRPr="00000000">
        <w:rPr>
          <w:rFonts w:ascii="Arial" w:cs="Arial" w:eastAsia="Arial" w:hAnsi="Arial"/>
          <w:sz w:val="24"/>
          <w:szCs w:val="24"/>
          <w:rtl w:val="0"/>
        </w:rPr>
        <w:t xml:space="preserve">Student Name: </w:t>
      </w:r>
      <w:r w:rsidDel="00000000" w:rsidR="00000000" w:rsidRPr="00000000">
        <w:rPr>
          <w:sz w:val="24"/>
          <w:szCs w:val="24"/>
          <w:rtl w:val="0"/>
        </w:rPr>
        <w:t xml:space="preserve">Isiorono Marvelous Ewharekuko</w:t>
      </w:r>
      <w:r w:rsidDel="00000000" w:rsidR="00000000" w:rsidRPr="00000000">
        <w:rPr>
          <w:rtl w:val="0"/>
        </w:rPr>
      </w:r>
    </w:p>
    <w:p w:rsidR="00000000" w:rsidDel="00000000" w:rsidP="00000000" w:rsidRDefault="00000000" w:rsidRPr="00000000" w14:paraId="0000000A">
      <w:pPr>
        <w:spacing w:after="200" w:lineRule="auto"/>
        <w:jc w:val="center"/>
        <w:rPr/>
      </w:pPr>
      <w:r w:rsidDel="00000000" w:rsidR="00000000" w:rsidRPr="00000000">
        <w:rPr>
          <w:rFonts w:ascii="Arial" w:cs="Arial" w:eastAsia="Arial" w:hAnsi="Arial"/>
          <w:sz w:val="24"/>
          <w:szCs w:val="24"/>
          <w:rtl w:val="0"/>
        </w:rPr>
        <w:t xml:space="preserve">Student Number: </w:t>
      </w:r>
      <w:r w:rsidDel="00000000" w:rsidR="00000000" w:rsidRPr="00000000">
        <w:rPr>
          <w:sz w:val="24"/>
          <w:szCs w:val="24"/>
          <w:rtl w:val="0"/>
        </w:rPr>
        <w:t xml:space="preserve">2410703</w:t>
      </w:r>
      <w:r w:rsidDel="00000000" w:rsidR="00000000" w:rsidRPr="00000000">
        <w:rPr>
          <w:rtl w:val="0"/>
        </w:rPr>
      </w:r>
    </w:p>
    <w:p w:rsidR="00000000" w:rsidDel="00000000" w:rsidP="00000000" w:rsidRDefault="00000000" w:rsidRPr="00000000" w14:paraId="0000000B">
      <w:pPr>
        <w:spacing w:after="200" w:lineRule="auto"/>
        <w:jc w:val="center"/>
        <w:rPr/>
      </w:pPr>
      <w:r w:rsidDel="00000000" w:rsidR="00000000" w:rsidRPr="00000000">
        <w:rPr>
          <w:rtl w:val="0"/>
        </w:rPr>
      </w:r>
    </w:p>
    <w:p w:rsidR="00000000" w:rsidDel="00000000" w:rsidP="00000000" w:rsidRDefault="00000000" w:rsidRPr="00000000" w14:paraId="0000000C">
      <w:pPr>
        <w:spacing w:after="200" w:lineRule="auto"/>
        <w:jc w:val="center"/>
        <w:rPr/>
      </w:pPr>
      <w:r w:rsidDel="00000000" w:rsidR="00000000" w:rsidRPr="00000000">
        <w:rPr>
          <w:rtl w:val="0"/>
        </w:rPr>
      </w:r>
    </w:p>
    <w:p w:rsidR="00000000" w:rsidDel="00000000" w:rsidP="00000000" w:rsidRDefault="00000000" w:rsidRPr="00000000" w14:paraId="0000000D">
      <w:pPr>
        <w:rPr/>
        <w:sectPr>
          <w:headerReference r:id="rId6" w:type="default"/>
          <w:pgSz w:h="16838" w:w="11906" w:orient="portrait"/>
          <w:pgMar w:bottom="1440" w:top="1440" w:left="1440" w:right="1440"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1"/>
        <w:spacing w:after="240" w:lineRule="auto"/>
        <w:rPr/>
      </w:pPr>
      <w:r w:rsidDel="00000000" w:rsidR="00000000" w:rsidRPr="00000000">
        <w:rPr>
          <w:rFonts w:ascii="Arial" w:cs="Arial" w:eastAsia="Arial" w:hAnsi="Arial"/>
          <w:b w:val="1"/>
          <w:bCs w:val="1"/>
          <w:sz w:val="28"/>
          <w:szCs w:val="28"/>
          <w:rtl w:val="0"/>
        </w:rPr>
        <w:t xml:space="preserve">Contents</w:t>
      </w:r>
      <w:r w:rsidDel="00000000" w:rsidR="00000000" w:rsidRPr="00000000">
        <w:rPr>
          <w:rtl w:val="0"/>
        </w:rPr>
      </w:r>
    </w:p>
    <w:sdt>
      <w:sdtPr>
        <w:id w:val="-1666956997"/>
        <w:docPartObj>
          <w:docPartGallery w:val="Table of Contents"/>
          <w:docPartUnique w:val="1"/>
        </w:docPartObj>
      </w:sdtPr>
      <w:sdtContent>
        <w:p w:rsidR="00000000" w:rsidDel="00000000" w:rsidP="00000000" w:rsidRDefault="00000000" w:rsidRPr="00000000" w14:paraId="0000000F">
          <w:pPr>
            <w:widowControl w:val="0"/>
            <w:tabs>
              <w:tab w:val="right" w:leader="none" w:pos="9025.511811023624"/>
            </w:tabs>
            <w:spacing w:before="6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
            <w:r w:rsidDel="00000000" w:rsidR="00000000" w:rsidRPr="00000000">
              <w:rPr>
                <w:b w:val="1"/>
                <w:bCs w:val="1"/>
                <w:color w:val="000000"/>
                <w:u w:val="none"/>
                <w:rtl w:val="0"/>
              </w:rPr>
              <w:t xml:space="preserve">Introduction</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0">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Background</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Methods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Results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Discussion</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Conclusion and Recommendations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References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13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tabs>
          <w:tab w:val="right" w:leader="none" w:pos="9026"/>
        </w:tabs>
        <w:spacing w:after="160" w:line="360" w:lineRule="auto"/>
        <w:rPr/>
      </w:pPr>
      <w:r w:rsidDel="00000000" w:rsidR="00000000" w:rsidRPr="00000000">
        <w:rPr>
          <w:rtl w:val="0"/>
        </w:rPr>
      </w:r>
    </w:p>
    <w:p w:rsidR="00000000" w:rsidDel="00000000" w:rsidP="00000000" w:rsidRDefault="00000000" w:rsidRPr="00000000" w14:paraId="00000017">
      <w:pPr>
        <w:rPr/>
        <w:sectPr>
          <w:type w:val="nextPage"/>
          <w:pgSz w:h="16838" w:w="11906" w:orient="portrait"/>
          <w:pgMar w:bottom="1440" w:top="1440" w:left="1440" w:right="1440" w:header="708" w:footer="708"/>
        </w:sect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spacing w:after="120" w:before="240" w:line="360" w:lineRule="auto"/>
        <w:rPr/>
      </w:pPr>
      <w:r w:rsidDel="00000000" w:rsidR="00000000" w:rsidRPr="00000000">
        <w:rPr>
          <w:rFonts w:ascii="Arial" w:cs="Arial" w:eastAsia="Arial" w:hAnsi="Arial"/>
          <w:b w:val="1"/>
          <w:bCs w:val="1"/>
          <w:sz w:val="26"/>
          <w:szCs w:val="26"/>
          <w:rtl w:val="0"/>
        </w:rPr>
        <w:t xml:space="preserve">Introduction</w:t>
      </w:r>
      <w:r w:rsidDel="00000000" w:rsidR="00000000" w:rsidRPr="00000000">
        <w:rPr>
          <w:rtl w:val="0"/>
        </w:rPr>
      </w:r>
    </w:p>
    <w:p w:rsidR="00000000" w:rsidDel="00000000" w:rsidP="00000000" w:rsidRDefault="00000000" w:rsidRPr="00000000" w14:paraId="00000019">
      <w:pPr>
        <w:spacing w:after="20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World Health Organisation (WHO) usually considers the age of 60 or 65 to be the older ages, and the UK uses 65 years for NHS services planning, social care eligibility and public health surveillance, which is the historical age of the state pension age (NHS England, 2019). The World Health Organisation states mental health is not just the absence of mental illness, rather it is a state of wellbeing in which a person is able to function effectively, contribute to their community, cope with the demands of daily life and realize their abilities. This matters in the current review because it enables focus on the indicators of wellbeing, rather than on the ones for a recognisable condition, such as depression and anxiety, that are more common in the literature about the pandemic in the older person, but are less discussed.</w:t>
      </w:r>
    </w:p>
    <w:p w:rsidR="00000000" w:rsidDel="00000000" w:rsidP="00000000" w:rsidRDefault="00000000" w:rsidRPr="00000000" w14:paraId="0000001A">
      <w:pPr>
        <w:spacing w:after="20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World Health Organisation (WHO) declared Covid-19 to be a public health emergency of international concern in March 2020, resulting in unprecedented restrictions of peoples' day to day life in the UK. The first national lockdown was announced on 23 March 2020 and guidance for shielding was issued to those aged 70 or over, and individuals identified as clinically extremely vulnerable, who were issued with tougher and extended isolation measures than the general public (Age UK, 2020). The report is a scoping review of the peer reviewed scientific literature, which follows the methodological framework proposed by Arksey and O'Malley (2005), to explore how these unprecedented circumstances have affected the mental health of the UK adult population aged 65 and over.</w:t>
      </w:r>
    </w:p>
    <w:p w:rsidR="00000000" w:rsidDel="00000000" w:rsidP="00000000" w:rsidRDefault="00000000" w:rsidRPr="00000000" w14:paraId="0000001B">
      <w:pPr>
        <w:spacing w:after="200" w:line="360" w:lineRule="auto"/>
        <w:rPr/>
      </w:pPr>
      <w:r w:rsidDel="00000000" w:rsidR="00000000" w:rsidRPr="00000000">
        <w:rPr>
          <w:rtl w:val="0"/>
        </w:rPr>
      </w:r>
    </w:p>
    <w:p w:rsidR="00000000" w:rsidDel="00000000" w:rsidP="00000000" w:rsidRDefault="00000000" w:rsidRPr="00000000" w14:paraId="0000001C">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Rationale</w:t>
      </w:r>
      <w:r w:rsidDel="00000000" w:rsidR="00000000" w:rsidRPr="00000000">
        <w:rPr>
          <w:rtl w:val="0"/>
        </w:rPr>
      </w:r>
    </w:p>
    <w:p w:rsidR="00000000" w:rsidDel="00000000" w:rsidP="00000000" w:rsidRDefault="00000000" w:rsidRPr="00000000" w14:paraId="0000001D">
      <w:pPr>
        <w:spacing w:after="200" w:line="360" w:lineRule="auto"/>
        <w:rPr/>
      </w:pPr>
      <w:r w:rsidDel="00000000" w:rsidR="00000000" w:rsidRPr="00000000">
        <w:rPr>
          <w:rtl w:val="0"/>
        </w:rPr>
        <w:t xml:space="preserve">The effects of the pandemic on mental health at a population level have been well documented, and there is an estimated 25% increase in anxiety and depression in the first year of the pandemic globally (World Health Organization, 2022). A special and, at times, paradoxical role was taken by the older people in this scenario. They were the most vulnerable to serious illness and death from COVID-19 infection, and were therefore most likely to be under the strictest shielding guidance, but there were a number of early population surveys which indicated that there were relatively low levels of anxiety and depressive symptoms reported in the older age groups than in the younger adults during the same period (Office for National Statistics, 2020). In addition to evidence of new and specific risks for older people as a result of pandemic-related disruptions to mental health and social care services, and an apparent paradox of increased or declining risk at the same time, mental health is an important and under-researched area within UK health and social care practice (Banerjee, 2020). In addition, in the past UK policy has tended to deal with older people's mental health as part of a broader framework of adult mental health rather than as a specific concern (Age UK, 2019), which means that COVID-19 evidence specific to older people may not have been systematically considered in adult mental health policy responses. Therefore, a scoping review is a timely and appropriate method to identify, map, synthesize and critically evaluate the existing peer-reviewed evidence and to identify gaps of direct relevance to the practice of health, social care and digital health in the UK.</w:t>
      </w:r>
    </w:p>
    <w:p w:rsidR="00000000" w:rsidDel="00000000" w:rsidP="00000000" w:rsidRDefault="00000000" w:rsidRPr="00000000" w14:paraId="0000001E">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Review Question</w:t>
      </w:r>
      <w:r w:rsidDel="00000000" w:rsidR="00000000" w:rsidRPr="00000000">
        <w:rPr>
          <w:rtl w:val="0"/>
        </w:rPr>
      </w:r>
    </w:p>
    <w:p w:rsidR="00000000" w:rsidDel="00000000" w:rsidP="00000000" w:rsidRDefault="00000000" w:rsidRPr="00000000" w14:paraId="0000001F">
      <w:pPr>
        <w:spacing w:after="200" w:line="360" w:lineRule="auto"/>
        <w:rPr/>
      </w:pPr>
      <w:r w:rsidDel="00000000" w:rsidR="00000000" w:rsidRPr="00000000">
        <w:rPr>
          <w:rFonts w:ascii="Arial" w:cs="Arial" w:eastAsia="Arial" w:hAnsi="Arial"/>
          <w:sz w:val="22"/>
          <w:szCs w:val="22"/>
          <w:rtl w:val="0"/>
        </w:rPr>
        <w:t xml:space="preserve">What was the impact of the COVID-19 pandemic on the mental health of older adults aged 65 and over in the United Kingdom?</w:t>
      </w:r>
      <w:r w:rsidDel="00000000" w:rsidR="00000000" w:rsidRPr="00000000">
        <w:rPr>
          <w:rtl w:val="0"/>
        </w:rPr>
      </w:r>
    </w:p>
    <w:p w:rsidR="00000000" w:rsidDel="00000000" w:rsidP="00000000" w:rsidRDefault="00000000" w:rsidRPr="00000000" w14:paraId="00000020">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Objectives</w:t>
      </w:r>
      <w:r w:rsidDel="00000000" w:rsidR="00000000" w:rsidRPr="00000000">
        <w:rPr>
          <w:rtl w:val="0"/>
        </w:rPr>
      </w:r>
    </w:p>
    <w:p w:rsidR="00000000" w:rsidDel="00000000" w:rsidP="00000000" w:rsidRDefault="00000000" w:rsidRPr="00000000" w14:paraId="00000021">
      <w:pPr>
        <w:spacing w:after="120" w:line="360" w:lineRule="auto"/>
        <w:ind w:left="420" w:firstLine="0"/>
        <w:rPr>
          <w:sz w:val="23"/>
          <w:szCs w:val="23"/>
        </w:rPr>
      </w:pPr>
      <w:r w:rsidDel="00000000" w:rsidR="00000000" w:rsidRPr="00000000">
        <w:rPr>
          <w:rFonts w:ascii="Arial" w:cs="Arial" w:eastAsia="Arial" w:hAnsi="Arial"/>
          <w:sz w:val="22"/>
          <w:szCs w:val="22"/>
          <w:rtl w:val="0"/>
        </w:rPr>
        <w:t xml:space="preserve">1. </w:t>
      </w:r>
      <w:r w:rsidDel="00000000" w:rsidR="00000000" w:rsidRPr="00000000">
        <w:rPr>
          <w:sz w:val="23"/>
          <w:szCs w:val="23"/>
          <w:rtl w:val="0"/>
        </w:rPr>
        <w:t xml:space="preserve">To locate and collate relevant peer reviewed published literature from the UK regarding the impact of the COVID-19 pandemic on the mental health and wellbeing of older adults (aged 65 and above).</w:t>
      </w:r>
    </w:p>
    <w:p w:rsidR="00000000" w:rsidDel="00000000" w:rsidP="00000000" w:rsidRDefault="00000000" w:rsidRPr="00000000" w14:paraId="00000022">
      <w:pPr>
        <w:spacing w:after="120" w:line="360" w:lineRule="auto"/>
        <w:ind w:left="420" w:firstLine="0"/>
        <w:rPr>
          <w:sz w:val="23"/>
          <w:szCs w:val="23"/>
        </w:rPr>
      </w:pPr>
      <w:r w:rsidDel="00000000" w:rsidR="00000000" w:rsidRPr="00000000">
        <w:rPr>
          <w:sz w:val="23"/>
          <w:szCs w:val="23"/>
          <w:rtl w:val="0"/>
        </w:rPr>
        <w:t xml:space="preserve">2. To review factors that may contribute to poorer mental health outcomes among older adults during the pandemic, as compared with other adult populations (when applicable).</w:t>
      </w:r>
    </w:p>
    <w:p w:rsidR="00000000" w:rsidDel="00000000" w:rsidP="00000000" w:rsidRDefault="00000000" w:rsidRPr="00000000" w14:paraId="00000023">
      <w:pPr>
        <w:spacing w:after="120" w:line="360" w:lineRule="auto"/>
        <w:ind w:left="420" w:firstLine="0"/>
        <w:rPr>
          <w:sz w:val="23"/>
          <w:szCs w:val="23"/>
        </w:rPr>
      </w:pPr>
      <w:r w:rsidDel="00000000" w:rsidR="00000000" w:rsidRPr="00000000">
        <w:rPr>
          <w:sz w:val="23"/>
          <w:szCs w:val="23"/>
          <w:rtl w:val="0"/>
        </w:rPr>
        <w:t xml:space="preserve">3. To draw conclusions from the evidence reviewed that impact health, social care and digital health services delivery in the UK.</w:t>
      </w:r>
    </w:p>
    <w:p w:rsidR="00000000" w:rsidDel="00000000" w:rsidP="00000000" w:rsidRDefault="00000000" w:rsidRPr="00000000" w14:paraId="00000024">
      <w:pPr>
        <w:spacing w:after="120" w:line="360" w:lineRule="auto"/>
        <w:ind w:left="420" w:firstLine="0"/>
        <w:rPr/>
      </w:pPr>
      <w:r w:rsidDel="00000000" w:rsidR="00000000" w:rsidRPr="00000000">
        <w:rPr>
          <w:sz w:val="23"/>
          <w:szCs w:val="23"/>
          <w:rtl w:val="0"/>
        </w:rPr>
        <w:t xml:space="preserve">To identify areas of the existing evidence base which need to be filled to guide future research, policy and practice on mental health issues affecting older people.</w:t>
      </w:r>
      <w:r w:rsidDel="00000000" w:rsidR="00000000" w:rsidRPr="00000000">
        <w:rPr>
          <w:rtl w:val="0"/>
        </w:rPr>
        <w:t xml:space="preserve"> </w:t>
      </w:r>
    </w:p>
    <w:p w:rsidR="00000000" w:rsidDel="00000000" w:rsidP="00000000" w:rsidRDefault="00000000" w:rsidRPr="00000000" w14:paraId="00000025">
      <w:pPr>
        <w:pStyle w:val="Heading1"/>
        <w:spacing w:after="120" w:before="240" w:line="360" w:lineRule="auto"/>
        <w:rPr/>
      </w:pPr>
      <w:r w:rsidDel="00000000" w:rsidR="00000000" w:rsidRPr="00000000">
        <w:rPr>
          <w:rFonts w:ascii="Arial" w:cs="Arial" w:eastAsia="Arial" w:hAnsi="Arial"/>
          <w:b w:val="1"/>
          <w:bCs w:val="1"/>
          <w:sz w:val="26"/>
          <w:szCs w:val="26"/>
          <w:rtl w:val="0"/>
        </w:rPr>
        <w:t xml:space="preserve">Background</w:t>
      </w:r>
      <w:r w:rsidDel="00000000" w:rsidR="00000000" w:rsidRPr="00000000">
        <w:rPr>
          <w:rtl w:val="0"/>
        </w:rPr>
      </w:r>
    </w:p>
    <w:p w:rsidR="00000000" w:rsidDel="00000000" w:rsidP="00000000" w:rsidRDefault="00000000" w:rsidRPr="00000000" w14:paraId="00000026">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Population Context</w:t>
      </w:r>
      <w:r w:rsidDel="00000000" w:rsidR="00000000" w:rsidRPr="00000000">
        <w:rPr>
          <w:rtl w:val="0"/>
        </w:rPr>
      </w:r>
    </w:p>
    <w:p w:rsidR="00000000" w:rsidDel="00000000" w:rsidP="00000000" w:rsidRDefault="00000000" w:rsidRPr="00000000" w14:paraId="00000027">
      <w:pPr>
        <w:spacing w:after="200" w:line="360" w:lineRule="auto"/>
        <w:rPr/>
      </w:pPr>
      <w:r w:rsidDel="00000000" w:rsidR="00000000" w:rsidRPr="00000000">
        <w:rPr>
          <w:sz w:val="23"/>
          <w:szCs w:val="23"/>
          <w:rtl w:val="0"/>
        </w:rPr>
        <w:t xml:space="preserve">About a third of the total UK population was aged 65 and over in 2020, and this is expected to increase significantly in the next few decades as people live longer and birth rates are relatively low (Office for National Statistics, 2021). This demographic shift highlights that it is important to comprehend the impact of public health emergencies on older citizens' mental health and wellbeing long before, beyond and after the period of the pandemic.</w:t>
      </w:r>
      <w:r w:rsidDel="00000000" w:rsidR="00000000" w:rsidRPr="00000000">
        <w:rPr>
          <w:rtl w:val="0"/>
        </w:rPr>
        <w:t xml:space="preserve"> </w:t>
      </w:r>
    </w:p>
    <w:p w:rsidR="00000000" w:rsidDel="00000000" w:rsidP="00000000" w:rsidRDefault="00000000" w:rsidRPr="00000000" w14:paraId="00000028">
      <w:pPr>
        <w:spacing w:after="100" w:before="160" w:line="360" w:lineRule="auto"/>
        <w:rPr>
          <w:b w:val="1"/>
          <w:bCs w:val="1"/>
          <w:i w:val="1"/>
          <w:iCs w:val="1"/>
        </w:rPr>
      </w:pPr>
      <w:r w:rsidDel="00000000" w:rsidR="00000000" w:rsidRPr="00000000">
        <w:rPr>
          <w:rtl w:val="0"/>
        </w:rPr>
      </w:r>
    </w:p>
    <w:p w:rsidR="00000000" w:rsidDel="00000000" w:rsidP="00000000" w:rsidRDefault="00000000" w:rsidRPr="00000000" w14:paraId="00000029">
      <w:pPr>
        <w:spacing w:after="100" w:before="160" w:line="360" w:lineRule="auto"/>
        <w:rPr>
          <w:b w:val="1"/>
          <w:bCs w:val="1"/>
          <w:i w:val="1"/>
          <w:iCs w:val="1"/>
        </w:rPr>
      </w:pPr>
      <w:r w:rsidDel="00000000" w:rsidR="00000000" w:rsidRPr="00000000">
        <w:rPr>
          <w:rtl w:val="0"/>
        </w:rPr>
      </w:r>
    </w:p>
    <w:p w:rsidR="00000000" w:rsidDel="00000000" w:rsidP="00000000" w:rsidRDefault="00000000" w:rsidRPr="00000000" w14:paraId="0000002A">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Pandemic Timeline and Shielding</w:t>
      </w:r>
      <w:r w:rsidDel="00000000" w:rsidR="00000000" w:rsidRPr="00000000">
        <w:rPr>
          <w:rtl w:val="0"/>
        </w:rPr>
      </w:r>
    </w:p>
    <w:p w:rsidR="00000000" w:rsidDel="00000000" w:rsidP="00000000" w:rsidRDefault="00000000" w:rsidRPr="00000000" w14:paraId="0000002B">
      <w:pPr>
        <w:spacing w:after="200" w:line="360" w:lineRule="auto"/>
        <w:rPr/>
      </w:pPr>
      <w:r w:rsidDel="00000000" w:rsidR="00000000" w:rsidRPr="00000000">
        <w:rPr>
          <w:sz w:val="23"/>
          <w:szCs w:val="23"/>
          <w:rtl w:val="0"/>
        </w:rPr>
        <w:t xml:space="preserve">The UK's first national lockdown on 23 March 2020 was accompanied by the official guidance for adults aged 70 and older, and those identified as clinically extremely vulnerable, to shield, which meant they had significantly reduced social contacts from the rest of the population for a prolonged period of time (Age UK, 2020). The national survey of older people by Age UK (2020) highlighted that there was a frequent feeling that older people were being placed in a 'Catch 22' situation; they were fearing infection if they were to leave their homes, but they were also experiencing the psychological strain of too much time at home. Loneliness and low mood were reported by many as ongoing problems, as was uncertainty about when life would return to normal, with many respondents reporting difficulties accessing food, medicine and routine health care appointments during the early and strictest period of the pandemic.</w:t>
      </w:r>
      <w:r w:rsidDel="00000000" w:rsidR="00000000" w:rsidRPr="00000000">
        <w:rPr>
          <w:rtl w:val="0"/>
        </w:rPr>
        <w:t xml:space="preserve"> </w:t>
      </w:r>
    </w:p>
    <w:p w:rsidR="00000000" w:rsidDel="00000000" w:rsidP="00000000" w:rsidRDefault="00000000" w:rsidRPr="00000000" w14:paraId="0000002C">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Policy and Legislative Context</w:t>
      </w:r>
      <w:r w:rsidDel="00000000" w:rsidR="00000000" w:rsidRPr="00000000">
        <w:rPr>
          <w:rtl w:val="0"/>
        </w:rPr>
      </w:r>
    </w:p>
    <w:p w:rsidR="00000000" w:rsidDel="00000000" w:rsidP="00000000" w:rsidRDefault="00000000" w:rsidRPr="00000000" w14:paraId="0000002D">
      <w:pPr>
        <w:spacing w:after="200" w:line="360" w:lineRule="auto"/>
        <w:rPr/>
      </w:pPr>
      <w:r w:rsidDel="00000000" w:rsidR="00000000" w:rsidRPr="00000000">
        <w:rPr>
          <w:sz w:val="23"/>
          <w:szCs w:val="23"/>
          <w:rtl w:val="0"/>
        </w:rPr>
        <w:t xml:space="preserve">Loneliness and social isolation has become a legitimate public health issue in its own right in the UK, with greater mental health policy awareness. The NHS Long Term Plan and NHS Mental Health Implementation Plan 2019/20-2023/24 pledged to increase community-based and crisis mental health services, and to bring social prescribing – which refers to the linking of patients to non-clinical sources of help and support within the community – into mainstream NHS provision (NHS England, 2019). This has been noted by Age UK (2019), who has pointed out that both the Five Year Forward View for Mental Health and the NHS Long Term Plan reflect mental health as part of the wider mental health strategy for adults, rather than older people's mental health being given special attention and recognition. This policy gap is important given the pandemic response – general guidance around adult mental health could not have been as sensitive to the specific context of shielding older people.</w:t>
      </w:r>
      <w:r w:rsidDel="00000000" w:rsidR="00000000" w:rsidRPr="00000000">
        <w:rPr>
          <w:sz w:val="23"/>
          <w:szCs w:val="23"/>
          <w:rtl w:val="0"/>
        </w:rPr>
        <w:t xml:space="preserve"> </w:t>
      </w:r>
      <w:r w:rsidDel="00000000" w:rsidR="00000000" w:rsidRPr="00000000">
        <w:rPr>
          <w:sz w:val="23"/>
          <w:szCs w:val="23"/>
          <w:rtl w:val="0"/>
        </w:rPr>
        <w:t xml:space="preserve">The Care Act 2014 is relevant to the many older people who access social care services as well as NHS mental health services, and includes a statutory duty on local authorities in England to promote wellbeing, including mental wellbeing, in their work relating to social care services (Great Britain, 2014).</w:t>
      </w:r>
      <w:r w:rsidDel="00000000" w:rsidR="00000000" w:rsidRPr="00000000">
        <w:rPr>
          <w:rtl w:val="0"/>
        </w:rPr>
      </w:r>
    </w:p>
    <w:p w:rsidR="00000000" w:rsidDel="00000000" w:rsidP="00000000" w:rsidRDefault="00000000" w:rsidRPr="00000000" w14:paraId="0000002E">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Service and Statistical Context</w:t>
      </w:r>
      <w:r w:rsidDel="00000000" w:rsidR="00000000" w:rsidRPr="00000000">
        <w:rPr>
          <w:rtl w:val="0"/>
        </w:rPr>
      </w:r>
    </w:p>
    <w:p w:rsidR="00000000" w:rsidDel="00000000" w:rsidP="00000000" w:rsidRDefault="00000000" w:rsidRPr="00000000" w14:paraId="0000002F">
      <w:pPr>
        <w:spacing w:after="200" w:line="360" w:lineRule="auto"/>
        <w:rPr/>
      </w:pPr>
      <w:r w:rsidDel="00000000" w:rsidR="00000000" w:rsidRPr="00000000">
        <w:rPr>
          <w:sz w:val="23"/>
          <w:szCs w:val="23"/>
          <w:rtl w:val="0"/>
        </w:rPr>
        <w:t xml:space="preserve">National data confirms the extent of the disruption pandemic experience has had on older people, and shows a more nuanced picture than a deterioration. In the first lockdown of the UK, the Office for Statistics (2020) identified that older adults, contrary to some beliefs, were not more likely than younger age groups to report being chronically lonely, and in fact, those aged 55 to 69 were less likely to be reporting loneliness because of lockdown than younger adults. But for those older adults whose wellbeing was impacted by the pandemic, the most frequent experiences were feeling worried about the future, stress, and boredom, and engaging in remote contact with family and friends was the main coping strategy identified (Office for National Statistics, 2020). However, ONS analysis of the impact of the pandemic on people's lives when looking at the social impact specifically among those aged 60 and over, showed that although they were most likely to be concerned about infection risk, their main concerns were also about not being able to make plans and disruption to their own personal travel (Office for National Statistics, 2020).</w:t>
      </w:r>
      <w:r w:rsidDel="00000000" w:rsidR="00000000" w:rsidRPr="00000000">
        <w:rPr>
          <w:rtl w:val="0"/>
        </w:rPr>
        <w:t xml:space="preserve"> </w:t>
      </w:r>
    </w:p>
    <w:p w:rsidR="00000000" w:rsidDel="00000000" w:rsidP="00000000" w:rsidRDefault="00000000" w:rsidRPr="00000000" w14:paraId="00000030">
      <w:pPr>
        <w:spacing w:after="200" w:line="360" w:lineRule="auto"/>
        <w:rPr/>
      </w:pPr>
      <w:r w:rsidDel="00000000" w:rsidR="00000000" w:rsidRPr="00000000">
        <w:rPr>
          <w:sz w:val="23"/>
          <w:szCs w:val="23"/>
          <w:rtl w:val="0"/>
        </w:rPr>
        <w:t xml:space="preserve">The pandemic also contributed to a long standing trend in the NHS to provide digitally delivered and remote health services, such as telephone and video consultations to assess and follow up on mental health. This is especially concerning for older people, as evidence suggests that older adults are at a higher risk of digital exclusion than other groups, and that there are millions of UK adults who are digitally excluded from accessing online health services (Sharma and Sharma, 2024). It is therefore important to highlight a context for health, social care and digital health practice in the UK, where the intersection between accelerated digital health delivery and inequitable digital access for older adults is a key consideration and is picked up again later in the discussion of practice implications in this review.</w:t>
      </w:r>
      <w:r w:rsidDel="00000000" w:rsidR="00000000" w:rsidRPr="00000000">
        <w:rPr>
          <w:rtl w:val="0"/>
        </w:rPr>
        <w:t xml:space="preserve"> </w:t>
      </w:r>
    </w:p>
    <w:p w:rsidR="00000000" w:rsidDel="00000000" w:rsidP="00000000" w:rsidRDefault="00000000" w:rsidRPr="00000000" w14:paraId="00000031">
      <w:pPr>
        <w:pStyle w:val="Heading1"/>
        <w:spacing w:after="120" w:before="240" w:line="360" w:lineRule="auto"/>
        <w:rPr/>
      </w:pPr>
      <w:r w:rsidDel="00000000" w:rsidR="00000000" w:rsidRPr="00000000">
        <w:rPr>
          <w:rFonts w:ascii="Arial" w:cs="Arial" w:eastAsia="Arial" w:hAnsi="Arial"/>
          <w:b w:val="1"/>
          <w:bCs w:val="1"/>
          <w:sz w:val="26"/>
          <w:szCs w:val="26"/>
          <w:rtl w:val="0"/>
        </w:rPr>
        <w:t xml:space="preserve">Methods</w:t>
      </w:r>
      <w:r w:rsidDel="00000000" w:rsidR="00000000" w:rsidRPr="00000000">
        <w:rPr>
          <w:rtl w:val="0"/>
        </w:rPr>
      </w:r>
    </w:p>
    <w:p w:rsidR="00000000" w:rsidDel="00000000" w:rsidP="00000000" w:rsidRDefault="00000000" w:rsidRPr="00000000" w14:paraId="00000032">
      <w:pPr>
        <w:spacing w:after="200" w:line="360" w:lineRule="auto"/>
        <w:rPr/>
      </w:pPr>
      <w:r w:rsidDel="00000000" w:rsidR="00000000" w:rsidRPr="00000000">
        <w:rPr>
          <w:sz w:val="23"/>
          <w:szCs w:val="23"/>
          <w:rtl w:val="0"/>
        </w:rPr>
        <w:t xml:space="preserve">The methodological approach adopted in this scoping review was that of Arksey and O'Malley (2005) whose five-stage approach was used: identification of the research question; identification of relevant studies; selection of the studies; charting the data; collating, summarising and reporting the findings. This was further developed with the recommendations of Levac, Colquhoun and O'Brien (2010) who made recommendations for iterative search refinement and structured data charting which were subsequently included in this review. Reporting was conducted following the PRISMA extension for scoping reviews (PRISMA-ScR) checklist (Tricco et al., 2018), which offers a standardised reporting framework to ensure search strategy, screening and results are documented in a transparent way.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3">
      <w:pPr>
        <w:spacing w:after="100" w:before="160" w:line="360" w:lineRule="auto"/>
        <w:rPr>
          <w:b w:val="1"/>
          <w:bCs w:val="1"/>
          <w:i w:val="1"/>
          <w:iCs w:val="1"/>
        </w:rPr>
      </w:pPr>
      <w:r w:rsidDel="00000000" w:rsidR="00000000" w:rsidRPr="00000000">
        <w:rPr>
          <w:rtl w:val="0"/>
        </w:rPr>
      </w:r>
    </w:p>
    <w:p w:rsidR="00000000" w:rsidDel="00000000" w:rsidP="00000000" w:rsidRDefault="00000000" w:rsidRPr="00000000" w14:paraId="00000034">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Data Collection</w:t>
      </w:r>
      <w:r w:rsidDel="00000000" w:rsidR="00000000" w:rsidRPr="00000000">
        <w:rPr>
          <w:rtl w:val="0"/>
        </w:rPr>
      </w:r>
    </w:p>
    <w:p w:rsidR="00000000" w:rsidDel="00000000" w:rsidP="00000000" w:rsidRDefault="00000000" w:rsidRPr="00000000" w14:paraId="00000035">
      <w:pPr>
        <w:spacing w:after="200" w:line="360" w:lineRule="auto"/>
        <w:rPr>
          <w:sz w:val="23"/>
          <w:szCs w:val="23"/>
        </w:rPr>
      </w:pPr>
      <w:r w:rsidDel="00000000" w:rsidR="00000000" w:rsidRPr="00000000">
        <w:rPr>
          <w:sz w:val="23"/>
          <w:szCs w:val="23"/>
          <w:rtl w:val="0"/>
        </w:rPr>
        <w:t xml:space="preserve">The literature search was conducted using the UWTSD Library discovery service, PubMed,PROQUEST, SAGE Journals and EBSCOhost which contained the CINAHL and MEDLINE databases. The terms were combined using Boolean operators, for the concepts of pandemic (“COVID-19” OR “coronavirus” OR “pandemic”), mental health outcomes (“mental health” OR “depression” OR “anxiety” OR “loneliness” OR “psychosis” OR “wellbeing”), being older (“older adult*” OR “elderly” OR “aged 65” OR “geriatric”), and relevance to UK (“UK” OR “United Kingdom” OR “England” OR “Britain”). To identify any additional eligible studies not returned by the database search, the reference lists of relevant papers identified through this search were hand-searched.</w:t>
      </w:r>
    </w:p>
    <w:p w:rsidR="00000000" w:rsidDel="00000000" w:rsidP="00000000" w:rsidRDefault="00000000" w:rsidRPr="00000000" w14:paraId="00000036">
      <w:pPr>
        <w:spacing w:after="200" w:line="360" w:lineRule="auto"/>
        <w:rPr>
          <w:sz w:val="23"/>
          <w:szCs w:val="23"/>
        </w:rPr>
      </w:pPr>
      <w:r w:rsidDel="00000000" w:rsidR="00000000" w:rsidRPr="00000000">
        <w:rPr>
          <w:sz w:val="23"/>
          <w:szCs w:val="23"/>
          <w:rtl w:val="0"/>
        </w:rPr>
        <w:t xml:space="preserve">The inclusion criteria were: peer-reviewed primary or secondary research studies published as academic journal articles; UK based study samples or studies that presented age disaggregated findings for adults aged 65 and over that were relevant for the UK; English language publications; and published between 2020 and 2024, which represented the pandemic and immediate aftermath. As suggested in the assessment guidance, policy papers, guidance documents, editorials, conference proceedings and commentary papers were not to be included in formal thematic analysis but several of these, as well as national policy and statistical publications, were included in the Background section above, where they help to provide additional context to the UK, but not primary research evidence. Two sequential screening steps were performed: first screening of titles and abstracts according to the inclusion criteria, and second screening of potentially eligible studies by full-text review of these studies.</w:t>
      </w:r>
    </w:p>
    <w:p w:rsidR="00000000" w:rsidDel="00000000" w:rsidP="00000000" w:rsidRDefault="00000000" w:rsidRPr="00000000" w14:paraId="00000037">
      <w:pPr>
        <w:spacing w:after="200" w:line="360" w:lineRule="auto"/>
        <w:rPr/>
      </w:pPr>
      <w:r w:rsidDel="00000000" w:rsidR="00000000" w:rsidRPr="00000000">
        <w:rPr>
          <w:rtl w:val="0"/>
        </w:rPr>
      </w:r>
    </w:p>
    <w:p w:rsidR="00000000" w:rsidDel="00000000" w:rsidP="00000000" w:rsidRDefault="00000000" w:rsidRPr="00000000" w14:paraId="00000038">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Data Analysis</w:t>
      </w:r>
      <w:r w:rsidDel="00000000" w:rsidR="00000000" w:rsidRPr="00000000">
        <w:rPr>
          <w:rtl w:val="0"/>
        </w:rPr>
      </w:r>
    </w:p>
    <w:p w:rsidR="00000000" w:rsidDel="00000000" w:rsidP="00000000" w:rsidRDefault="00000000" w:rsidRPr="00000000" w14:paraId="00000039">
      <w:pPr>
        <w:spacing w:after="200" w:line="360" w:lineRule="auto"/>
        <w:rPr/>
      </w:pPr>
      <w:r w:rsidDel="00000000" w:rsidR="00000000" w:rsidRPr="00000000">
        <w:rPr>
          <w:sz w:val="23"/>
          <w:szCs w:val="23"/>
          <w:rtl w:val="0"/>
        </w:rPr>
        <w:t xml:space="preserve">Three studies had all the characteristics for inclusion and were chosen for detailed analysis in this review. Data for each of the studies included were recorded in a standardised charting form that included the author, year of the study, design, and characteristics of the samples and setting, among other key findings pertinent to the review question. The findings extracted were then analysed using thematic analysis, which is the thematic analysis approach adapted from six stages outlined by Braun and Clarke (2006): familiarisation with the data; initial coding; searching for candidate themes; reviewing themes against the coded data; defining and naming final themes; and writing up the analysis presented below in the Results section. This was deemed appropriate based on the methodological differences of included studies, which included qualitative interviews, retrospective analysis of EHRs and longitudinal survey data, and as thematic analysis is appropriate for identifying patterns of meaning across studies that cannot be statistically pooled.</w:t>
      </w:r>
      <w:r w:rsidDel="00000000" w:rsidR="00000000" w:rsidRPr="00000000">
        <w:rPr>
          <w:rtl w:val="0"/>
        </w:rPr>
        <w:t xml:space="preserve"> </w:t>
      </w:r>
    </w:p>
    <w:p w:rsidR="00000000" w:rsidDel="00000000" w:rsidP="00000000" w:rsidRDefault="00000000" w:rsidRPr="00000000" w14:paraId="0000003A">
      <w:pPr>
        <w:spacing w:after="100" w:before="160" w:line="360" w:lineRule="auto"/>
        <w:rPr>
          <w:b w:val="1"/>
          <w:bCs w:val="1"/>
          <w:i w:val="1"/>
          <w:iCs w:val="1"/>
        </w:rPr>
      </w:pPr>
      <w:r w:rsidDel="00000000" w:rsidR="00000000" w:rsidRPr="00000000">
        <w:rPr>
          <w:rtl w:val="0"/>
        </w:rPr>
      </w:r>
    </w:p>
    <w:p w:rsidR="00000000" w:rsidDel="00000000" w:rsidP="00000000" w:rsidRDefault="00000000" w:rsidRPr="00000000" w14:paraId="0000003B">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Ethical Considerations</w:t>
      </w:r>
      <w:r w:rsidDel="00000000" w:rsidR="00000000" w:rsidRPr="00000000">
        <w:rPr>
          <w:rtl w:val="0"/>
        </w:rPr>
      </w:r>
    </w:p>
    <w:p w:rsidR="00000000" w:rsidDel="00000000" w:rsidP="00000000" w:rsidRDefault="00000000" w:rsidRPr="00000000" w14:paraId="0000003C">
      <w:pPr>
        <w:spacing w:after="200" w:line="360" w:lineRule="auto"/>
        <w:rPr/>
      </w:pPr>
      <w:r w:rsidDel="00000000" w:rsidR="00000000" w:rsidRPr="00000000">
        <w:rPr>
          <w:sz w:val="23"/>
          <w:szCs w:val="23"/>
          <w:rtl w:val="0"/>
        </w:rPr>
        <w:t xml:space="preserve">A formal approval from an NHS Research Ethics Committee was not required as this review is based on secondary, publicly available, published data only. No direct contact was made with any research participants at any stage.The institutional low-risk ethics self-certification was, however, met prior to data collection, in line with the ethics governance requirements for institutions . The topic is one that requires sensitivity, for example with respect to the use of terms such as 'psychosis' and 'suicidal thinking' in some of the studies included, and much care was taken throughout in this respect, to ensure that findings on mental health among the older population were represented accurately, proportionately and without using stigmatising language. The process of searching and selection of sources, the correct attribution of all sources (Harvard referencing), the interpretation of the sources (in particular a selective or biased reporting) and the correct treatment of copyrighted material (construction of an original summary table, no reproduction of any published table or figure) were observed throughout the process of conducting and writing this review.</w:t>
      </w:r>
      <w:r w:rsidDel="00000000" w:rsidR="00000000" w:rsidRPr="00000000">
        <w:rPr>
          <w:rtl w:val="0"/>
        </w:rPr>
        <w:t xml:space="preserve"> </w:t>
      </w:r>
    </w:p>
    <w:p w:rsidR="00000000" w:rsidDel="00000000" w:rsidP="00000000" w:rsidRDefault="00000000" w:rsidRPr="00000000" w14:paraId="0000003D">
      <w:pPr>
        <w:pStyle w:val="Heading1"/>
        <w:spacing w:after="120" w:before="240" w:line="360" w:lineRule="auto"/>
        <w:rPr/>
      </w:pPr>
      <w:r w:rsidDel="00000000" w:rsidR="00000000" w:rsidRPr="00000000">
        <w:rPr>
          <w:rFonts w:ascii="Arial" w:cs="Arial" w:eastAsia="Arial" w:hAnsi="Arial"/>
          <w:b w:val="1"/>
          <w:bCs w:val="1"/>
          <w:sz w:val="26"/>
          <w:szCs w:val="26"/>
          <w:rtl w:val="0"/>
        </w:rPr>
        <w:t xml:space="preserve">Results</w:t>
      </w:r>
      <w:r w:rsidDel="00000000" w:rsidR="00000000" w:rsidRPr="00000000">
        <w:rPr>
          <w:rtl w:val="0"/>
        </w:rPr>
      </w:r>
    </w:p>
    <w:p w:rsidR="00000000" w:rsidDel="00000000" w:rsidP="00000000" w:rsidRDefault="00000000" w:rsidRPr="00000000" w14:paraId="0000003E">
      <w:pPr>
        <w:spacing w:after="200" w:line="360" w:lineRule="auto"/>
        <w:rPr/>
      </w:pPr>
      <w:r w:rsidDel="00000000" w:rsidR="00000000" w:rsidRPr="00000000">
        <w:rPr>
          <w:sz w:val="23"/>
          <w:szCs w:val="23"/>
          <w:rtl w:val="0"/>
        </w:rPr>
        <w:t xml:space="preserve">Three studies were included in this scoping review and used very different research designs: a qualitative interview study, a retrospective study of electronic health record data, and a longitudinal population study. The most important characteristics and findings of each of the included studies are summarised in Table 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F">
      <w:pPr>
        <w:spacing w:after="120" w:before="120" w:lineRule="auto"/>
        <w:rPr>
          <w:b w:val="1"/>
          <w:bCs w:val="1"/>
        </w:rPr>
      </w:pPr>
      <w:r w:rsidDel="00000000" w:rsidR="00000000" w:rsidRPr="00000000">
        <w:rPr>
          <w:rtl w:val="0"/>
        </w:rPr>
      </w:r>
    </w:p>
    <w:p w:rsidR="00000000" w:rsidDel="00000000" w:rsidP="00000000" w:rsidRDefault="00000000" w:rsidRPr="00000000" w14:paraId="00000040">
      <w:pPr>
        <w:spacing w:after="120" w:before="120" w:lineRule="auto"/>
        <w:rPr>
          <w:b w:val="1"/>
          <w:bCs w:val="1"/>
        </w:rPr>
      </w:pPr>
      <w:r w:rsidDel="00000000" w:rsidR="00000000" w:rsidRPr="00000000">
        <w:rPr>
          <w:rtl w:val="0"/>
        </w:rPr>
      </w:r>
    </w:p>
    <w:p w:rsidR="00000000" w:rsidDel="00000000" w:rsidP="00000000" w:rsidRDefault="00000000" w:rsidRPr="00000000" w14:paraId="00000041">
      <w:pPr>
        <w:spacing w:after="120" w:before="120" w:lineRule="auto"/>
        <w:rPr>
          <w:b w:val="1"/>
          <w:bCs w:val="1"/>
        </w:rPr>
      </w:pPr>
      <w:r w:rsidDel="00000000" w:rsidR="00000000" w:rsidRPr="00000000">
        <w:rPr>
          <w:rtl w:val="0"/>
        </w:rPr>
      </w:r>
    </w:p>
    <w:p w:rsidR="00000000" w:rsidDel="00000000" w:rsidP="00000000" w:rsidRDefault="00000000" w:rsidRPr="00000000" w14:paraId="00000042">
      <w:pPr>
        <w:spacing w:after="120" w:before="120" w:lineRule="auto"/>
        <w:rPr>
          <w:b w:val="1"/>
          <w:bCs w:val="1"/>
        </w:rPr>
      </w:pPr>
      <w:r w:rsidDel="00000000" w:rsidR="00000000" w:rsidRPr="00000000">
        <w:rPr>
          <w:rtl w:val="0"/>
        </w:rPr>
      </w:r>
    </w:p>
    <w:p w:rsidR="00000000" w:rsidDel="00000000" w:rsidP="00000000" w:rsidRDefault="00000000" w:rsidRPr="00000000" w14:paraId="00000043">
      <w:pPr>
        <w:spacing w:after="120" w:before="120" w:lineRule="auto"/>
        <w:rPr>
          <w:b w:val="1"/>
          <w:bCs w:val="1"/>
        </w:rPr>
      </w:pPr>
      <w:r w:rsidDel="00000000" w:rsidR="00000000" w:rsidRPr="00000000">
        <w:rPr>
          <w:rtl w:val="0"/>
        </w:rPr>
      </w:r>
    </w:p>
    <w:p w:rsidR="00000000" w:rsidDel="00000000" w:rsidP="00000000" w:rsidRDefault="00000000" w:rsidRPr="00000000" w14:paraId="00000044">
      <w:pPr>
        <w:spacing w:after="120" w:before="120" w:lineRule="auto"/>
        <w:rPr>
          <w:b w:val="1"/>
          <w:bCs w:val="1"/>
        </w:rPr>
      </w:pPr>
      <w:r w:rsidDel="00000000" w:rsidR="00000000" w:rsidRPr="00000000">
        <w:rPr>
          <w:rtl w:val="0"/>
        </w:rPr>
      </w:r>
    </w:p>
    <w:p w:rsidR="00000000" w:rsidDel="00000000" w:rsidP="00000000" w:rsidRDefault="00000000" w:rsidRPr="00000000" w14:paraId="00000045">
      <w:pPr>
        <w:spacing w:after="120" w:before="120" w:lineRule="auto"/>
        <w:rPr>
          <w:b w:val="1"/>
          <w:bCs w:val="1"/>
        </w:rPr>
      </w:pPr>
      <w:r w:rsidDel="00000000" w:rsidR="00000000" w:rsidRPr="00000000">
        <w:rPr>
          <w:rtl w:val="0"/>
        </w:rPr>
      </w:r>
    </w:p>
    <w:p w:rsidR="00000000" w:rsidDel="00000000" w:rsidP="00000000" w:rsidRDefault="00000000" w:rsidRPr="00000000" w14:paraId="00000046">
      <w:pPr>
        <w:spacing w:after="120" w:before="120" w:lineRule="auto"/>
        <w:rPr>
          <w:b w:val="1"/>
          <w:bCs w:val="1"/>
        </w:rPr>
      </w:pPr>
      <w:r w:rsidDel="00000000" w:rsidR="00000000" w:rsidRPr="00000000">
        <w:rPr>
          <w:rtl w:val="0"/>
        </w:rPr>
      </w:r>
    </w:p>
    <w:p w:rsidR="00000000" w:rsidDel="00000000" w:rsidP="00000000" w:rsidRDefault="00000000" w:rsidRPr="00000000" w14:paraId="00000047">
      <w:pPr>
        <w:spacing w:after="120" w:before="120" w:lineRule="auto"/>
        <w:rPr/>
      </w:pPr>
      <w:r w:rsidDel="00000000" w:rsidR="00000000" w:rsidRPr="00000000">
        <w:rPr>
          <w:rFonts w:ascii="Arial" w:cs="Arial" w:eastAsia="Arial" w:hAnsi="Arial"/>
          <w:b w:val="1"/>
          <w:bCs w:val="1"/>
          <w:sz w:val="22"/>
          <w:szCs w:val="22"/>
          <w:rtl w:val="0"/>
        </w:rPr>
        <w:t xml:space="preserve">Table 1: Summary of included studies</w:t>
      </w:r>
      <w:r w:rsidDel="00000000" w:rsidR="00000000" w:rsidRPr="00000000">
        <w:rPr>
          <w:rtl w:val="0"/>
        </w:rPr>
      </w:r>
    </w:p>
    <w:tbl>
      <w:tblPr>
        <w:tblStyle w:val="Table1"/>
        <w:tblW w:w="9690.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000"/>
      </w:tblPr>
      <w:tblGrid>
        <w:gridCol w:w="1980"/>
        <w:gridCol w:w="1890"/>
        <w:gridCol w:w="1800"/>
        <w:gridCol w:w="4020"/>
        <w:tblGridChange w:id="0">
          <w:tblGrid>
            <w:gridCol w:w="1980"/>
            <w:gridCol w:w="1890"/>
            <w:gridCol w:w="1800"/>
            <w:gridCol w:w="4020"/>
          </w:tblGrid>
        </w:tblGridChange>
      </w:tblGrid>
      <w:tr>
        <w:trPr>
          <w:cantSplit w:val="0"/>
          <w:trHeight w:val="2067.3681640624995" w:hRule="atLeast"/>
          <w:tblHeader w:val="1"/>
        </w:trPr>
        <w:tc>
          <w:tcPr>
            <w:tcMar>
              <w:top w:w="100.0" w:type="dxa"/>
              <w:left w:w="100.0" w:type="dxa"/>
              <w:bottom w:w="100.0" w:type="dxa"/>
              <w:right w:w="100.0" w:type="dxa"/>
            </w:tcMar>
            <w:vAlign w:val="top"/>
          </w:tcPr>
          <w:p w:rsidR="00000000" w:rsidDel="00000000" w:rsidP="00000000" w:rsidRDefault="00000000" w:rsidRPr="00000000" w14:paraId="00000048">
            <w:pPr>
              <w:spacing w:after="80" w:line="300" w:lineRule="auto"/>
              <w:rPr/>
            </w:pPr>
            <w:r w:rsidDel="00000000" w:rsidR="00000000" w:rsidRPr="00000000">
              <w:rPr>
                <w:rFonts w:ascii="Arial" w:cs="Arial" w:eastAsia="Arial" w:hAnsi="Arial"/>
                <w:b w:val="1"/>
                <w:bCs w:val="1"/>
                <w:sz w:val="18"/>
                <w:szCs w:val="18"/>
                <w:rtl w:val="0"/>
              </w:rPr>
              <w:t xml:space="preserve">Study</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9">
            <w:pPr>
              <w:spacing w:after="80" w:line="300" w:lineRule="auto"/>
              <w:rPr/>
            </w:pPr>
            <w:r w:rsidDel="00000000" w:rsidR="00000000" w:rsidRPr="00000000">
              <w:rPr>
                <w:rFonts w:ascii="Arial" w:cs="Arial" w:eastAsia="Arial" w:hAnsi="Arial"/>
                <w:b w:val="1"/>
                <w:bCs w:val="1"/>
                <w:sz w:val="18"/>
                <w:szCs w:val="18"/>
                <w:rtl w:val="0"/>
              </w:rPr>
              <w:t xml:space="preserve">Design</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A">
            <w:pPr>
              <w:spacing w:after="80" w:line="300" w:lineRule="auto"/>
              <w:rPr/>
            </w:pPr>
            <w:r w:rsidDel="00000000" w:rsidR="00000000" w:rsidRPr="00000000">
              <w:rPr>
                <w:rFonts w:ascii="Arial" w:cs="Arial" w:eastAsia="Arial" w:hAnsi="Arial"/>
                <w:b w:val="1"/>
                <w:bCs w:val="1"/>
                <w:sz w:val="18"/>
                <w:szCs w:val="18"/>
                <w:rtl w:val="0"/>
              </w:rPr>
              <w:t xml:space="preserve">Sample</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B">
            <w:pPr>
              <w:spacing w:after="80" w:line="300" w:lineRule="auto"/>
              <w:rPr/>
            </w:pPr>
            <w:r w:rsidDel="00000000" w:rsidR="00000000" w:rsidRPr="00000000">
              <w:rPr>
                <w:rFonts w:ascii="Arial" w:cs="Arial" w:eastAsia="Arial" w:hAnsi="Arial"/>
                <w:b w:val="1"/>
                <w:bCs w:val="1"/>
                <w:sz w:val="18"/>
                <w:szCs w:val="18"/>
                <w:rtl w:val="0"/>
              </w:rPr>
              <w:t xml:space="preserve">Key findings relevant to older adults</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4C">
            <w:pPr>
              <w:spacing w:after="80" w:line="300" w:lineRule="auto"/>
              <w:rPr/>
            </w:pPr>
            <w:r w:rsidDel="00000000" w:rsidR="00000000" w:rsidRPr="00000000">
              <w:rPr>
                <w:rFonts w:ascii="Arial" w:cs="Arial" w:eastAsia="Arial" w:hAnsi="Arial"/>
                <w:b w:val="0"/>
                <w:bCs w:val="0"/>
                <w:sz w:val="18"/>
                <w:szCs w:val="18"/>
                <w:rtl w:val="0"/>
              </w:rPr>
              <w:t xml:space="preserve">Burton et al. (2023)</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D">
            <w:pPr>
              <w:spacing w:after="80" w:line="300" w:lineRule="auto"/>
              <w:rPr/>
            </w:pPr>
            <w:r w:rsidDel="00000000" w:rsidR="00000000" w:rsidRPr="00000000">
              <w:rPr>
                <w:rFonts w:ascii="Arial" w:cs="Arial" w:eastAsia="Arial" w:hAnsi="Arial"/>
                <w:b w:val="0"/>
                <w:bCs w:val="0"/>
                <w:sz w:val="18"/>
                <w:szCs w:val="18"/>
                <w:rtl w:val="0"/>
              </w:rPr>
              <w:t xml:space="preserve">Qualitative interview study with thematic analysis is used to analyze the data.</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E">
            <w:pPr>
              <w:spacing w:after="80" w:line="300" w:lineRule="auto"/>
              <w:rPr/>
            </w:pPr>
            <w:r w:rsidDel="00000000" w:rsidR="00000000" w:rsidRPr="00000000">
              <w:rPr>
                <w:rFonts w:ascii="Arial" w:cs="Arial" w:eastAsia="Arial" w:hAnsi="Arial"/>
                <w:b w:val="0"/>
                <w:bCs w:val="0"/>
                <w:sz w:val="18"/>
                <w:szCs w:val="18"/>
                <w:rtl w:val="0"/>
              </w:rPr>
              <w:t xml:space="preserve">The 22 adults who had pre-existing mental health needs were UK.22 adults were UK with pre-existing mental health needs.</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F">
            <w:pPr>
              <w:spacing w:after="80" w:line="300" w:lineRule="auto"/>
              <w:rPr/>
            </w:pPr>
            <w:r w:rsidDel="00000000" w:rsidR="00000000" w:rsidRPr="00000000">
              <w:rPr>
                <w:rFonts w:ascii="Arial" w:cs="Arial" w:eastAsia="Arial" w:hAnsi="Arial"/>
                <w:b w:val="0"/>
                <w:bCs w:val="0"/>
                <w:sz w:val="18"/>
                <w:szCs w:val="18"/>
                <w:rtl w:val="0"/>
              </w:rPr>
              <w:t xml:space="preserve">Recognized 5 pandemic-related factors associated with poor mental wellbeing such as isolation and poor access to mental health services, and 5 coping mechanisms to maintain mental wellbeing such as staying connected with others and hobbies</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50">
            <w:pPr>
              <w:spacing w:after="80" w:line="300" w:lineRule="auto"/>
              <w:rPr/>
            </w:pPr>
            <w:r w:rsidDel="00000000" w:rsidR="00000000" w:rsidRPr="00000000">
              <w:rPr>
                <w:rFonts w:ascii="Arial" w:cs="Arial" w:eastAsia="Arial" w:hAnsi="Arial"/>
                <w:b w:val="0"/>
                <w:bCs w:val="0"/>
                <w:sz w:val="18"/>
                <w:szCs w:val="18"/>
                <w:rtl w:val="0"/>
              </w:rPr>
              <w:t xml:space="preserve">Simkin et al. (2022)</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51">
            <w:pPr>
              <w:spacing w:after="80" w:line="300" w:lineRule="auto"/>
              <w:rPr/>
            </w:pPr>
            <w:r w:rsidDel="00000000" w:rsidR="00000000" w:rsidRPr="00000000">
              <w:rPr>
                <w:rFonts w:ascii="Arial" w:cs="Arial" w:eastAsia="Arial" w:hAnsi="Arial"/>
                <w:b w:val="0"/>
                <w:bCs w:val="0"/>
                <w:sz w:val="18"/>
                <w:szCs w:val="18"/>
                <w:rtl w:val="0"/>
              </w:rPr>
              <w:t xml:space="preserve">Retrospective electronic health records study Electronic health records study (EHR)  a retrospective study that reviews health records.</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52">
            <w:pPr>
              <w:spacing w:after="80" w:line="300" w:lineRule="auto"/>
              <w:rPr/>
            </w:pPr>
            <w:r w:rsidDel="00000000" w:rsidR="00000000" w:rsidRPr="00000000">
              <w:rPr>
                <w:sz w:val="18"/>
                <w:szCs w:val="18"/>
                <w:rtl w:val="0"/>
              </w:rPr>
              <w:t xml:space="preserve">The children and young people are all referred to older adult mental health services, South London, and the comparison period is the same as the 2020 lockdown period.</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53">
            <w:pPr>
              <w:spacing w:after="80" w:line="300" w:lineRule="auto"/>
              <w:rPr/>
            </w:pPr>
            <w:r w:rsidDel="00000000" w:rsidR="00000000" w:rsidRPr="00000000">
              <w:rPr>
                <w:sz w:val="18"/>
                <w:szCs w:val="18"/>
                <w:rtl w:val="0"/>
              </w:rPr>
              <w:t xml:space="preserve">The first lockdown period saw a drop in referrals to 37% of the pre-pandemic rate, with the proportion of those referred reporting symptoms of psychosis greater than in the previous period (at 55% compared with 45%) and associations between psychosis and non-White ethnicity and dementia diagnosis were stronger during the lockdown than in the comparison period.</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54">
            <w:pPr>
              <w:spacing w:after="80" w:line="300" w:lineRule="auto"/>
              <w:rPr/>
            </w:pPr>
            <w:r w:rsidDel="00000000" w:rsidR="00000000" w:rsidRPr="00000000">
              <w:rPr>
                <w:rFonts w:ascii="Arial" w:cs="Arial" w:eastAsia="Arial" w:hAnsi="Arial"/>
                <w:b w:val="0"/>
                <w:bCs w:val="0"/>
                <w:sz w:val="18"/>
                <w:szCs w:val="18"/>
                <w:rtl w:val="0"/>
              </w:rPr>
              <w:t xml:space="preserve">O'Connor et al. (2021)</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55">
            <w:pPr>
              <w:spacing w:after="80" w:line="300" w:lineRule="auto"/>
              <w:rPr/>
            </w:pPr>
            <w:r w:rsidDel="00000000" w:rsidR="00000000" w:rsidRPr="00000000">
              <w:rPr>
                <w:rFonts w:ascii="Arial" w:cs="Arial" w:eastAsia="Arial" w:hAnsi="Arial"/>
                <w:b w:val="0"/>
                <w:bCs w:val="0"/>
                <w:sz w:val="18"/>
                <w:szCs w:val="18"/>
                <w:rtl w:val="0"/>
              </w:rPr>
              <w:t xml:space="preserve">Longitudinal survey across three waves</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56">
            <w:pPr>
              <w:spacing w:after="80" w:line="300" w:lineRule="auto"/>
              <w:rPr/>
            </w:pPr>
            <w:r w:rsidDel="00000000" w:rsidR="00000000" w:rsidRPr="00000000">
              <w:rPr>
                <w:sz w:val="18"/>
                <w:szCs w:val="18"/>
                <w:rtl w:val="0"/>
              </w:rPr>
              <w:t xml:space="preserve">3,077 adults (age-disaggregated analysis provided for adults 60+).</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57">
            <w:pPr>
              <w:spacing w:after="80" w:line="300" w:lineRule="auto"/>
              <w:rPr/>
            </w:pPr>
            <w:r w:rsidDel="00000000" w:rsidR="00000000" w:rsidRPr="00000000">
              <w:rPr>
                <w:sz w:val="18"/>
                <w:szCs w:val="18"/>
                <w:rtl w:val="0"/>
              </w:rPr>
              <w:t xml:space="preserve">Throughout the study, the rates of depressive symptoms were significantly lower among adults aged 60+, but there were significant increases in loneliness across the waves among those aged 60+, compared with a decrease among 18-29 year-olds.</w:t>
            </w:r>
            <w:r w:rsidDel="00000000" w:rsidR="00000000" w:rsidRPr="00000000">
              <w:rPr>
                <w:rtl w:val="0"/>
              </w:rPr>
            </w:r>
          </w:p>
        </w:tc>
      </w:tr>
    </w:tbl>
    <w:p w:rsidR="00000000" w:rsidDel="00000000" w:rsidP="00000000" w:rsidRDefault="00000000" w:rsidRPr="00000000" w14:paraId="00000058">
      <w:pPr>
        <w:spacing w:after="120" w:before="240" w:lineRule="auto"/>
        <w:rPr/>
      </w:pPr>
      <w:r w:rsidDel="00000000" w:rsidR="00000000" w:rsidRPr="00000000">
        <w:rPr>
          <w:rtl w:val="0"/>
        </w:rPr>
      </w:r>
    </w:p>
    <w:p w:rsidR="00000000" w:rsidDel="00000000" w:rsidP="00000000" w:rsidRDefault="00000000" w:rsidRPr="00000000" w14:paraId="00000059">
      <w:pPr>
        <w:spacing w:after="200" w:line="360" w:lineRule="auto"/>
        <w:rPr/>
      </w:pPr>
      <w:r w:rsidDel="00000000" w:rsidR="00000000" w:rsidRPr="00000000">
        <w:rPr>
          <w:rtl w:val="0"/>
        </w:rPr>
        <w:t xml:space="preserve">The three studies included were analysed thematically, which resulted in the emergence of four cross-cutting themes, which are outlined below.</w:t>
      </w:r>
      <w:r w:rsidDel="00000000" w:rsidR="00000000" w:rsidRPr="00000000">
        <w:rPr>
          <w:rtl w:val="0"/>
        </w:rPr>
      </w:r>
    </w:p>
    <w:p w:rsidR="00000000" w:rsidDel="00000000" w:rsidP="00000000" w:rsidRDefault="00000000" w:rsidRPr="00000000" w14:paraId="0000005A">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Theme 1: Deteriorating Wellbeing Despite Comparatively Low Symptom Prevalence</w:t>
      </w:r>
      <w:r w:rsidDel="00000000" w:rsidR="00000000" w:rsidRPr="00000000">
        <w:rPr>
          <w:rtl w:val="0"/>
        </w:rPr>
      </w:r>
    </w:p>
    <w:p w:rsidR="00000000" w:rsidDel="00000000" w:rsidP="00000000" w:rsidRDefault="00000000" w:rsidRPr="00000000" w14:paraId="0000005B">
      <w:pPr>
        <w:spacing w:after="200" w:line="360" w:lineRule="auto"/>
        <w:rPr/>
      </w:pPr>
      <w:r w:rsidDel="00000000" w:rsidR="00000000" w:rsidRPr="00000000">
        <w:rPr>
          <w:sz w:val="23"/>
          <w:szCs w:val="23"/>
          <w:rtl w:val="0"/>
        </w:rPr>
        <w:t xml:space="preserve">One of the most consistent findings in the evidence included is that there appears to be a disconnect between the symptoms of depression that are formally measured and the more general measures of wellbeing. Adults 60 years and older had significantly lower depressive symptom scores than younger adults at each of the three survey waves in the study (O'Connor et al., 2021). Buttgen et al. (2023), however, provided the first-hand accounts of the deterioration of mental health which were related to isolation, disrupted routines and loss of informal support networks, and Simkin et al. (2022) reported that a higher proportion of older adults who did attend mental health services during lockdown had psychotic symptoms than had the pre-pandemic comparison period, suggesting that cases presenting to services were on average more severe.</w:t>
      </w:r>
      <w:r w:rsidDel="00000000" w:rsidR="00000000" w:rsidRPr="00000000">
        <w:rPr>
          <w:rtl w:val="0"/>
        </w:rPr>
        <w:t xml:space="preserve"> </w:t>
      </w:r>
    </w:p>
    <w:p w:rsidR="00000000" w:rsidDel="00000000" w:rsidP="00000000" w:rsidRDefault="00000000" w:rsidRPr="00000000" w14:paraId="0000005C">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Theme 2: Disrupted and Delayed Access to Mental Health Services</w:t>
      </w:r>
      <w:r w:rsidDel="00000000" w:rsidR="00000000" w:rsidRPr="00000000">
        <w:rPr>
          <w:rtl w:val="0"/>
        </w:rPr>
      </w:r>
    </w:p>
    <w:p w:rsidR="00000000" w:rsidDel="00000000" w:rsidP="00000000" w:rsidRDefault="00000000" w:rsidRPr="00000000" w14:paraId="0000005D">
      <w:pPr>
        <w:spacing w:after="200" w:line="360" w:lineRule="auto"/>
        <w:rPr>
          <w:sz w:val="23"/>
          <w:szCs w:val="23"/>
        </w:rPr>
      </w:pPr>
      <w:r w:rsidDel="00000000" w:rsidR="00000000" w:rsidRPr="00000000">
        <w:rPr>
          <w:sz w:val="23"/>
          <w:szCs w:val="23"/>
          <w:rtl w:val="0"/>
        </w:rPr>
        <w:t xml:space="preserve">Burton et al. (2023) and Simkin et al. (2022) both found disruption to access to services as a key concern that influenced participants' experiences. During the initial national lockdown in 2020, it was found that only a little over a third of those who were referred to older adult mental health services were during this period, with the acuity of those who were referred to OAMHS seemingly becoming more acute, suggesting that reduced referral numbers were likely a reflection of problems accessing help and services in this population, rather than a reflection of reduced clinical need in the older population.</w:t>
      </w:r>
    </w:p>
    <w:p w:rsidR="00000000" w:rsidDel="00000000" w:rsidP="00000000" w:rsidRDefault="00000000" w:rsidRPr="00000000" w14:paraId="0000005E">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Theme 3: Unequal Vulnerability Across Ethnicity, Cognitive Status and Pre-Existing Illness</w:t>
      </w:r>
      <w:r w:rsidDel="00000000" w:rsidR="00000000" w:rsidRPr="00000000">
        <w:rPr>
          <w:rtl w:val="0"/>
        </w:rPr>
      </w:r>
    </w:p>
    <w:p w:rsidR="00000000" w:rsidDel="00000000" w:rsidP="00000000" w:rsidRDefault="00000000" w:rsidRPr="00000000" w14:paraId="0000005F">
      <w:pPr>
        <w:spacing w:after="200" w:line="360" w:lineRule="auto"/>
        <w:rPr/>
      </w:pPr>
      <w:r w:rsidDel="00000000" w:rsidR="00000000" w:rsidRPr="00000000">
        <w:rPr>
          <w:sz w:val="23"/>
          <w:szCs w:val="23"/>
          <w:rtl w:val="0"/>
        </w:rPr>
        <w:t xml:space="preserve">In all three studies, pandemic-related impacts were not uniform across the older adult population were observed. Similarly, Simkin et al. (2022) reported that the link between psychosis and non-White ethnicity, and with dementia diagnosis, was more pronounced during the pandemic than before when the pandemic (lockdown), compared to the pre-pandemic period, indicating that pre-existing inequalities in access to timely mental healthcare were exacerbated rather than driven by the pandemic. A similar finding was found by Burton et al. (2023) – people suffering from more severe and pre-existing mental illness were most affected by pandemic conditions compared to those who had more episodic or mild mental illness problems.</w:t>
      </w:r>
      <w:r w:rsidDel="00000000" w:rsidR="00000000" w:rsidRPr="00000000">
        <w:rPr>
          <w:rtl w:val="0"/>
        </w:rPr>
        <w:t xml:space="preserve"> </w:t>
      </w:r>
    </w:p>
    <w:p w:rsidR="00000000" w:rsidDel="00000000" w:rsidP="00000000" w:rsidRDefault="00000000" w:rsidRPr="00000000" w14:paraId="00000060">
      <w:pPr>
        <w:spacing w:after="100" w:before="160" w:line="360" w:lineRule="auto"/>
        <w:rPr/>
      </w:pPr>
      <w:r w:rsidDel="00000000" w:rsidR="00000000" w:rsidRPr="00000000">
        <w:rPr>
          <w:rFonts w:ascii="Arial" w:cs="Arial" w:eastAsia="Arial" w:hAnsi="Arial"/>
          <w:b w:val="1"/>
          <w:bCs w:val="1"/>
          <w:i w:val="1"/>
          <w:iCs w:val="1"/>
          <w:sz w:val="22"/>
          <w:szCs w:val="22"/>
          <w:rtl w:val="0"/>
        </w:rPr>
        <w:t xml:space="preserve">Theme 4: Rising Loneliness as a Distinct and Under-Addressed Outcome</w:t>
      </w:r>
      <w:r w:rsidDel="00000000" w:rsidR="00000000" w:rsidRPr="00000000">
        <w:rPr>
          <w:rtl w:val="0"/>
        </w:rPr>
      </w:r>
    </w:p>
    <w:p w:rsidR="00000000" w:rsidDel="00000000" w:rsidP="00000000" w:rsidRDefault="00000000" w:rsidRPr="00000000" w14:paraId="00000061">
      <w:pPr>
        <w:spacing w:after="200" w:line="360" w:lineRule="auto"/>
        <w:rPr/>
      </w:pPr>
      <w:r w:rsidDel="00000000" w:rsidR="00000000" w:rsidRPr="00000000">
        <w:rPr>
          <w:sz w:val="23"/>
          <w:szCs w:val="23"/>
          <w:rtl w:val="0"/>
        </w:rPr>
        <w:t xml:space="preserve">The loneliness scores differed from depression, however, in that they showed a markedly different pattern of change over time; as opposed to the youngest age group, there was a significant increase in loneliness scores among adults aged 60 and over in the study period. This indicates that loneliness was a separate effect of the depression in this population and one that is not necessarily captured in formal mental health service data, including Simkin et al.'s (2022) data, as loneliness does not usually lead to seeking specialist mental health services.</w:t>
      </w:r>
      <w:r w:rsidDel="00000000" w:rsidR="00000000" w:rsidRPr="00000000">
        <w:rPr>
          <w:rtl w:val="0"/>
        </w:rPr>
        <w:t xml:space="preserve"> </w:t>
      </w:r>
    </w:p>
    <w:p w:rsidR="00000000" w:rsidDel="00000000" w:rsidP="00000000" w:rsidRDefault="00000000" w:rsidRPr="00000000" w14:paraId="00000062">
      <w:pPr>
        <w:pStyle w:val="Heading1"/>
        <w:spacing w:after="120" w:before="240" w:line="360" w:lineRule="auto"/>
        <w:rPr>
          <w:b w:val="1"/>
          <w:bCs w:val="1"/>
          <w:sz w:val="26"/>
          <w:szCs w:val="26"/>
        </w:rPr>
      </w:pPr>
      <w:r w:rsidDel="00000000" w:rsidR="00000000" w:rsidRPr="00000000">
        <w:rPr>
          <w:rtl w:val="0"/>
        </w:rPr>
      </w:r>
    </w:p>
    <w:p w:rsidR="00000000" w:rsidDel="00000000" w:rsidP="00000000" w:rsidRDefault="00000000" w:rsidRPr="00000000" w14:paraId="00000063">
      <w:pPr>
        <w:pStyle w:val="Heading1"/>
        <w:spacing w:after="120" w:before="240" w:line="360" w:lineRule="auto"/>
        <w:rPr/>
      </w:pPr>
      <w:r w:rsidDel="00000000" w:rsidR="00000000" w:rsidRPr="00000000">
        <w:rPr>
          <w:rFonts w:ascii="Arial" w:cs="Arial" w:eastAsia="Arial" w:hAnsi="Arial"/>
          <w:b w:val="1"/>
          <w:bCs w:val="1"/>
          <w:sz w:val="26"/>
          <w:szCs w:val="26"/>
          <w:rtl w:val="0"/>
        </w:rPr>
        <w:t xml:space="preserve">Discussion</w:t>
      </w:r>
      <w:r w:rsidDel="00000000" w:rsidR="00000000" w:rsidRPr="00000000">
        <w:rPr>
          <w:rtl w:val="0"/>
        </w:rPr>
      </w:r>
    </w:p>
    <w:p w:rsidR="00000000" w:rsidDel="00000000" w:rsidP="00000000" w:rsidRDefault="00000000" w:rsidRPr="00000000" w14:paraId="00000064">
      <w:pPr>
        <w:spacing w:after="200" w:line="360" w:lineRule="auto"/>
        <w:rPr/>
      </w:pPr>
      <w:r w:rsidDel="00000000" w:rsidR="00000000" w:rsidRPr="00000000">
        <w:rPr>
          <w:rtl w:val="0"/>
        </w:rPr>
        <w:t xml:space="preserve">The</w:t>
      </w:r>
      <w:r w:rsidDel="00000000" w:rsidR="00000000" w:rsidRPr="00000000">
        <w:rPr>
          <w:rtl w:val="0"/>
        </w:rPr>
        <w:t xml:space="preserve"> results of this scoping review offer a more complex picture of the pandemic and older adults' mental health than a straightforward one of depressive or anxious mental health. The evidence, however, indicates that loneliness is a specific outcome particularly associated with this phenomenon as well as difficulties in accessing services at the time of or after presentation, and increasing in severity among those that sought services; these effects vary by ethnicity and cognitive status.</w:t>
      </w:r>
    </w:p>
    <w:p w:rsidR="00000000" w:rsidDel="00000000" w:rsidP="00000000" w:rsidRDefault="00000000" w:rsidRPr="00000000" w14:paraId="00000065">
      <w:pPr>
        <w:spacing w:after="200" w:line="360" w:lineRule="auto"/>
        <w:rPr/>
      </w:pPr>
      <w:r w:rsidDel="00000000" w:rsidR="00000000" w:rsidRPr="00000000">
        <w:rPr>
          <w:rtl w:val="0"/>
        </w:rPr>
        <w:t xml:space="preserve">This pattern is broadly similar to the wider UK picture not featured in the formal sample for this review, but relevant to the interpretation of this review. For example, in the English Longitudinal Study of Ageing, there was a significant increase in depression, loneliness and poor quality of life in 2020 among adults 50 and older, and there were clear gender, housing and income disparities (Zaninotto et al., 2022). In a similar study, UK researchers investigated psychological resilience and technology usage among adults aged 65-89 and discovered that the majority of the sample were moderately to severely lonely during the pandemic and that psychological resilience and technology use were both slightly correlated with lower loneliness, but that levels of loneliness were higher during the pandemic than they were pre-pandemic (Balki, Hayes and Holland, 2023). This, together with the conclusions of this review, confirms the hypothesis that loneliness is a potentially important, under-researched aspect of the COVID-19 pandemic's mental health consequences on the mental well-being of older adults in the UK, one which is not always well reflected in mental health service referrals traditionally used to measure such consequences.</w:t>
      </w:r>
    </w:p>
    <w:p w:rsidR="00000000" w:rsidDel="00000000" w:rsidP="00000000" w:rsidRDefault="00000000" w:rsidRPr="00000000" w14:paraId="00000066">
      <w:pPr>
        <w:spacing w:after="200" w:line="360" w:lineRule="auto"/>
        <w:rPr/>
      </w:pPr>
      <w:r w:rsidDel="00000000" w:rsidR="00000000" w:rsidRPr="00000000">
        <w:rPr>
          <w:rtl w:val="0"/>
        </w:rPr>
        <w:t xml:space="preserve">The drop in referrals to older adult mental health services and the increase in the acuteness of cases reported at the same time (Simkin et al, 2022) has clear implications for UK practice and service planning. It implies that service disruption due to the pandemic was not just a decrease in the "real" need for older adult mental health services, but the postponement of service presentation until much later on in the stages of the pandemic's impact where the presentation of mental health services would be very pronounced. This has clear implications for the planning of public health services in the future. This is also in line with the broader theme that Age UK (2019) raised regarding the lack of protection of mental health needs of older people in the broader picture of adult mental health policy, as a policy focused mainly on the general adult population might not be able to predict access issues for older adults that may be shielding, such as decreased digital literacy, mobility or the ability to access digital and telephone services from family members. This is exacerbated by evidence that the pandemic hastened a wider trend of greater access to remote and digital health care delivery, which may have further disadvantaged older adults who are least able to access digital health services on their own, and for which UK digital health professionals and service commissioners need to be mindful of when designing future digital-distributed or hybrid care pathways (Sharma and Sharma, 2024).</w:t>
      </w:r>
    </w:p>
    <w:p w:rsidR="00000000" w:rsidDel="00000000" w:rsidP="00000000" w:rsidRDefault="00000000" w:rsidRPr="00000000" w14:paraId="00000067">
      <w:pPr>
        <w:spacing w:after="200" w:line="360" w:lineRule="auto"/>
        <w:rPr/>
      </w:pPr>
      <w:r w:rsidDel="00000000" w:rsidR="00000000" w:rsidRPr="00000000">
        <w:rPr>
          <w:rtl w:val="0"/>
        </w:rPr>
        <w:t xml:space="preserve">The inequalities identified by Simkin et al. (2022) in terms of non-White ethnicity and dementia diagnosis resonates with a wider global body of evidence that the pandemic has had disproportionate impact on populations that were already disadvantaged by health inequalities (World Health Organisation, 2022), and highlights the need for culturally competent and dementia aware provision of older adult mental health services both during future public health crises and in the normal course of business.</w:t>
      </w:r>
    </w:p>
    <w:p w:rsidR="00000000" w:rsidDel="00000000" w:rsidP="00000000" w:rsidRDefault="00000000" w:rsidRPr="00000000" w14:paraId="00000068">
      <w:pPr>
        <w:spacing w:after="200" w:line="360" w:lineRule="auto"/>
        <w:rPr/>
      </w:pPr>
      <w:r w:rsidDel="00000000" w:rsidR="00000000" w:rsidRPr="00000000">
        <w:rPr>
          <w:rtl w:val="0"/>
        </w:rPr>
        <w:t xml:space="preserve">There are a number of limitations with this review that ought to be noted. There were only three studies that satisfied the strict inclusion criteria, with widely varying designs, from qualitative interviews, to retrospective analysis of electronic health records, to longitudinal survey data. This methodological variety enhances triangulation between the various types of evidence, but also reduces the extent to which parallel comparisons can be made between studies, and makes statistical synthesis impossible. While only one of the included studies examined a sample of adults age 65 and older, the other two studies yielded results or evidence that were relevant to a closely related vulnerable population—adults with pre-existing mental health issues—rather than an exclusively older-adult sample. This is a real and significant lack in the broader UK evidence base for genuinely older-adult-specific, quantitative and longitudinal studies especially beyond the first wave of the pandemic and into the medium and longer term. Another limitation is that the studies that were included in this review were all done relatively early in the pandemic, so this review is not able to make a confident statement about the mental health of older adults during later pandemic waves, the vaccination rollout period or during recovery.</w:t>
      </w:r>
    </w:p>
    <w:p w:rsidR="00000000" w:rsidDel="00000000" w:rsidP="00000000" w:rsidRDefault="00000000" w:rsidRPr="00000000" w14:paraId="00000069">
      <w:pPr>
        <w:spacing w:after="200" w:line="360" w:lineRule="auto"/>
        <w:rPr/>
      </w:pPr>
      <w:r w:rsidDel="00000000" w:rsidR="00000000" w:rsidRPr="00000000">
        <w:rPr>
          <w:rtl w:val="0"/>
        </w:rPr>
      </w:r>
    </w:p>
    <w:p w:rsidR="00000000" w:rsidDel="00000000" w:rsidP="00000000" w:rsidRDefault="00000000" w:rsidRPr="00000000" w14:paraId="0000006A">
      <w:pPr>
        <w:pStyle w:val="Heading1"/>
        <w:spacing w:after="120" w:before="240" w:line="360" w:lineRule="auto"/>
        <w:rPr/>
      </w:pPr>
      <w:r w:rsidDel="00000000" w:rsidR="00000000" w:rsidRPr="00000000">
        <w:rPr>
          <w:rFonts w:ascii="Arial" w:cs="Arial" w:eastAsia="Arial" w:hAnsi="Arial"/>
          <w:b w:val="1"/>
          <w:bCs w:val="1"/>
          <w:sz w:val="26"/>
          <w:szCs w:val="26"/>
          <w:rtl w:val="0"/>
        </w:rPr>
        <w:t xml:space="preserve">Conclusion and Recommendations</w:t>
      </w:r>
      <w:r w:rsidDel="00000000" w:rsidR="00000000" w:rsidRPr="00000000">
        <w:rPr>
          <w:rtl w:val="0"/>
        </w:rPr>
      </w:r>
    </w:p>
    <w:p w:rsidR="00000000" w:rsidDel="00000000" w:rsidP="00000000" w:rsidRDefault="00000000" w:rsidRPr="00000000" w14:paraId="0000006B">
      <w:pPr>
        <w:spacing w:after="200" w:line="360" w:lineRule="auto"/>
        <w:rPr/>
      </w:pPr>
      <w:r w:rsidDel="00000000" w:rsidR="00000000" w:rsidRPr="00000000">
        <w:rPr>
          <w:rtl w:val="0"/>
        </w:rPr>
        <w:t xml:space="preserve">According to this scoping review, the COVID-19 pandemic had a profound yet, somewhat complex, effect on the mental health of older people in the UK. In contrast to a uniform increase in depression or anxiety, the most consistent and prominent results from the evidence reviewed clearly refer to increased loneliness, decreased but more clinically significant access to specialist mental health services, and differential effects based on cognitive status and ethnicity. These findings suggest that depression and anxiety symptom measures alone are not sufficient to capture the impact of the pandemic on older adults and show the need for a greater focus on loneliness in both research and service planning.</w:t>
      </w:r>
    </w:p>
    <w:p w:rsidR="00000000" w:rsidDel="00000000" w:rsidP="00000000" w:rsidRDefault="00000000" w:rsidRPr="00000000" w14:paraId="0000006C">
      <w:pPr>
        <w:spacing w:after="200" w:line="360" w:lineRule="auto"/>
        <w:rPr/>
      </w:pPr>
      <w:r w:rsidDel="00000000" w:rsidR="00000000" w:rsidRPr="00000000">
        <w:rPr>
          <w:rtl w:val="0"/>
        </w:rPr>
        <w:t xml:space="preserve">In terms of the future research needs, it is clear that larger scale, longitudinal, UK-based studies are needed that go beyond the studies examined in this review, which were largely focussed on the first waves of the pandemic and excluded underrepresented ethnic minority older adults, and that would focus specifically and exclusively on adults aged 65 and over and specific inequalities found within this review.</w:t>
      </w:r>
    </w:p>
    <w:p w:rsidR="00000000" w:rsidDel="00000000" w:rsidP="00000000" w:rsidRDefault="00000000" w:rsidRPr="00000000" w14:paraId="0000006D">
      <w:pPr>
        <w:spacing w:after="200" w:line="360" w:lineRule="auto"/>
        <w:rPr/>
      </w:pPr>
      <w:r w:rsidDel="00000000" w:rsidR="00000000" w:rsidRPr="00000000">
        <w:rPr>
          <w:rtl w:val="0"/>
        </w:rPr>
        <w:t xml:space="preserve">Within the policy, national mental health strategy should specifically recognise older people as a population with distinct needs and not continue to include older people's mental health services under the umbrella of adult mental health policy; should make a commitment to ensuring continuity of access to older adult mental health services during future public health emergencies, as there is clear evidence in this review of delayed and disrupted presentation.</w:t>
      </w:r>
    </w:p>
    <w:p w:rsidR="00000000" w:rsidDel="00000000" w:rsidP="00000000" w:rsidRDefault="00000000" w:rsidRPr="00000000" w14:paraId="0000006E">
      <w:pPr>
        <w:spacing w:after="200" w:line="360" w:lineRule="auto"/>
        <w:rPr/>
      </w:pPr>
      <w:r w:rsidDel="00000000" w:rsidR="00000000" w:rsidRPr="00000000">
        <w:rPr>
          <w:rtl w:val="0"/>
        </w:rPr>
        <w:t xml:space="preserve">The findings of this review back the idea of proactive outreach specifically targeting loneliness in older people; culturally sensitive and dementia-aware service provision that can tackle the inequalities identified in Simkin et al. (2022) and continued investment in digital inclusion work to ensure equitable access to remote and digital mental health supports as NHS services continue to move to a digital future, but without putting the disadvantages of digital health innovation on older people on the front foot.</w:t>
      </w:r>
    </w:p>
    <w:p w:rsidR="00000000" w:rsidDel="00000000" w:rsidP="00000000" w:rsidRDefault="00000000" w:rsidRPr="00000000" w14:paraId="0000006F">
      <w:pPr>
        <w:spacing w:after="200" w:line="360" w:lineRule="auto"/>
        <w:rPr/>
      </w:pPr>
      <w:r w:rsidDel="00000000" w:rsidR="00000000" w:rsidRPr="00000000">
        <w:rPr>
          <w:rtl w:val="0"/>
        </w:rPr>
      </w:r>
    </w:p>
    <w:p w:rsidR="00000000" w:rsidDel="00000000" w:rsidP="00000000" w:rsidRDefault="00000000" w:rsidRPr="00000000" w14:paraId="00000070">
      <w:pPr>
        <w:pStyle w:val="Heading1"/>
        <w:spacing w:after="120" w:before="240" w:line="360" w:lineRule="auto"/>
        <w:rPr>
          <w:b w:val="1"/>
          <w:bCs w:val="1"/>
          <w:sz w:val="26"/>
          <w:szCs w:val="26"/>
        </w:rPr>
      </w:pPr>
      <w:r w:rsidDel="00000000" w:rsidR="00000000" w:rsidRPr="00000000">
        <w:rPr>
          <w:rtl w:val="0"/>
        </w:rPr>
      </w:r>
    </w:p>
    <w:p w:rsidR="00000000" w:rsidDel="00000000" w:rsidP="00000000" w:rsidRDefault="00000000" w:rsidRPr="00000000" w14:paraId="00000071">
      <w:pPr>
        <w:pStyle w:val="Heading1"/>
        <w:spacing w:after="120" w:before="240" w:line="360" w:lineRule="auto"/>
        <w:rPr>
          <w:b w:val="1"/>
          <w:bCs w:val="1"/>
          <w:sz w:val="26"/>
          <w:szCs w:val="26"/>
        </w:rPr>
      </w:pPr>
      <w:r w:rsidDel="00000000" w:rsidR="00000000" w:rsidRPr="00000000">
        <w:rPr>
          <w:rtl w:val="0"/>
        </w:rPr>
      </w:r>
    </w:p>
    <w:p w:rsidR="00000000" w:rsidDel="00000000" w:rsidP="00000000" w:rsidRDefault="00000000" w:rsidRPr="00000000" w14:paraId="00000072">
      <w:pPr>
        <w:pStyle w:val="Heading1"/>
        <w:spacing w:after="120" w:before="240" w:line="360" w:lineRule="auto"/>
        <w:rPr>
          <w:b w:val="1"/>
          <w:bCs w:val="1"/>
          <w:sz w:val="26"/>
          <w:szCs w:val="26"/>
        </w:rPr>
      </w:pPr>
      <w:r w:rsidDel="00000000" w:rsidR="00000000" w:rsidRPr="00000000">
        <w:rPr>
          <w:rtl w:val="0"/>
        </w:rPr>
      </w:r>
    </w:p>
    <w:p w:rsidR="00000000" w:rsidDel="00000000" w:rsidP="00000000" w:rsidRDefault="00000000" w:rsidRPr="00000000" w14:paraId="00000073">
      <w:pPr>
        <w:pStyle w:val="Heading1"/>
        <w:spacing w:after="120" w:before="240" w:line="360" w:lineRule="auto"/>
        <w:rPr>
          <w:b w:val="1"/>
          <w:bCs w:val="1"/>
          <w:sz w:val="26"/>
          <w:szCs w:val="26"/>
        </w:rPr>
      </w:pPr>
      <w:r w:rsidDel="00000000" w:rsidR="00000000" w:rsidRPr="00000000">
        <w:rPr>
          <w:rtl w:val="0"/>
        </w:rPr>
      </w:r>
    </w:p>
    <w:p w:rsidR="00000000" w:rsidDel="00000000" w:rsidP="00000000" w:rsidRDefault="00000000" w:rsidRPr="00000000" w14:paraId="00000074">
      <w:pPr>
        <w:pStyle w:val="Heading1"/>
        <w:spacing w:after="120" w:before="240" w:line="360" w:lineRule="auto"/>
        <w:rPr>
          <w:b w:val="1"/>
          <w:bCs w:val="1"/>
          <w:sz w:val="26"/>
          <w:szCs w:val="26"/>
        </w:rPr>
      </w:pPr>
      <w:r w:rsidDel="00000000" w:rsidR="00000000" w:rsidRPr="00000000">
        <w:rPr>
          <w:rtl w:val="0"/>
        </w:rPr>
      </w:r>
    </w:p>
    <w:p w:rsidR="00000000" w:rsidDel="00000000" w:rsidP="00000000" w:rsidRDefault="00000000" w:rsidRPr="00000000" w14:paraId="00000075">
      <w:pPr>
        <w:pStyle w:val="Heading1"/>
        <w:spacing w:after="120" w:before="240" w:line="360" w:lineRule="auto"/>
        <w:rPr>
          <w:b w:val="1"/>
          <w:bCs w:val="1"/>
          <w:sz w:val="26"/>
          <w:szCs w:val="26"/>
        </w:rPr>
      </w:pPr>
      <w:r w:rsidDel="00000000" w:rsidR="00000000" w:rsidRPr="00000000">
        <w:rPr>
          <w:rtl w:val="0"/>
        </w:rPr>
      </w:r>
    </w:p>
    <w:p w:rsidR="00000000" w:rsidDel="00000000" w:rsidP="00000000" w:rsidRDefault="00000000" w:rsidRPr="00000000" w14:paraId="00000076">
      <w:pPr>
        <w:pStyle w:val="Heading1"/>
        <w:spacing w:after="120" w:before="240" w:line="360" w:lineRule="auto"/>
        <w:rPr>
          <w:b w:val="1"/>
          <w:bCs w:val="1"/>
          <w:sz w:val="26"/>
          <w:szCs w:val="26"/>
        </w:rPr>
      </w:pPr>
      <w:r w:rsidDel="00000000" w:rsidR="00000000" w:rsidRPr="00000000">
        <w:rPr>
          <w:rtl w:val="0"/>
        </w:rPr>
      </w:r>
    </w:p>
    <w:p w:rsidR="00000000" w:rsidDel="00000000" w:rsidP="00000000" w:rsidRDefault="00000000" w:rsidRPr="00000000" w14:paraId="00000077">
      <w:pPr>
        <w:pStyle w:val="Heading1"/>
        <w:spacing w:after="120" w:before="240" w:line="360" w:lineRule="auto"/>
        <w:rPr>
          <w:b w:val="1"/>
          <w:bCs w:val="1"/>
          <w:sz w:val="26"/>
          <w:szCs w:val="26"/>
        </w:rPr>
      </w:pPr>
      <w:r w:rsidDel="00000000" w:rsidR="00000000" w:rsidRPr="00000000">
        <w:rPr>
          <w:rtl w:val="0"/>
        </w:rPr>
      </w:r>
    </w:p>
    <w:p w:rsidR="00000000" w:rsidDel="00000000" w:rsidP="00000000" w:rsidRDefault="00000000" w:rsidRPr="00000000" w14:paraId="00000078">
      <w:pPr>
        <w:pStyle w:val="Heading1"/>
        <w:spacing w:after="120" w:before="240" w:line="360" w:lineRule="auto"/>
        <w:rPr>
          <w:b w:val="1"/>
          <w:bCs w:val="1"/>
          <w:sz w:val="26"/>
          <w:szCs w:val="26"/>
        </w:rPr>
      </w:pPr>
      <w:r w:rsidDel="00000000" w:rsidR="00000000" w:rsidRPr="00000000">
        <w:rPr>
          <w:rtl w:val="0"/>
        </w:rPr>
      </w:r>
    </w:p>
    <w:p w:rsidR="00000000" w:rsidDel="00000000" w:rsidP="00000000" w:rsidRDefault="00000000" w:rsidRPr="00000000" w14:paraId="00000079">
      <w:pPr>
        <w:pStyle w:val="Heading1"/>
        <w:spacing w:after="120" w:before="240" w:line="360" w:lineRule="auto"/>
        <w:rPr>
          <w:b w:val="1"/>
          <w:bCs w:val="1"/>
          <w:sz w:val="26"/>
          <w:szCs w:val="26"/>
        </w:rPr>
      </w:pPr>
      <w:r w:rsidDel="00000000" w:rsidR="00000000" w:rsidRPr="00000000">
        <w:rPr>
          <w:rtl w:val="0"/>
        </w:rPr>
      </w:r>
    </w:p>
    <w:p w:rsidR="00000000" w:rsidDel="00000000" w:rsidP="00000000" w:rsidRDefault="00000000" w:rsidRPr="00000000" w14:paraId="0000007A">
      <w:pPr>
        <w:pStyle w:val="Heading1"/>
        <w:spacing w:after="120" w:before="240" w:line="360" w:lineRule="auto"/>
        <w:rPr/>
      </w:pPr>
      <w:r w:rsidDel="00000000" w:rsidR="00000000" w:rsidRPr="00000000">
        <w:rPr>
          <w:rFonts w:ascii="Arial" w:cs="Arial" w:eastAsia="Arial" w:hAnsi="Arial"/>
          <w:b w:val="1"/>
          <w:bCs w:val="1"/>
          <w:sz w:val="26"/>
          <w:szCs w:val="26"/>
          <w:rtl w:val="0"/>
        </w:rPr>
        <w:t xml:space="preserve">References</w:t>
      </w:r>
      <w:r w:rsidDel="00000000" w:rsidR="00000000" w:rsidRPr="00000000">
        <w:rPr>
          <w:rtl w:val="0"/>
        </w:rPr>
      </w:r>
    </w:p>
    <w:p w:rsidR="00000000" w:rsidDel="00000000" w:rsidP="00000000" w:rsidRDefault="00000000" w:rsidRPr="00000000" w14:paraId="0000007B">
      <w:pPr>
        <w:spacing w:after="160" w:line="360" w:lineRule="auto"/>
        <w:ind w:left="720" w:hanging="720"/>
        <w:rPr/>
      </w:pPr>
      <w:r w:rsidDel="00000000" w:rsidR="00000000" w:rsidRPr="00000000">
        <w:rPr>
          <w:rFonts w:ascii="Arial" w:cs="Arial" w:eastAsia="Arial" w:hAnsi="Arial"/>
          <w:sz w:val="22"/>
          <w:szCs w:val="22"/>
          <w:rtl w:val="0"/>
        </w:rPr>
        <w:t xml:space="preserve">Age UK (2019) Policy Position Paper: Mental Health (England). London: Age UK.</w:t>
      </w:r>
      <w:r w:rsidDel="00000000" w:rsidR="00000000" w:rsidRPr="00000000">
        <w:rPr>
          <w:rtl w:val="0"/>
        </w:rPr>
      </w:r>
    </w:p>
    <w:p w:rsidR="00000000" w:rsidDel="00000000" w:rsidP="00000000" w:rsidRDefault="00000000" w:rsidRPr="00000000" w14:paraId="0000007C">
      <w:pPr>
        <w:spacing w:after="160" w:line="360" w:lineRule="auto"/>
        <w:ind w:left="720" w:hanging="720"/>
        <w:rPr/>
      </w:pPr>
      <w:r w:rsidDel="00000000" w:rsidR="00000000" w:rsidRPr="00000000">
        <w:rPr>
          <w:rFonts w:ascii="Arial" w:cs="Arial" w:eastAsia="Arial" w:hAnsi="Arial"/>
          <w:sz w:val="22"/>
          <w:szCs w:val="22"/>
          <w:rtl w:val="0"/>
        </w:rPr>
        <w:t xml:space="preserve">Age UK (2020) The Impact of COVID-19 to Date on Older People's Mental and Physical Health. London: Age UK.</w:t>
      </w:r>
      <w:r w:rsidDel="00000000" w:rsidR="00000000" w:rsidRPr="00000000">
        <w:rPr>
          <w:rtl w:val="0"/>
        </w:rPr>
      </w:r>
    </w:p>
    <w:p w:rsidR="00000000" w:rsidDel="00000000" w:rsidP="00000000" w:rsidRDefault="00000000" w:rsidRPr="00000000" w14:paraId="0000007D">
      <w:pPr>
        <w:spacing w:after="160" w:line="360" w:lineRule="auto"/>
        <w:ind w:left="720" w:hanging="720"/>
        <w:rPr/>
      </w:pPr>
      <w:r w:rsidDel="00000000" w:rsidR="00000000" w:rsidRPr="00000000">
        <w:rPr>
          <w:rFonts w:ascii="Arial" w:cs="Arial" w:eastAsia="Arial" w:hAnsi="Arial"/>
          <w:sz w:val="22"/>
          <w:szCs w:val="22"/>
          <w:rtl w:val="0"/>
        </w:rPr>
        <w:t xml:space="preserve">Arksey, H. and O'Malley, L. (2005) 'Scoping studies: towards a methodological framework', International Journal of Social Research Methodology, 8(1), pp. 19–32.</w:t>
      </w:r>
      <w:r w:rsidDel="00000000" w:rsidR="00000000" w:rsidRPr="00000000">
        <w:rPr>
          <w:rtl w:val="0"/>
        </w:rPr>
      </w:r>
    </w:p>
    <w:p w:rsidR="00000000" w:rsidDel="00000000" w:rsidP="00000000" w:rsidRDefault="00000000" w:rsidRPr="00000000" w14:paraId="0000007E">
      <w:pPr>
        <w:spacing w:after="160" w:line="360" w:lineRule="auto"/>
        <w:ind w:left="720" w:hanging="720"/>
        <w:rPr/>
      </w:pPr>
      <w:r w:rsidDel="00000000" w:rsidR="00000000" w:rsidRPr="00000000">
        <w:rPr>
          <w:rFonts w:ascii="Arial" w:cs="Arial" w:eastAsia="Arial" w:hAnsi="Arial"/>
          <w:sz w:val="22"/>
          <w:szCs w:val="22"/>
          <w:rtl w:val="0"/>
        </w:rPr>
        <w:t xml:space="preserve">Balki, E., Hayes, N. and Holland, C. (2023) 'Loneliness and older adults: psychological resilience and technology use during the COVID-19 pandemic – a cross-sectional study', Frontiers in Aging, 4, 1184386.</w:t>
      </w:r>
      <w:r w:rsidDel="00000000" w:rsidR="00000000" w:rsidRPr="00000000">
        <w:rPr>
          <w:rtl w:val="0"/>
        </w:rPr>
      </w:r>
    </w:p>
    <w:p w:rsidR="00000000" w:rsidDel="00000000" w:rsidP="00000000" w:rsidRDefault="00000000" w:rsidRPr="00000000" w14:paraId="0000007F">
      <w:pPr>
        <w:spacing w:after="160" w:line="360" w:lineRule="auto"/>
        <w:ind w:left="720" w:hanging="720"/>
        <w:rPr/>
      </w:pPr>
      <w:r w:rsidDel="00000000" w:rsidR="00000000" w:rsidRPr="00000000">
        <w:rPr>
          <w:rFonts w:ascii="Arial" w:cs="Arial" w:eastAsia="Arial" w:hAnsi="Arial"/>
          <w:sz w:val="22"/>
          <w:szCs w:val="22"/>
          <w:rtl w:val="0"/>
        </w:rPr>
        <w:t xml:space="preserve">Banerjee, D. (2020) 'The impact of Covid-19 pandemic on elderly mental health', International Journal of Geriatric Psychiatry, 35(12), pp. 1466–1467.</w:t>
      </w:r>
      <w:r w:rsidDel="00000000" w:rsidR="00000000" w:rsidRPr="00000000">
        <w:rPr>
          <w:rtl w:val="0"/>
        </w:rPr>
      </w:r>
    </w:p>
    <w:p w:rsidR="00000000" w:rsidDel="00000000" w:rsidP="00000000" w:rsidRDefault="00000000" w:rsidRPr="00000000" w14:paraId="00000080">
      <w:pPr>
        <w:spacing w:after="160" w:line="360" w:lineRule="auto"/>
        <w:ind w:left="720" w:hanging="720"/>
        <w:rPr/>
      </w:pPr>
      <w:r w:rsidDel="00000000" w:rsidR="00000000" w:rsidRPr="00000000">
        <w:rPr>
          <w:rFonts w:ascii="Arial" w:cs="Arial" w:eastAsia="Arial" w:hAnsi="Arial"/>
          <w:sz w:val="22"/>
          <w:szCs w:val="22"/>
          <w:rtl w:val="0"/>
        </w:rPr>
        <w:t xml:space="preserve">Braun, V. and Clarke, V. (2006) 'Using thematic analysis in psychology', Qualitative Research in Psychology, 3(2), pp. 77–101.</w:t>
      </w:r>
      <w:r w:rsidDel="00000000" w:rsidR="00000000" w:rsidRPr="00000000">
        <w:rPr>
          <w:rtl w:val="0"/>
        </w:rPr>
      </w:r>
    </w:p>
    <w:p w:rsidR="00000000" w:rsidDel="00000000" w:rsidP="00000000" w:rsidRDefault="00000000" w:rsidRPr="00000000" w14:paraId="00000081">
      <w:pPr>
        <w:spacing w:after="160" w:line="360" w:lineRule="auto"/>
        <w:ind w:left="720" w:hanging="720"/>
        <w:rPr/>
      </w:pPr>
      <w:r w:rsidDel="00000000" w:rsidR="00000000" w:rsidRPr="00000000">
        <w:rPr>
          <w:rFonts w:ascii="Arial" w:cs="Arial" w:eastAsia="Arial" w:hAnsi="Arial"/>
          <w:sz w:val="22"/>
          <w:szCs w:val="22"/>
          <w:rtl w:val="0"/>
        </w:rPr>
        <w:t xml:space="preserve">Burton, A., McKinlay, A., Aughterson, H. and Fancourt, D. (2023) 'Impact of the COVID-19 pandemic on the mental health and well-being of adults with mental health conditions in the UK: a qualitative interview study', Journal of Mental Health, 32(6), pp. 1040–1047.</w:t>
      </w:r>
      <w:r w:rsidDel="00000000" w:rsidR="00000000" w:rsidRPr="00000000">
        <w:rPr>
          <w:rtl w:val="0"/>
        </w:rPr>
      </w:r>
    </w:p>
    <w:p w:rsidR="00000000" w:rsidDel="00000000" w:rsidP="00000000" w:rsidRDefault="00000000" w:rsidRPr="00000000" w14:paraId="00000082">
      <w:pPr>
        <w:spacing w:after="160" w:line="360" w:lineRule="auto"/>
        <w:ind w:left="720" w:hanging="720"/>
        <w:rPr/>
      </w:pPr>
      <w:r w:rsidDel="00000000" w:rsidR="00000000" w:rsidRPr="00000000">
        <w:rPr>
          <w:rFonts w:ascii="Arial" w:cs="Arial" w:eastAsia="Arial" w:hAnsi="Arial"/>
          <w:sz w:val="22"/>
          <w:szCs w:val="22"/>
          <w:rtl w:val="0"/>
        </w:rPr>
        <w:t xml:space="preserve">Great Britain (2014) Care Act 2014. London: The Stationery Office.</w:t>
      </w:r>
      <w:r w:rsidDel="00000000" w:rsidR="00000000" w:rsidRPr="00000000">
        <w:rPr>
          <w:rtl w:val="0"/>
        </w:rPr>
      </w:r>
    </w:p>
    <w:p w:rsidR="00000000" w:rsidDel="00000000" w:rsidP="00000000" w:rsidRDefault="00000000" w:rsidRPr="00000000" w14:paraId="00000083">
      <w:pPr>
        <w:spacing w:after="160" w:line="360" w:lineRule="auto"/>
        <w:ind w:left="720" w:hanging="720"/>
        <w:rPr/>
      </w:pPr>
      <w:r w:rsidDel="00000000" w:rsidR="00000000" w:rsidRPr="00000000">
        <w:rPr>
          <w:rFonts w:ascii="Arial" w:cs="Arial" w:eastAsia="Arial" w:hAnsi="Arial"/>
          <w:sz w:val="22"/>
          <w:szCs w:val="22"/>
          <w:rtl w:val="0"/>
        </w:rPr>
        <w:t xml:space="preserve">Levac, D., Colquhoun, H. and O'Brien, K.K. (2010) 'Scoping studies: advancing the methodology', Implementation Science, 5, article 69.</w:t>
      </w:r>
      <w:r w:rsidDel="00000000" w:rsidR="00000000" w:rsidRPr="00000000">
        <w:rPr>
          <w:rtl w:val="0"/>
        </w:rPr>
      </w:r>
    </w:p>
    <w:p w:rsidR="00000000" w:rsidDel="00000000" w:rsidP="00000000" w:rsidRDefault="00000000" w:rsidRPr="00000000" w14:paraId="00000084">
      <w:pPr>
        <w:spacing w:after="160" w:line="360" w:lineRule="auto"/>
        <w:ind w:left="720" w:hanging="720"/>
        <w:rPr/>
      </w:pPr>
      <w:r w:rsidDel="00000000" w:rsidR="00000000" w:rsidRPr="00000000">
        <w:rPr>
          <w:rFonts w:ascii="Arial" w:cs="Arial" w:eastAsia="Arial" w:hAnsi="Arial"/>
          <w:sz w:val="22"/>
          <w:szCs w:val="22"/>
          <w:rtl w:val="0"/>
        </w:rPr>
        <w:t xml:space="preserve">NHS (2023) Loneliness in Older People. Available at: https://www.nhs.uk/mental-health/feelings-symptoms-behaviours/feelings-and-symptoms/loneliness-in-older-people/ (Accessed: 14 August 2026).</w:t>
      </w:r>
      <w:r w:rsidDel="00000000" w:rsidR="00000000" w:rsidRPr="00000000">
        <w:rPr>
          <w:rtl w:val="0"/>
        </w:rPr>
      </w:r>
    </w:p>
    <w:p w:rsidR="00000000" w:rsidDel="00000000" w:rsidP="00000000" w:rsidRDefault="00000000" w:rsidRPr="00000000" w14:paraId="00000085">
      <w:pPr>
        <w:spacing w:after="160" w:line="360" w:lineRule="auto"/>
        <w:ind w:left="720" w:hanging="720"/>
        <w:rPr/>
      </w:pPr>
      <w:r w:rsidDel="00000000" w:rsidR="00000000" w:rsidRPr="00000000">
        <w:rPr>
          <w:rFonts w:ascii="Arial" w:cs="Arial" w:eastAsia="Arial" w:hAnsi="Arial"/>
          <w:sz w:val="22"/>
          <w:szCs w:val="22"/>
          <w:rtl w:val="0"/>
        </w:rPr>
        <w:t xml:space="preserve">NHS England (2019) NHS Mental Health Implementation Plan 2019/20–2023/24. London: NHS England.</w:t>
      </w:r>
      <w:r w:rsidDel="00000000" w:rsidR="00000000" w:rsidRPr="00000000">
        <w:rPr>
          <w:rtl w:val="0"/>
        </w:rPr>
      </w:r>
    </w:p>
    <w:p w:rsidR="00000000" w:rsidDel="00000000" w:rsidP="00000000" w:rsidRDefault="00000000" w:rsidRPr="00000000" w14:paraId="00000086">
      <w:pPr>
        <w:spacing w:after="160" w:line="360" w:lineRule="auto"/>
        <w:ind w:left="720" w:hanging="720"/>
        <w:rPr/>
      </w:pPr>
      <w:r w:rsidDel="00000000" w:rsidR="00000000" w:rsidRPr="00000000">
        <w:rPr>
          <w:rFonts w:ascii="Arial" w:cs="Arial" w:eastAsia="Arial" w:hAnsi="Arial"/>
          <w:sz w:val="22"/>
          <w:szCs w:val="22"/>
          <w:rtl w:val="0"/>
        </w:rPr>
        <w:t xml:space="preserve">O'Connor, R.C., Wetherall, K., Cleare, S., McClelland, H., Melson, A.J., Niedzwiedz, C.L., O'Carroll, R.E., O'Connor, D.B., Platt, S., Scowcroft, E., Watson, B., Zortea, T., Ferguson, E. and Robb, K.A. (2021) 'Mental health and wellbeing during the COVID-19 pandemic: longitudinal analyses of adults in the UK COVID-19 Mental Health &amp; Wellbeing study', The British Journal of Psychiatry, 218(6), pp. 326–333.</w:t>
      </w:r>
      <w:r w:rsidDel="00000000" w:rsidR="00000000" w:rsidRPr="00000000">
        <w:rPr>
          <w:rtl w:val="0"/>
        </w:rPr>
      </w:r>
    </w:p>
    <w:p w:rsidR="00000000" w:rsidDel="00000000" w:rsidP="00000000" w:rsidRDefault="00000000" w:rsidRPr="00000000" w14:paraId="00000087">
      <w:pPr>
        <w:spacing w:after="160" w:line="360" w:lineRule="auto"/>
        <w:ind w:left="720" w:hanging="720"/>
        <w:rPr/>
      </w:pPr>
      <w:r w:rsidDel="00000000" w:rsidR="00000000" w:rsidRPr="00000000">
        <w:rPr>
          <w:rFonts w:ascii="Arial" w:cs="Arial" w:eastAsia="Arial" w:hAnsi="Arial"/>
          <w:sz w:val="22"/>
          <w:szCs w:val="22"/>
          <w:rtl w:val="0"/>
        </w:rPr>
        <w:t xml:space="preserve">Office for National Statistics (2020) Coronavirus and Loneliness, Great Britain: 3 April to 3 May 2020. Newport: Office for National Statistics.</w:t>
      </w:r>
      <w:r w:rsidDel="00000000" w:rsidR="00000000" w:rsidRPr="00000000">
        <w:rPr>
          <w:rtl w:val="0"/>
        </w:rPr>
      </w:r>
    </w:p>
    <w:p w:rsidR="00000000" w:rsidDel="00000000" w:rsidP="00000000" w:rsidRDefault="00000000" w:rsidRPr="00000000" w14:paraId="00000088">
      <w:pPr>
        <w:spacing w:after="160" w:line="360" w:lineRule="auto"/>
        <w:ind w:left="720" w:hanging="720"/>
        <w:rPr/>
      </w:pPr>
      <w:r w:rsidDel="00000000" w:rsidR="00000000" w:rsidRPr="00000000">
        <w:rPr>
          <w:rFonts w:ascii="Arial" w:cs="Arial" w:eastAsia="Arial" w:hAnsi="Arial"/>
          <w:sz w:val="22"/>
          <w:szCs w:val="22"/>
          <w:rtl w:val="0"/>
        </w:rPr>
        <w:t xml:space="preserve">Office for National Statistics (2020) Coronavirus and the Social Impacts on Older People in Great Britain. Newport: Office for National Statistics.</w:t>
      </w:r>
      <w:r w:rsidDel="00000000" w:rsidR="00000000" w:rsidRPr="00000000">
        <w:rPr>
          <w:rtl w:val="0"/>
        </w:rPr>
      </w:r>
    </w:p>
    <w:p w:rsidR="00000000" w:rsidDel="00000000" w:rsidP="00000000" w:rsidRDefault="00000000" w:rsidRPr="00000000" w14:paraId="00000089">
      <w:pPr>
        <w:spacing w:after="160" w:line="360" w:lineRule="auto"/>
        <w:ind w:left="720" w:hanging="720"/>
        <w:rPr/>
      </w:pPr>
      <w:r w:rsidDel="00000000" w:rsidR="00000000" w:rsidRPr="00000000">
        <w:rPr>
          <w:rFonts w:ascii="Arial" w:cs="Arial" w:eastAsia="Arial" w:hAnsi="Arial"/>
          <w:sz w:val="22"/>
          <w:szCs w:val="22"/>
          <w:rtl w:val="0"/>
        </w:rPr>
        <w:t xml:space="preserve">Office for National Statistics (2021) Population Estimates for the UK, England, Wales, Scotland, and Northern Ireland. Newport: Office for National Statistics.</w:t>
      </w:r>
      <w:r w:rsidDel="00000000" w:rsidR="00000000" w:rsidRPr="00000000">
        <w:rPr>
          <w:rtl w:val="0"/>
        </w:rPr>
      </w:r>
    </w:p>
    <w:p w:rsidR="00000000" w:rsidDel="00000000" w:rsidP="00000000" w:rsidRDefault="00000000" w:rsidRPr="00000000" w14:paraId="0000008A">
      <w:pPr>
        <w:spacing w:after="160" w:line="360" w:lineRule="auto"/>
        <w:ind w:left="720" w:hanging="720"/>
        <w:rPr/>
      </w:pPr>
      <w:r w:rsidDel="00000000" w:rsidR="00000000" w:rsidRPr="00000000">
        <w:rPr>
          <w:rFonts w:ascii="Arial" w:cs="Arial" w:eastAsia="Arial" w:hAnsi="Arial"/>
          <w:sz w:val="22"/>
          <w:szCs w:val="22"/>
          <w:rtl w:val="0"/>
        </w:rPr>
        <w:t xml:space="preserve">Sharma, A. and Sharma, S. (2024) 'Impact of COVID-19 pandemic on the elderly in the United Kingdom: a review study', Journal of Family Medicine and Primary Care, 13(8), pp. 2826–2833.</w:t>
      </w:r>
      <w:r w:rsidDel="00000000" w:rsidR="00000000" w:rsidRPr="00000000">
        <w:rPr>
          <w:rtl w:val="0"/>
        </w:rPr>
      </w:r>
    </w:p>
    <w:p w:rsidR="00000000" w:rsidDel="00000000" w:rsidP="00000000" w:rsidRDefault="00000000" w:rsidRPr="00000000" w14:paraId="0000008B">
      <w:pPr>
        <w:spacing w:after="160" w:line="360" w:lineRule="auto"/>
        <w:ind w:left="720" w:hanging="720"/>
        <w:rPr/>
      </w:pPr>
      <w:r w:rsidDel="00000000" w:rsidR="00000000" w:rsidRPr="00000000">
        <w:rPr>
          <w:rFonts w:ascii="Arial" w:cs="Arial" w:eastAsia="Arial" w:hAnsi="Arial"/>
          <w:sz w:val="22"/>
          <w:szCs w:val="22"/>
          <w:rtl w:val="0"/>
        </w:rPr>
        <w:t xml:space="preserve">Simkin, L., Yung, P., Greig, F., Perera, G., Tsamakis, K., Rizos, E., Stewart, R., Velayudhan, L. and Mueller, C. (2022) 'The impact of the first UK COVID-19 lockdown on presentations with psychosis to mental health services for older adults: an electronic health records study in South London', International Journal of Geriatric Psychiatry, 37(12), pp. 1–13.</w:t>
      </w:r>
      <w:r w:rsidDel="00000000" w:rsidR="00000000" w:rsidRPr="00000000">
        <w:rPr>
          <w:rtl w:val="0"/>
        </w:rPr>
      </w:r>
    </w:p>
    <w:p w:rsidR="00000000" w:rsidDel="00000000" w:rsidP="00000000" w:rsidRDefault="00000000" w:rsidRPr="00000000" w14:paraId="0000008C">
      <w:pPr>
        <w:spacing w:after="160" w:line="360" w:lineRule="auto"/>
        <w:ind w:left="720" w:hanging="720"/>
        <w:rPr/>
      </w:pPr>
      <w:r w:rsidDel="00000000" w:rsidR="00000000" w:rsidRPr="00000000">
        <w:rPr>
          <w:rFonts w:ascii="Arial" w:cs="Arial" w:eastAsia="Arial" w:hAnsi="Arial"/>
          <w:sz w:val="22"/>
          <w:szCs w:val="22"/>
          <w:rtl w:val="0"/>
        </w:rPr>
        <w:t xml:space="preserve">Tricco, A.C., Lillie, E., Zarin, W. et al. (2018) 'PRISMA extension for scoping reviews (PRISMA-ScR): checklist and explanation', Annals of Internal Medicine, 169(7), pp. 467–473.</w:t>
      </w:r>
      <w:r w:rsidDel="00000000" w:rsidR="00000000" w:rsidRPr="00000000">
        <w:rPr>
          <w:rtl w:val="0"/>
        </w:rPr>
      </w:r>
    </w:p>
    <w:p w:rsidR="00000000" w:rsidDel="00000000" w:rsidP="00000000" w:rsidRDefault="00000000" w:rsidRPr="00000000" w14:paraId="0000008D">
      <w:pPr>
        <w:spacing w:after="160" w:line="360" w:lineRule="auto"/>
        <w:ind w:left="720" w:hanging="720"/>
        <w:rPr/>
      </w:pPr>
      <w:r w:rsidDel="00000000" w:rsidR="00000000" w:rsidRPr="00000000">
        <w:rPr>
          <w:rFonts w:ascii="Arial" w:cs="Arial" w:eastAsia="Arial" w:hAnsi="Arial"/>
          <w:sz w:val="22"/>
          <w:szCs w:val="22"/>
          <w:rtl w:val="0"/>
        </w:rPr>
        <w:t xml:space="preserve">World Health Organization (2022) Mental Health and COVID-19: Early Evidence of the Pandemic's Impact: Scientific Brief, 2 March 2022. Geneva: World Health Organization.</w:t>
      </w:r>
      <w:r w:rsidDel="00000000" w:rsidR="00000000" w:rsidRPr="00000000">
        <w:rPr>
          <w:rtl w:val="0"/>
        </w:rPr>
      </w:r>
    </w:p>
    <w:p w:rsidR="00000000" w:rsidDel="00000000" w:rsidP="00000000" w:rsidRDefault="00000000" w:rsidRPr="00000000" w14:paraId="0000008E">
      <w:pPr>
        <w:spacing w:after="160" w:line="360" w:lineRule="auto"/>
        <w:ind w:left="720" w:hanging="720"/>
        <w:rPr/>
      </w:pPr>
      <w:r w:rsidDel="00000000" w:rsidR="00000000" w:rsidRPr="00000000">
        <w:rPr>
          <w:rFonts w:ascii="Arial" w:cs="Arial" w:eastAsia="Arial" w:hAnsi="Arial"/>
          <w:sz w:val="22"/>
          <w:szCs w:val="22"/>
          <w:rtl w:val="0"/>
        </w:rPr>
        <w:t xml:space="preserve">Zaninotto, P., Iob, E., Demakakos, P. and Steptoe, A. (2022) 'Immediate and longer-term changes in the mental health and well-being of older adults in England during the COVID-19 pandemic', JAMA Psychiatry, 79(2), pp. 151–159.</w:t>
      </w: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