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val="en-GB" w:eastAsia="en-GB"/>
          <w14:ligatures w14:val="standardContextual"/>
        </w:rPr>
        <w:id w:val="-1243479688"/>
        <w:docPartObj>
          <w:docPartGallery w:val="Cover Pages"/>
          <w:docPartUnique/>
        </w:docPartObj>
      </w:sdtPr>
      <w:sdtEndPr>
        <w:rPr>
          <w:sz w:val="24"/>
        </w:rPr>
      </w:sdtEndPr>
      <w:sdtContent>
        <w:p w14:paraId="32DE452E" w14:textId="1319AC3E" w:rsidR="006D573A" w:rsidRDefault="006D573A">
          <w:pPr>
            <w:pStyle w:val="NoSpacing"/>
            <w:rPr>
              <w:sz w:val="2"/>
            </w:rPr>
          </w:pPr>
        </w:p>
        <w:p w14:paraId="1410D5B2" w14:textId="0C7427AE" w:rsidR="006D573A" w:rsidRDefault="006D573A"/>
        <w:p w14:paraId="5D2CA75B" w14:textId="4D929E1F" w:rsidR="006D573A" w:rsidRPr="00380091" w:rsidRDefault="006D573A" w:rsidP="006D573A">
          <w:pPr>
            <w:spacing w:after="200" w:line="360" w:lineRule="auto"/>
            <w:jc w:val="center"/>
            <w:rPr>
              <w:rFonts w:ascii="Times New Roman" w:eastAsia="Times New Roman" w:hAnsi="Times New Roman"/>
              <w:kern w:val="0"/>
              <w:szCs w:val="22"/>
              <w:lang w:val="en-US" w:eastAsia="en-US"/>
              <w14:ligatures w14:val="none"/>
            </w:rPr>
          </w:pPr>
          <w:r w:rsidRPr="00380091">
            <w:rPr>
              <w:rFonts w:ascii="Times New Roman" w:eastAsia="Times New Roman" w:hAnsi="Times New Roman"/>
              <w:b/>
              <w:kern w:val="0"/>
              <w:sz w:val="40"/>
              <w:szCs w:val="22"/>
              <w:lang w:val="en-US" w:eastAsia="en-US"/>
              <w14:ligatures w14:val="none"/>
            </w:rPr>
            <w:t>Undertaking Research in Workplaces</w:t>
          </w:r>
          <w:r w:rsidRPr="00380091">
            <w:rPr>
              <w:rFonts w:ascii="Times New Roman" w:eastAsia="Times New Roman" w:hAnsi="Times New Roman"/>
              <w:b/>
              <w:kern w:val="0"/>
              <w:sz w:val="40"/>
              <w:szCs w:val="22"/>
              <w:lang w:val="en-US" w:eastAsia="en-US"/>
              <w14:ligatures w14:val="none"/>
            </w:rPr>
            <w:br/>
            <w:t>(BMPF7005)</w:t>
          </w:r>
        </w:p>
        <w:p w14:paraId="151D3CA8" w14:textId="77777777" w:rsidR="006D573A" w:rsidRPr="00380091" w:rsidRDefault="006D573A" w:rsidP="006D573A">
          <w:pPr>
            <w:spacing w:after="200" w:line="360" w:lineRule="auto"/>
            <w:jc w:val="center"/>
            <w:rPr>
              <w:rFonts w:ascii="Times New Roman" w:eastAsia="Times New Roman" w:hAnsi="Times New Roman"/>
              <w:kern w:val="0"/>
              <w:szCs w:val="22"/>
              <w:lang w:val="en-US" w:eastAsia="en-US"/>
              <w14:ligatures w14:val="none"/>
            </w:rPr>
          </w:pPr>
          <w:r w:rsidRPr="00380091">
            <w:rPr>
              <w:rFonts w:ascii="Times New Roman" w:eastAsia="Times New Roman" w:hAnsi="Times New Roman"/>
              <w:kern w:val="0"/>
              <w:sz w:val="28"/>
              <w:szCs w:val="22"/>
              <w:lang w:val="en-US" w:eastAsia="en-US"/>
              <w14:ligatures w14:val="none"/>
            </w:rPr>
            <w:t>Critical Essay: Research in Complex Work-Based Settings</w:t>
          </w:r>
          <w:r w:rsidRPr="00380091">
            <w:rPr>
              <w:rFonts w:ascii="Times New Roman" w:eastAsia="Times New Roman" w:hAnsi="Times New Roman"/>
              <w:kern w:val="0"/>
              <w:sz w:val="28"/>
              <w:szCs w:val="22"/>
              <w:lang w:val="en-US" w:eastAsia="en-US"/>
              <w14:ligatures w14:val="none"/>
            </w:rPr>
            <w:br/>
          </w:r>
          <w:r w:rsidRPr="00380091">
            <w:rPr>
              <w:rFonts w:ascii="Times New Roman" w:eastAsia="Times New Roman" w:hAnsi="Times New Roman"/>
              <w:i/>
              <w:kern w:val="0"/>
              <w:szCs w:val="22"/>
              <w:lang w:val="en-US" w:eastAsia="en-US"/>
              <w14:ligatures w14:val="none"/>
            </w:rPr>
            <w:t>Voice Study Centre / UWTSD WAPPAR</w:t>
          </w:r>
        </w:p>
        <w:p w14:paraId="1DACB068" w14:textId="58583680" w:rsidR="006D573A" w:rsidRPr="00380091" w:rsidRDefault="006D573A" w:rsidP="006D573A">
          <w:pPr>
            <w:spacing w:after="200" w:line="360" w:lineRule="auto"/>
            <w:jc w:val="center"/>
            <w:rPr>
              <w:rFonts w:ascii="Times New Roman" w:eastAsia="Times New Roman" w:hAnsi="Times New Roman"/>
              <w:kern w:val="0"/>
              <w:szCs w:val="22"/>
              <w:lang w:val="en-US" w:eastAsia="en-US"/>
              <w14:ligatures w14:val="none"/>
            </w:rPr>
          </w:pPr>
          <w:r w:rsidRPr="00380091">
            <w:rPr>
              <w:rFonts w:ascii="Times New Roman" w:eastAsia="Times New Roman" w:hAnsi="Times New Roman"/>
              <w:i/>
              <w:kern w:val="0"/>
              <w:szCs w:val="22"/>
              <w:lang w:val="en-US" w:eastAsia="en-US"/>
              <w14:ligatures w14:val="none"/>
            </w:rPr>
            <w:br/>
            <w:t xml:space="preserve">Student: </w:t>
          </w:r>
          <w:r>
            <w:rPr>
              <w:rFonts w:ascii="Times New Roman" w:eastAsia="Times New Roman" w:hAnsi="Times New Roman"/>
              <w:i/>
              <w:kern w:val="0"/>
              <w:szCs w:val="22"/>
              <w:lang w:val="en-US" w:eastAsia="en-US"/>
              <w14:ligatures w14:val="none"/>
            </w:rPr>
            <w:t>Christopher Healey</w:t>
          </w:r>
          <w:r w:rsidRPr="00380091">
            <w:rPr>
              <w:rFonts w:ascii="Times New Roman" w:eastAsia="Times New Roman" w:hAnsi="Times New Roman"/>
              <w:i/>
              <w:kern w:val="0"/>
              <w:szCs w:val="22"/>
              <w:lang w:val="en-US" w:eastAsia="en-US"/>
              <w14:ligatures w14:val="none"/>
            </w:rPr>
            <w:br/>
            <w:t xml:space="preserve">Student ID: </w:t>
          </w:r>
          <w:r w:rsidR="00016AB6">
            <w:rPr>
              <w:rFonts w:ascii="Times New Roman" w:eastAsia="Times New Roman" w:hAnsi="Times New Roman"/>
              <w:i/>
              <w:kern w:val="0"/>
              <w:szCs w:val="22"/>
              <w:lang w:val="en-US" w:eastAsia="en-US"/>
              <w14:ligatures w14:val="none"/>
            </w:rPr>
            <w:t>224</w:t>
          </w:r>
          <w:r w:rsidR="00BB6F11">
            <w:rPr>
              <w:rFonts w:ascii="Times New Roman" w:eastAsia="Times New Roman" w:hAnsi="Times New Roman"/>
              <w:i/>
              <w:kern w:val="0"/>
              <w:szCs w:val="22"/>
              <w:lang w:val="en-US" w:eastAsia="en-US"/>
              <w14:ligatures w14:val="none"/>
            </w:rPr>
            <w:t>6857</w:t>
          </w:r>
          <w:r w:rsidRPr="00380091">
            <w:rPr>
              <w:rFonts w:ascii="Times New Roman" w:eastAsia="Times New Roman" w:hAnsi="Times New Roman"/>
              <w:i/>
              <w:kern w:val="0"/>
              <w:szCs w:val="22"/>
              <w:lang w:val="en-US" w:eastAsia="en-US"/>
              <w14:ligatures w14:val="none"/>
            </w:rPr>
            <w:br/>
            <w:t>Date: 1</w:t>
          </w:r>
          <w:r w:rsidR="00C20ACD">
            <w:rPr>
              <w:rFonts w:ascii="Times New Roman" w:eastAsia="Times New Roman" w:hAnsi="Times New Roman"/>
              <w:i/>
              <w:kern w:val="0"/>
              <w:szCs w:val="22"/>
              <w:lang w:val="en-US" w:eastAsia="en-US"/>
              <w14:ligatures w14:val="none"/>
            </w:rPr>
            <w:t>4</w:t>
          </w:r>
          <w:r>
            <w:rPr>
              <w:rFonts w:ascii="Times New Roman" w:eastAsia="Times New Roman" w:hAnsi="Times New Roman"/>
              <w:i/>
              <w:kern w:val="0"/>
              <w:szCs w:val="22"/>
              <w:lang w:val="en-US" w:eastAsia="en-US"/>
              <w14:ligatures w14:val="none"/>
            </w:rPr>
            <w:t>th</w:t>
          </w:r>
          <w:r w:rsidRPr="00380091">
            <w:rPr>
              <w:rFonts w:ascii="Times New Roman" w:eastAsia="Times New Roman" w:hAnsi="Times New Roman"/>
              <w:i/>
              <w:kern w:val="0"/>
              <w:szCs w:val="22"/>
              <w:lang w:val="en-US" w:eastAsia="en-US"/>
              <w14:ligatures w14:val="none"/>
            </w:rPr>
            <w:t xml:space="preserve"> August 2025</w:t>
          </w:r>
          <w:r w:rsidRPr="00380091">
            <w:rPr>
              <w:rFonts w:ascii="Times New Roman" w:eastAsia="Times New Roman" w:hAnsi="Times New Roman"/>
              <w:i/>
              <w:kern w:val="0"/>
              <w:szCs w:val="22"/>
              <w:lang w:val="en-US" w:eastAsia="en-US"/>
              <w14:ligatures w14:val="none"/>
            </w:rPr>
            <w:br/>
            <w:t xml:space="preserve">Word count </w:t>
          </w:r>
          <w:r w:rsidR="00BB6F11">
            <w:rPr>
              <w:rFonts w:ascii="Times New Roman" w:eastAsia="Times New Roman" w:hAnsi="Times New Roman"/>
              <w:i/>
              <w:kern w:val="0"/>
              <w:szCs w:val="22"/>
              <w:lang w:val="en-US" w:eastAsia="en-US"/>
              <w14:ligatures w14:val="none"/>
            </w:rPr>
            <w:t xml:space="preserve">: </w:t>
          </w:r>
          <w:r w:rsidR="008671E8">
            <w:rPr>
              <w:rFonts w:ascii="Times New Roman" w:eastAsia="Times New Roman" w:hAnsi="Times New Roman"/>
              <w:i/>
              <w:kern w:val="0"/>
              <w:szCs w:val="22"/>
              <w:lang w:val="en-US" w:eastAsia="en-US"/>
              <w14:ligatures w14:val="none"/>
            </w:rPr>
            <w:t>4497</w:t>
          </w:r>
        </w:p>
        <w:p w14:paraId="2EBB5AEA" w14:textId="2A9271B0" w:rsidR="00380091" w:rsidRDefault="006D573A" w:rsidP="006D573A">
          <w:r>
            <w:br w:type="page"/>
          </w:r>
        </w:p>
      </w:sdtContent>
    </w:sdt>
    <w:sdt>
      <w:sdtPr>
        <w:rPr>
          <w:rFonts w:ascii="Arial" w:eastAsiaTheme="minorEastAsia" w:hAnsi="Arial" w:cs="Arial"/>
          <w:b/>
          <w:bCs/>
          <w:color w:val="000000" w:themeColor="text1"/>
          <w:kern w:val="2"/>
          <w:sz w:val="22"/>
          <w:szCs w:val="22"/>
          <w:lang w:val="en-GB" w:eastAsia="en-GB"/>
          <w14:ligatures w14:val="standardContextual"/>
        </w:rPr>
        <w:id w:val="-954480441"/>
        <w:docPartObj>
          <w:docPartGallery w:val="Table of Contents"/>
          <w:docPartUnique/>
        </w:docPartObj>
      </w:sdtPr>
      <w:sdtEndPr>
        <w:rPr>
          <w:rFonts w:asciiTheme="minorHAnsi" w:hAnsiTheme="minorHAnsi" w:cstheme="minorBidi"/>
          <w:noProof/>
          <w:color w:val="auto"/>
          <w:sz w:val="24"/>
          <w:szCs w:val="24"/>
        </w:rPr>
      </w:sdtEndPr>
      <w:sdtContent>
        <w:p w14:paraId="3340CBAA" w14:textId="2699563E" w:rsidR="00FF49F8" w:rsidRPr="00FF49F8" w:rsidRDefault="00FF49F8" w:rsidP="00FF49F8">
          <w:pPr>
            <w:pStyle w:val="TOCHeading"/>
            <w:jc w:val="center"/>
            <w:rPr>
              <w:rFonts w:ascii="Arial" w:hAnsi="Arial" w:cs="Arial"/>
              <w:b/>
              <w:bCs/>
              <w:color w:val="000000" w:themeColor="text1"/>
              <w:sz w:val="22"/>
              <w:szCs w:val="22"/>
            </w:rPr>
          </w:pPr>
          <w:r w:rsidRPr="00FF49F8">
            <w:rPr>
              <w:rFonts w:ascii="Arial" w:hAnsi="Arial" w:cs="Arial"/>
              <w:b/>
              <w:bCs/>
              <w:color w:val="000000" w:themeColor="text1"/>
              <w:sz w:val="22"/>
              <w:szCs w:val="22"/>
            </w:rPr>
            <w:t>Contents</w:t>
          </w:r>
        </w:p>
        <w:p w14:paraId="49150F46" w14:textId="77777777" w:rsidR="00FF49F8" w:rsidRDefault="00FF49F8" w:rsidP="00FF49F8">
          <w:pPr>
            <w:rPr>
              <w:lang w:val="en-US" w:eastAsia="en-US"/>
            </w:rPr>
          </w:pPr>
        </w:p>
        <w:p w14:paraId="0670FDC1" w14:textId="77777777" w:rsidR="00FF49F8" w:rsidRPr="00FF49F8" w:rsidRDefault="00FF49F8" w:rsidP="00FF49F8">
          <w:pPr>
            <w:rPr>
              <w:lang w:val="en-US" w:eastAsia="en-US"/>
            </w:rPr>
          </w:pPr>
        </w:p>
        <w:p w14:paraId="48FEE71A" w14:textId="6DF70C1E" w:rsidR="004F68C8" w:rsidRDefault="00FF49F8">
          <w:pPr>
            <w:pStyle w:val="TOC1"/>
            <w:rPr>
              <w:noProof/>
            </w:rPr>
          </w:pPr>
          <w:r>
            <w:fldChar w:fldCharType="begin"/>
          </w:r>
          <w:r>
            <w:instrText xml:space="preserve"> TOC \o "1-3" \h \z \u </w:instrText>
          </w:r>
          <w:r>
            <w:fldChar w:fldCharType="separate"/>
          </w:r>
          <w:hyperlink w:anchor="_Toc206086378" w:history="1">
            <w:r w:rsidR="004F68C8" w:rsidRPr="008F6B36">
              <w:rPr>
                <w:rStyle w:val="Hyperlink"/>
                <w:rFonts w:ascii="Arial" w:hAnsi="Arial" w:cs="Arial"/>
                <w:b/>
                <w:bCs/>
                <w:noProof/>
              </w:rPr>
              <w:t>Introduction</w:t>
            </w:r>
            <w:r w:rsidR="004F68C8">
              <w:rPr>
                <w:noProof/>
                <w:webHidden/>
              </w:rPr>
              <w:tab/>
            </w:r>
            <w:r w:rsidR="004F68C8">
              <w:rPr>
                <w:noProof/>
                <w:webHidden/>
              </w:rPr>
              <w:fldChar w:fldCharType="begin"/>
            </w:r>
            <w:r w:rsidR="004F68C8">
              <w:rPr>
                <w:noProof/>
                <w:webHidden/>
              </w:rPr>
              <w:instrText xml:space="preserve"> PAGEREF _Toc206086378 \h </w:instrText>
            </w:r>
            <w:r w:rsidR="004F68C8">
              <w:rPr>
                <w:noProof/>
                <w:webHidden/>
              </w:rPr>
            </w:r>
            <w:r w:rsidR="004F68C8">
              <w:rPr>
                <w:noProof/>
                <w:webHidden/>
              </w:rPr>
              <w:fldChar w:fldCharType="separate"/>
            </w:r>
            <w:r w:rsidR="007D5D48">
              <w:rPr>
                <w:noProof/>
                <w:webHidden/>
              </w:rPr>
              <w:t>2</w:t>
            </w:r>
            <w:r w:rsidR="004F68C8">
              <w:rPr>
                <w:noProof/>
                <w:webHidden/>
              </w:rPr>
              <w:fldChar w:fldCharType="end"/>
            </w:r>
          </w:hyperlink>
        </w:p>
        <w:p w14:paraId="75F4B9DE" w14:textId="0DBDB413" w:rsidR="004F68C8" w:rsidRDefault="004F68C8">
          <w:pPr>
            <w:pStyle w:val="TOC1"/>
            <w:rPr>
              <w:noProof/>
            </w:rPr>
          </w:pPr>
          <w:hyperlink w:anchor="_Toc206086379" w:history="1">
            <w:r w:rsidRPr="008F6B36">
              <w:rPr>
                <w:rStyle w:val="Hyperlink"/>
                <w:rFonts w:ascii="Arial" w:hAnsi="Arial" w:cs="Arial"/>
                <w:b/>
                <w:bCs/>
                <w:noProof/>
              </w:rPr>
              <w:t>Epistemological and Ontological Considerations</w:t>
            </w:r>
            <w:r>
              <w:rPr>
                <w:noProof/>
                <w:webHidden/>
              </w:rPr>
              <w:tab/>
            </w:r>
            <w:r>
              <w:rPr>
                <w:noProof/>
                <w:webHidden/>
              </w:rPr>
              <w:fldChar w:fldCharType="begin"/>
            </w:r>
            <w:r>
              <w:rPr>
                <w:noProof/>
                <w:webHidden/>
              </w:rPr>
              <w:instrText xml:space="preserve"> PAGEREF _Toc206086379 \h </w:instrText>
            </w:r>
            <w:r>
              <w:rPr>
                <w:noProof/>
                <w:webHidden/>
              </w:rPr>
            </w:r>
            <w:r>
              <w:rPr>
                <w:noProof/>
                <w:webHidden/>
              </w:rPr>
              <w:fldChar w:fldCharType="separate"/>
            </w:r>
            <w:r w:rsidR="007D5D48">
              <w:rPr>
                <w:noProof/>
                <w:webHidden/>
              </w:rPr>
              <w:t>3</w:t>
            </w:r>
            <w:r>
              <w:rPr>
                <w:noProof/>
                <w:webHidden/>
              </w:rPr>
              <w:fldChar w:fldCharType="end"/>
            </w:r>
          </w:hyperlink>
        </w:p>
        <w:p w14:paraId="488B694B" w14:textId="63765E5D" w:rsidR="004F68C8" w:rsidRDefault="004F68C8">
          <w:pPr>
            <w:pStyle w:val="TOC1"/>
            <w:rPr>
              <w:noProof/>
            </w:rPr>
          </w:pPr>
          <w:hyperlink w:anchor="_Toc206086380" w:history="1">
            <w:r w:rsidRPr="008F6B36">
              <w:rPr>
                <w:rStyle w:val="Hyperlink"/>
                <w:rFonts w:ascii="Arial" w:hAnsi="Arial" w:cs="Arial"/>
                <w:b/>
                <w:bCs/>
                <w:noProof/>
              </w:rPr>
              <w:t>Research Designs in Work-Based Contexts</w:t>
            </w:r>
            <w:r>
              <w:rPr>
                <w:noProof/>
                <w:webHidden/>
              </w:rPr>
              <w:tab/>
            </w:r>
            <w:r>
              <w:rPr>
                <w:noProof/>
                <w:webHidden/>
              </w:rPr>
              <w:fldChar w:fldCharType="begin"/>
            </w:r>
            <w:r>
              <w:rPr>
                <w:noProof/>
                <w:webHidden/>
              </w:rPr>
              <w:instrText xml:space="preserve"> PAGEREF _Toc206086380 \h </w:instrText>
            </w:r>
            <w:r>
              <w:rPr>
                <w:noProof/>
                <w:webHidden/>
              </w:rPr>
            </w:r>
            <w:r>
              <w:rPr>
                <w:noProof/>
                <w:webHidden/>
              </w:rPr>
              <w:fldChar w:fldCharType="separate"/>
            </w:r>
            <w:r w:rsidR="007D5D48">
              <w:rPr>
                <w:noProof/>
                <w:webHidden/>
              </w:rPr>
              <w:t>5</w:t>
            </w:r>
            <w:r>
              <w:rPr>
                <w:noProof/>
                <w:webHidden/>
              </w:rPr>
              <w:fldChar w:fldCharType="end"/>
            </w:r>
          </w:hyperlink>
        </w:p>
        <w:p w14:paraId="27532E9A" w14:textId="0E50192B" w:rsidR="004F68C8" w:rsidRDefault="004F68C8">
          <w:pPr>
            <w:pStyle w:val="TOC1"/>
            <w:rPr>
              <w:noProof/>
            </w:rPr>
          </w:pPr>
          <w:hyperlink w:anchor="_Toc206086381" w:history="1">
            <w:r w:rsidRPr="008F6B36">
              <w:rPr>
                <w:rStyle w:val="Hyperlink"/>
                <w:rFonts w:ascii="Arial" w:hAnsi="Arial" w:cs="Arial"/>
                <w:b/>
                <w:bCs/>
                <w:noProof/>
              </w:rPr>
              <w:t>Research Methods for Data Collection and Analysis</w:t>
            </w:r>
            <w:r>
              <w:rPr>
                <w:noProof/>
                <w:webHidden/>
              </w:rPr>
              <w:tab/>
            </w:r>
            <w:r>
              <w:rPr>
                <w:noProof/>
                <w:webHidden/>
              </w:rPr>
              <w:fldChar w:fldCharType="begin"/>
            </w:r>
            <w:r>
              <w:rPr>
                <w:noProof/>
                <w:webHidden/>
              </w:rPr>
              <w:instrText xml:space="preserve"> PAGEREF _Toc206086381 \h </w:instrText>
            </w:r>
            <w:r>
              <w:rPr>
                <w:noProof/>
                <w:webHidden/>
              </w:rPr>
            </w:r>
            <w:r>
              <w:rPr>
                <w:noProof/>
                <w:webHidden/>
              </w:rPr>
              <w:fldChar w:fldCharType="separate"/>
            </w:r>
            <w:r w:rsidR="007D5D48">
              <w:rPr>
                <w:noProof/>
                <w:webHidden/>
              </w:rPr>
              <w:t>6</w:t>
            </w:r>
            <w:r>
              <w:rPr>
                <w:noProof/>
                <w:webHidden/>
              </w:rPr>
              <w:fldChar w:fldCharType="end"/>
            </w:r>
          </w:hyperlink>
        </w:p>
        <w:p w14:paraId="3D2F80F1" w14:textId="4D4C14BB" w:rsidR="004F68C8" w:rsidRDefault="004F68C8">
          <w:pPr>
            <w:pStyle w:val="TOC1"/>
            <w:rPr>
              <w:noProof/>
            </w:rPr>
          </w:pPr>
          <w:hyperlink w:anchor="_Toc206086382" w:history="1">
            <w:r w:rsidRPr="008F6B36">
              <w:rPr>
                <w:rStyle w:val="Hyperlink"/>
                <w:rFonts w:ascii="Arial" w:hAnsi="Arial" w:cs="Arial"/>
                <w:b/>
                <w:bCs/>
                <w:noProof/>
              </w:rPr>
              <w:t>Ethical Considerations in Work-Based Research</w:t>
            </w:r>
            <w:r>
              <w:rPr>
                <w:noProof/>
                <w:webHidden/>
              </w:rPr>
              <w:tab/>
            </w:r>
            <w:r>
              <w:rPr>
                <w:noProof/>
                <w:webHidden/>
              </w:rPr>
              <w:fldChar w:fldCharType="begin"/>
            </w:r>
            <w:r>
              <w:rPr>
                <w:noProof/>
                <w:webHidden/>
              </w:rPr>
              <w:instrText xml:space="preserve"> PAGEREF _Toc206086382 \h </w:instrText>
            </w:r>
            <w:r>
              <w:rPr>
                <w:noProof/>
                <w:webHidden/>
              </w:rPr>
            </w:r>
            <w:r>
              <w:rPr>
                <w:noProof/>
                <w:webHidden/>
              </w:rPr>
              <w:fldChar w:fldCharType="separate"/>
            </w:r>
            <w:r w:rsidR="007D5D48">
              <w:rPr>
                <w:noProof/>
                <w:webHidden/>
              </w:rPr>
              <w:t>8</w:t>
            </w:r>
            <w:r>
              <w:rPr>
                <w:noProof/>
                <w:webHidden/>
              </w:rPr>
              <w:fldChar w:fldCharType="end"/>
            </w:r>
          </w:hyperlink>
        </w:p>
        <w:p w14:paraId="627283D3" w14:textId="512759E7" w:rsidR="004F68C8" w:rsidRDefault="004F68C8">
          <w:pPr>
            <w:pStyle w:val="TOC1"/>
            <w:rPr>
              <w:noProof/>
            </w:rPr>
          </w:pPr>
          <w:hyperlink w:anchor="_Toc206086383" w:history="1">
            <w:r w:rsidRPr="008F6B36">
              <w:rPr>
                <w:rStyle w:val="Hyperlink"/>
                <w:rFonts w:ascii="Arial" w:hAnsi="Arial" w:cs="Arial"/>
                <w:b/>
                <w:bCs/>
                <w:noProof/>
              </w:rPr>
              <w:t>The Challenges and Dynamics of Insider Research</w:t>
            </w:r>
            <w:r>
              <w:rPr>
                <w:noProof/>
                <w:webHidden/>
              </w:rPr>
              <w:tab/>
            </w:r>
            <w:r>
              <w:rPr>
                <w:noProof/>
                <w:webHidden/>
              </w:rPr>
              <w:fldChar w:fldCharType="begin"/>
            </w:r>
            <w:r>
              <w:rPr>
                <w:noProof/>
                <w:webHidden/>
              </w:rPr>
              <w:instrText xml:space="preserve"> PAGEREF _Toc206086383 \h </w:instrText>
            </w:r>
            <w:r>
              <w:rPr>
                <w:noProof/>
                <w:webHidden/>
              </w:rPr>
            </w:r>
            <w:r>
              <w:rPr>
                <w:noProof/>
                <w:webHidden/>
              </w:rPr>
              <w:fldChar w:fldCharType="separate"/>
            </w:r>
            <w:r w:rsidR="007D5D48">
              <w:rPr>
                <w:noProof/>
                <w:webHidden/>
              </w:rPr>
              <w:t>8</w:t>
            </w:r>
            <w:r>
              <w:rPr>
                <w:noProof/>
                <w:webHidden/>
              </w:rPr>
              <w:fldChar w:fldCharType="end"/>
            </w:r>
          </w:hyperlink>
        </w:p>
        <w:p w14:paraId="5E383388" w14:textId="34F0A607" w:rsidR="004F68C8" w:rsidRDefault="004F68C8">
          <w:pPr>
            <w:pStyle w:val="TOC1"/>
            <w:rPr>
              <w:noProof/>
            </w:rPr>
          </w:pPr>
          <w:hyperlink w:anchor="_Toc206086384" w:history="1">
            <w:r w:rsidRPr="008F6B3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_Toc206086384 \h </w:instrText>
            </w:r>
            <w:r>
              <w:rPr>
                <w:noProof/>
                <w:webHidden/>
              </w:rPr>
            </w:r>
            <w:r>
              <w:rPr>
                <w:noProof/>
                <w:webHidden/>
              </w:rPr>
              <w:fldChar w:fldCharType="separate"/>
            </w:r>
            <w:r w:rsidR="007D5D48">
              <w:rPr>
                <w:noProof/>
                <w:webHidden/>
              </w:rPr>
              <w:t>9</w:t>
            </w:r>
            <w:r>
              <w:rPr>
                <w:noProof/>
                <w:webHidden/>
              </w:rPr>
              <w:fldChar w:fldCharType="end"/>
            </w:r>
          </w:hyperlink>
        </w:p>
        <w:p w14:paraId="2D1DC83E" w14:textId="10B6145A" w:rsidR="004F68C8" w:rsidRDefault="004F68C8">
          <w:pPr>
            <w:pStyle w:val="TOC1"/>
            <w:rPr>
              <w:noProof/>
            </w:rPr>
          </w:pPr>
          <w:hyperlink w:anchor="_Toc206086385" w:history="1">
            <w:r w:rsidRPr="008F6B36">
              <w:rPr>
                <w:rStyle w:val="Hyperlink"/>
                <w:rFonts w:ascii="Arial" w:hAnsi="Arial" w:cs="Arial"/>
                <w:b/>
                <w:bCs/>
                <w:noProof/>
              </w:rPr>
              <w:t>A</w:t>
            </w:r>
            <w:r w:rsidRPr="008F6B36">
              <w:rPr>
                <w:rStyle w:val="Hyperlink"/>
                <w:rFonts w:ascii="Arial" w:hAnsi="Arial" w:cs="Arial"/>
                <w:noProof/>
              </w:rPr>
              <w:t xml:space="preserve"> </w:t>
            </w:r>
            <w:r w:rsidRPr="008F6B36">
              <w:rPr>
                <w:rStyle w:val="Hyperlink"/>
                <w:rFonts w:ascii="Arial" w:hAnsi="Arial" w:cs="Arial"/>
                <w:b/>
                <w:bCs/>
                <w:noProof/>
              </w:rPr>
              <w:t>Brief</w:t>
            </w:r>
            <w:r w:rsidRPr="008F6B36">
              <w:rPr>
                <w:rStyle w:val="Hyperlink"/>
                <w:rFonts w:ascii="Arial" w:hAnsi="Arial" w:cs="Arial"/>
                <w:noProof/>
              </w:rPr>
              <w:t xml:space="preserve"> </w:t>
            </w:r>
            <w:r w:rsidRPr="008F6B36">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_Toc206086385 \h </w:instrText>
            </w:r>
            <w:r>
              <w:rPr>
                <w:noProof/>
                <w:webHidden/>
              </w:rPr>
            </w:r>
            <w:r>
              <w:rPr>
                <w:noProof/>
                <w:webHidden/>
              </w:rPr>
              <w:fldChar w:fldCharType="separate"/>
            </w:r>
            <w:r w:rsidR="007D5D48">
              <w:rPr>
                <w:noProof/>
                <w:webHidden/>
              </w:rPr>
              <w:t>10</w:t>
            </w:r>
            <w:r>
              <w:rPr>
                <w:noProof/>
                <w:webHidden/>
              </w:rPr>
              <w:fldChar w:fldCharType="end"/>
            </w:r>
          </w:hyperlink>
        </w:p>
        <w:p w14:paraId="6A97B236" w14:textId="4EF4C7B5" w:rsidR="004F68C8" w:rsidRDefault="004F68C8">
          <w:pPr>
            <w:pStyle w:val="TOC2"/>
            <w:tabs>
              <w:tab w:val="right" w:leader="dot" w:pos="9016"/>
            </w:tabs>
            <w:rPr>
              <w:noProof/>
            </w:rPr>
          </w:pPr>
          <w:hyperlink w:anchor="_Toc206086386" w:history="1">
            <w:r w:rsidRPr="008F6B36">
              <w:rPr>
                <w:rStyle w:val="Hyperlink"/>
                <w:rFonts w:ascii="Arial" w:eastAsiaTheme="majorEastAsia" w:hAnsi="Arial" w:cs="Arial"/>
                <w:b/>
                <w:bCs/>
                <w:noProof/>
                <w:kern w:val="0"/>
                <w:lang w:val="en-US" w:eastAsia="en-US"/>
                <w14:ligatures w14:val="none"/>
              </w:rPr>
              <w:t>References</w:t>
            </w:r>
            <w:r>
              <w:rPr>
                <w:noProof/>
                <w:webHidden/>
              </w:rPr>
              <w:tab/>
            </w:r>
            <w:r>
              <w:rPr>
                <w:noProof/>
                <w:webHidden/>
              </w:rPr>
              <w:fldChar w:fldCharType="begin"/>
            </w:r>
            <w:r>
              <w:rPr>
                <w:noProof/>
                <w:webHidden/>
              </w:rPr>
              <w:instrText xml:space="preserve"> PAGEREF _Toc206086386 \h </w:instrText>
            </w:r>
            <w:r>
              <w:rPr>
                <w:noProof/>
                <w:webHidden/>
              </w:rPr>
            </w:r>
            <w:r>
              <w:rPr>
                <w:noProof/>
                <w:webHidden/>
              </w:rPr>
              <w:fldChar w:fldCharType="separate"/>
            </w:r>
            <w:r w:rsidR="007D5D48">
              <w:rPr>
                <w:noProof/>
                <w:webHidden/>
              </w:rPr>
              <w:t>11</w:t>
            </w:r>
            <w:r>
              <w:rPr>
                <w:noProof/>
                <w:webHidden/>
              </w:rPr>
              <w:fldChar w:fldCharType="end"/>
            </w:r>
          </w:hyperlink>
        </w:p>
        <w:p w14:paraId="57D20FD3" w14:textId="589CAA97" w:rsidR="00FF49F8" w:rsidRDefault="00FF49F8">
          <w:r>
            <w:rPr>
              <w:b/>
              <w:bCs/>
              <w:noProof/>
            </w:rPr>
            <w:fldChar w:fldCharType="end"/>
          </w:r>
        </w:p>
      </w:sdtContent>
    </w:sdt>
    <w:p w14:paraId="3DD77D05" w14:textId="77777777" w:rsidR="00FF49F8" w:rsidRDefault="00FF49F8" w:rsidP="006D573A">
      <w:pPr>
        <w:pStyle w:val="Heading1"/>
        <w:rPr>
          <w:rStyle w:val="s1"/>
          <w:rFonts w:ascii="Arial" w:hAnsi="Arial" w:cs="Arial"/>
          <w:b/>
          <w:bCs/>
          <w:color w:val="000000" w:themeColor="text1"/>
          <w:sz w:val="22"/>
          <w:szCs w:val="22"/>
        </w:rPr>
      </w:pPr>
    </w:p>
    <w:p w14:paraId="5C85F5DB" w14:textId="77777777" w:rsidR="00FF49F8" w:rsidRDefault="00FF49F8" w:rsidP="006D573A">
      <w:pPr>
        <w:pStyle w:val="Heading1"/>
        <w:rPr>
          <w:rStyle w:val="s1"/>
          <w:rFonts w:ascii="Arial" w:hAnsi="Arial" w:cs="Arial"/>
          <w:b/>
          <w:bCs/>
          <w:color w:val="000000" w:themeColor="text1"/>
          <w:sz w:val="22"/>
          <w:szCs w:val="22"/>
        </w:rPr>
      </w:pPr>
    </w:p>
    <w:p w14:paraId="1BBB6D58" w14:textId="77777777" w:rsidR="00FF49F8" w:rsidRDefault="00FF49F8" w:rsidP="006D573A">
      <w:pPr>
        <w:pStyle w:val="Heading1"/>
        <w:rPr>
          <w:rStyle w:val="s1"/>
          <w:rFonts w:ascii="Arial" w:hAnsi="Arial" w:cs="Arial"/>
          <w:b/>
          <w:bCs/>
          <w:color w:val="000000" w:themeColor="text1"/>
          <w:sz w:val="22"/>
          <w:szCs w:val="22"/>
        </w:rPr>
      </w:pPr>
    </w:p>
    <w:p w14:paraId="2225C897" w14:textId="77777777" w:rsidR="00FF49F8" w:rsidRDefault="00FF49F8" w:rsidP="00FF49F8"/>
    <w:p w14:paraId="475F8A7A" w14:textId="77777777" w:rsidR="00FF49F8" w:rsidRDefault="00FF49F8" w:rsidP="006D573A">
      <w:pPr>
        <w:pStyle w:val="Heading1"/>
        <w:rPr>
          <w:rStyle w:val="s1"/>
          <w:rFonts w:ascii="Arial" w:hAnsi="Arial" w:cs="Arial"/>
          <w:b/>
          <w:bCs/>
          <w:color w:val="000000" w:themeColor="text1"/>
          <w:sz w:val="22"/>
          <w:szCs w:val="22"/>
        </w:rPr>
      </w:pPr>
    </w:p>
    <w:p w14:paraId="12E1CEA1" w14:textId="77777777" w:rsidR="00300BC7" w:rsidRDefault="00300BC7" w:rsidP="00300BC7"/>
    <w:p w14:paraId="28370690" w14:textId="77777777" w:rsidR="00300BC7" w:rsidRDefault="00300BC7" w:rsidP="00300BC7"/>
    <w:p w14:paraId="3B0AB84F" w14:textId="77777777" w:rsidR="00A22177" w:rsidRPr="00300BC7" w:rsidRDefault="00A22177" w:rsidP="00300BC7"/>
    <w:p w14:paraId="5119C8EC" w14:textId="2CEF3E92" w:rsidR="00300BC7" w:rsidRPr="00C80573" w:rsidRDefault="00EF0E30" w:rsidP="00C80573">
      <w:pPr>
        <w:pStyle w:val="Heading1"/>
        <w:rPr>
          <w:rFonts w:ascii="Arial" w:hAnsi="Arial" w:cs="Arial"/>
          <w:b/>
          <w:bCs/>
          <w:color w:val="000000" w:themeColor="text1"/>
          <w:sz w:val="22"/>
          <w:szCs w:val="22"/>
        </w:rPr>
      </w:pPr>
      <w:bookmarkStart w:id="0" w:name="_Toc206086378"/>
      <w:r w:rsidRPr="006D573A">
        <w:rPr>
          <w:rStyle w:val="s1"/>
          <w:rFonts w:ascii="Arial" w:hAnsi="Arial" w:cs="Arial"/>
          <w:b/>
          <w:bCs/>
          <w:color w:val="000000" w:themeColor="text1"/>
          <w:sz w:val="22"/>
          <w:szCs w:val="22"/>
        </w:rPr>
        <w:lastRenderedPageBreak/>
        <w:t>Introduction</w:t>
      </w:r>
      <w:bookmarkEnd w:id="0"/>
    </w:p>
    <w:p w14:paraId="26F03B6B" w14:textId="1668813F" w:rsidR="00EF0E30" w:rsidRPr="004E1AFA" w:rsidRDefault="00EF0E30" w:rsidP="006D573A">
      <w:pPr>
        <w:pStyle w:val="p1"/>
        <w:spacing w:before="30" w:beforeAutospacing="0"/>
        <w:rPr>
          <w:rFonts w:ascii="Arial" w:hAnsi="Arial" w:cs="Arial"/>
          <w:sz w:val="22"/>
          <w:szCs w:val="22"/>
        </w:rPr>
      </w:pPr>
      <w:r w:rsidRPr="004E1AFA">
        <w:rPr>
          <w:rStyle w:val="s1"/>
          <w:rFonts w:ascii="Arial" w:hAnsi="Arial" w:cs="Arial"/>
          <w:sz w:val="22"/>
          <w:szCs w:val="22"/>
        </w:rPr>
        <w:t>Conducting research in complex work-based settings presents a distinctive mix of challenges and opportunities for the practitioner-researcher. These environments are often characterised by multifaceted organisational structures, diverse stakeholder groups, and dynamic socio-political contexts that shape the research process (Costley, Elliott &amp; Gibbs, 2012). In such settings, methodological choice is not merely a technical decision but a strategic one, informed by the researcher’s philosophical stance, the nature of the research problem, and the practical constraints of the workplace. To produce valid, credible, and ethically sound findings, it is essential to critically appraise the full range of methodological approaches, research designs, and methods available, and to understand how they interact with the specific demands of the context.</w:t>
      </w:r>
    </w:p>
    <w:p w14:paraId="2E0CAB12" w14:textId="77777777" w:rsidR="00EF0E30" w:rsidRPr="004E1AFA" w:rsidRDefault="00EF0E30" w:rsidP="004E1AFA">
      <w:pPr>
        <w:pStyle w:val="p3"/>
        <w:spacing w:before="30" w:beforeAutospacing="0"/>
        <w:rPr>
          <w:rFonts w:ascii="Arial" w:hAnsi="Arial" w:cs="Arial"/>
          <w:sz w:val="22"/>
          <w:szCs w:val="22"/>
        </w:rPr>
      </w:pPr>
      <w:r w:rsidRPr="004E1AFA">
        <w:rPr>
          <w:rStyle w:val="s2"/>
          <w:rFonts w:ascii="Arial" w:hAnsi="Arial" w:cs="Arial"/>
          <w:sz w:val="22"/>
          <w:szCs w:val="22"/>
        </w:rPr>
        <w:t xml:space="preserve">The term “complex work-based settings” spans a variety of professional environments where competing priorities, power relations, and organisational cultures influence both the conduct of research and the interpretation of its findings. The diversity of these settings means that no single methodological approach can be universally applied. Qualitative, quantitative, and mixed-methods traditions each offer distinct strengths and limitations. For instance, qualitative approaches may reveal rich, contextual insights into workplace phenomena, whereas quantitative designs can enable generalisability and comparative analysis (Gray, 2004; </w:t>
      </w:r>
      <w:proofErr w:type="spellStart"/>
      <w:r w:rsidRPr="004E1AFA">
        <w:rPr>
          <w:rStyle w:val="s2"/>
          <w:rFonts w:ascii="Arial" w:hAnsi="Arial" w:cs="Arial"/>
          <w:sz w:val="22"/>
          <w:szCs w:val="22"/>
        </w:rPr>
        <w:t>Blaxter</w:t>
      </w:r>
      <w:proofErr w:type="spellEnd"/>
      <w:r w:rsidRPr="004E1AFA">
        <w:rPr>
          <w:rStyle w:val="s2"/>
          <w:rFonts w:ascii="Arial" w:hAnsi="Arial" w:cs="Arial"/>
          <w:sz w:val="22"/>
          <w:szCs w:val="22"/>
        </w:rPr>
        <w:t>, Hughes &amp; Tight, 2010). Increasingly, mixed-methods approaches are used to combine the advantages of both, particularly in scenarios requiring triangulation to enhance credibility.</w:t>
      </w:r>
    </w:p>
    <w:p w14:paraId="547E4823" w14:textId="44449A5D" w:rsidR="00EF0E30" w:rsidRPr="004E1AFA" w:rsidRDefault="00EF0E30" w:rsidP="004E1AFA">
      <w:pPr>
        <w:pStyle w:val="p3"/>
        <w:spacing w:before="30" w:beforeAutospacing="0"/>
        <w:rPr>
          <w:rFonts w:ascii="Arial" w:hAnsi="Arial" w:cs="Arial"/>
          <w:sz w:val="22"/>
          <w:szCs w:val="22"/>
        </w:rPr>
      </w:pPr>
      <w:r w:rsidRPr="004E1AFA">
        <w:rPr>
          <w:rStyle w:val="s2"/>
          <w:rFonts w:ascii="Arial" w:hAnsi="Arial" w:cs="Arial"/>
          <w:sz w:val="22"/>
          <w:szCs w:val="22"/>
        </w:rPr>
        <w:t>Equally important is the choice of research design, whether case study, action research, longitudinal, cross-sectional, or participatory in nature. Each design involves trade-offs in terms of depth, generalisability, resource demands, and stakeholder involvement (</w:t>
      </w:r>
      <w:proofErr w:type="spellStart"/>
      <w:r w:rsidRPr="004E1AFA">
        <w:rPr>
          <w:rStyle w:val="s2"/>
          <w:rFonts w:ascii="Arial" w:hAnsi="Arial" w:cs="Arial"/>
          <w:sz w:val="22"/>
          <w:szCs w:val="22"/>
        </w:rPr>
        <w:t>Walliman</w:t>
      </w:r>
      <w:proofErr w:type="spellEnd"/>
      <w:r w:rsidRPr="004E1AFA">
        <w:rPr>
          <w:rStyle w:val="s2"/>
          <w:rFonts w:ascii="Arial" w:hAnsi="Arial" w:cs="Arial"/>
          <w:sz w:val="22"/>
          <w:szCs w:val="22"/>
        </w:rPr>
        <w:t>, 2001). Furthermore, the methods selected to gather and analyse data</w:t>
      </w:r>
      <w:r w:rsidR="00300BC7">
        <w:rPr>
          <w:rStyle w:val="s2"/>
          <w:rFonts w:ascii="Arial" w:hAnsi="Arial" w:cs="Arial"/>
          <w:sz w:val="22"/>
          <w:szCs w:val="22"/>
        </w:rPr>
        <w:t xml:space="preserve">, </w:t>
      </w:r>
      <w:r w:rsidRPr="004E1AFA">
        <w:rPr>
          <w:rStyle w:val="s2"/>
          <w:rFonts w:ascii="Arial" w:hAnsi="Arial" w:cs="Arial"/>
          <w:sz w:val="22"/>
          <w:szCs w:val="22"/>
        </w:rPr>
        <w:t>ranging from interviews and focus groups to surveys and statistical modelling</w:t>
      </w:r>
      <w:r w:rsidR="00300BC7">
        <w:rPr>
          <w:rStyle w:val="s2"/>
          <w:rFonts w:ascii="Arial" w:hAnsi="Arial" w:cs="Arial"/>
          <w:sz w:val="22"/>
          <w:szCs w:val="22"/>
        </w:rPr>
        <w:t xml:space="preserve">, </w:t>
      </w:r>
      <w:r w:rsidRPr="004E1AFA">
        <w:rPr>
          <w:rStyle w:val="s2"/>
          <w:rFonts w:ascii="Arial" w:hAnsi="Arial" w:cs="Arial"/>
          <w:sz w:val="22"/>
          <w:szCs w:val="22"/>
        </w:rPr>
        <w:t>must be carefully aligned with the chosen methodology and design, as well as with the realities of access, time, and organisational sensitivities.</w:t>
      </w:r>
    </w:p>
    <w:p w14:paraId="6973E630" w14:textId="77777777" w:rsidR="00EF0E30" w:rsidRPr="004E1AFA" w:rsidRDefault="00EF0E30" w:rsidP="004E1AFA">
      <w:pPr>
        <w:pStyle w:val="p3"/>
        <w:spacing w:before="30" w:beforeAutospacing="0"/>
        <w:rPr>
          <w:rFonts w:ascii="Arial" w:hAnsi="Arial" w:cs="Arial"/>
          <w:sz w:val="22"/>
          <w:szCs w:val="22"/>
        </w:rPr>
      </w:pPr>
      <w:r w:rsidRPr="004E1AFA">
        <w:rPr>
          <w:rStyle w:val="s2"/>
          <w:rFonts w:ascii="Arial" w:hAnsi="Arial" w:cs="Arial"/>
          <w:sz w:val="22"/>
          <w:szCs w:val="22"/>
        </w:rPr>
        <w:t>A further layer of complexity arises when the researcher occupies an insider role within the organisation under study. Insider research can offer unique access and contextual understanding but also introduces risks of bias, role conflict, and ethical tensions (Costley et al., 2012). Adhering to rigorous ethical standards, such as those set out in the University of Wales Trinity Saint David’s Research Ethics and Integrity Code of Practice, is therefore vital to safeguarding participant welfare, research integrity, and organisational trust.</w:t>
      </w:r>
    </w:p>
    <w:p w14:paraId="4D480A16" w14:textId="43CC3CF8" w:rsidR="006D573A" w:rsidRDefault="00EF0E30" w:rsidP="00300BC7">
      <w:pPr>
        <w:pStyle w:val="p3"/>
        <w:spacing w:before="30" w:beforeAutospacing="0"/>
        <w:rPr>
          <w:rStyle w:val="s2"/>
          <w:rFonts w:ascii="Arial" w:hAnsi="Arial" w:cs="Arial"/>
          <w:sz w:val="22"/>
          <w:szCs w:val="22"/>
        </w:rPr>
      </w:pPr>
      <w:r w:rsidRPr="004E1AFA">
        <w:rPr>
          <w:rStyle w:val="s2"/>
          <w:rFonts w:ascii="Arial" w:hAnsi="Arial" w:cs="Arial"/>
          <w:sz w:val="22"/>
          <w:szCs w:val="22"/>
        </w:rPr>
        <w:t>This essay will critically evaluate a range of methodological approaches, research designs, and research methods suitable for gathering data in complex work-based settings. It will also give due consideration to research ethics and the particular issues that arise in insider research. The discussion will be structured in six main sections: an examination of epistemological and ontological considerations; an evaluation of methodological approaches; an exploration of research designs; a review of specific research methods; an analysis of ethical considerations; and an assessment of the dynamics of insider research. The essay will conclude by synthesising the key insights and reflecting on their implications for the design and conduct of future workplace research</w:t>
      </w:r>
      <w:r w:rsidR="00171760">
        <w:rPr>
          <w:rStyle w:val="s2"/>
          <w:rFonts w:ascii="Arial" w:hAnsi="Arial" w:cs="Arial"/>
          <w:sz w:val="22"/>
          <w:szCs w:val="22"/>
        </w:rPr>
        <w:t xml:space="preserve">, followed by a brief reflective account. </w:t>
      </w:r>
    </w:p>
    <w:p w14:paraId="31A587CA" w14:textId="77777777" w:rsidR="00171760" w:rsidRDefault="00171760" w:rsidP="00300BC7">
      <w:pPr>
        <w:pStyle w:val="p3"/>
        <w:spacing w:before="30" w:beforeAutospacing="0"/>
        <w:rPr>
          <w:rStyle w:val="s2"/>
          <w:rFonts w:ascii="Arial" w:hAnsi="Arial" w:cs="Arial"/>
          <w:sz w:val="22"/>
          <w:szCs w:val="22"/>
        </w:rPr>
      </w:pPr>
    </w:p>
    <w:p w14:paraId="16CEA771" w14:textId="77777777" w:rsidR="00300BC7" w:rsidRPr="00300BC7" w:rsidRDefault="00300BC7" w:rsidP="00300BC7">
      <w:pPr>
        <w:pStyle w:val="p3"/>
        <w:spacing w:before="30" w:beforeAutospacing="0"/>
        <w:rPr>
          <w:rStyle w:val="s1"/>
          <w:rFonts w:ascii="Arial" w:hAnsi="Arial" w:cs="Arial"/>
          <w:sz w:val="22"/>
          <w:szCs w:val="22"/>
        </w:rPr>
      </w:pPr>
    </w:p>
    <w:p w14:paraId="750684DF" w14:textId="77777777" w:rsidR="004F68C8" w:rsidRDefault="004F68C8" w:rsidP="00E44745">
      <w:pPr>
        <w:pStyle w:val="Heading1"/>
        <w:divId w:val="495607278"/>
        <w:rPr>
          <w:rStyle w:val="s1"/>
          <w:rFonts w:ascii="Arial" w:hAnsi="Arial" w:cs="Arial"/>
          <w:b/>
          <w:bCs/>
          <w:color w:val="000000" w:themeColor="text1"/>
          <w:sz w:val="22"/>
          <w:szCs w:val="22"/>
        </w:rPr>
      </w:pPr>
      <w:bookmarkStart w:id="1" w:name="_Toc206086379"/>
    </w:p>
    <w:p w14:paraId="4E389858" w14:textId="6C89942D" w:rsidR="003208A4" w:rsidRPr="00E44745" w:rsidRDefault="00AA2A97" w:rsidP="00E44745">
      <w:pPr>
        <w:pStyle w:val="Heading1"/>
        <w:divId w:val="495607278"/>
        <w:rPr>
          <w:rFonts w:ascii="Arial" w:hAnsi="Arial" w:cs="Arial"/>
          <w:b/>
          <w:bCs/>
          <w:color w:val="000000" w:themeColor="text1"/>
          <w:sz w:val="22"/>
          <w:szCs w:val="22"/>
        </w:rPr>
      </w:pPr>
      <w:r w:rsidRPr="006D573A">
        <w:rPr>
          <w:rStyle w:val="s1"/>
          <w:rFonts w:ascii="Arial" w:hAnsi="Arial" w:cs="Arial"/>
          <w:b/>
          <w:bCs/>
          <w:color w:val="000000" w:themeColor="text1"/>
          <w:sz w:val="22"/>
          <w:szCs w:val="22"/>
        </w:rPr>
        <w:t>Epistemological and Ontological Considerations</w:t>
      </w:r>
      <w:bookmarkEnd w:id="1"/>
    </w:p>
    <w:p w14:paraId="1C2FCA09" w14:textId="28254D81" w:rsidR="00AA2A97" w:rsidRPr="004E1AFA" w:rsidRDefault="00AA2A97" w:rsidP="004E1AFA">
      <w:pPr>
        <w:pStyle w:val="p1"/>
        <w:spacing w:before="30" w:beforeAutospacing="0"/>
        <w:divId w:val="495607278"/>
        <w:rPr>
          <w:rFonts w:ascii="Arial" w:hAnsi="Arial" w:cs="Arial"/>
          <w:sz w:val="22"/>
          <w:szCs w:val="22"/>
        </w:rPr>
      </w:pPr>
      <w:r w:rsidRPr="004E1AFA">
        <w:rPr>
          <w:rStyle w:val="s1"/>
          <w:rFonts w:ascii="Arial" w:hAnsi="Arial" w:cs="Arial"/>
          <w:sz w:val="22"/>
          <w:szCs w:val="22"/>
        </w:rPr>
        <w:t>Any rigorous research project starts with clarity about its underlying philosophical assumptions. Ontology is the researcher’s view of reality</w:t>
      </w:r>
      <w:r w:rsidR="00DB1E8D">
        <w:rPr>
          <w:rStyle w:val="s1"/>
          <w:rFonts w:ascii="Arial" w:hAnsi="Arial" w:cs="Arial"/>
          <w:sz w:val="22"/>
          <w:szCs w:val="22"/>
        </w:rPr>
        <w:t xml:space="preserve">, </w:t>
      </w:r>
      <w:r w:rsidRPr="004E1AFA">
        <w:rPr>
          <w:rStyle w:val="s1"/>
          <w:rFonts w:ascii="Arial" w:hAnsi="Arial" w:cs="Arial"/>
          <w:sz w:val="22"/>
          <w:szCs w:val="22"/>
        </w:rPr>
        <w:t>whether it exists independently of our perceptions or is socially constructed through interaction (Saunders, Lewis &amp; Thornhill, 2009). Epistemology looks at the nature and scope of knowledge</w:t>
      </w:r>
      <w:r w:rsidR="00DB1E8D">
        <w:rPr>
          <w:rStyle w:val="s1"/>
          <w:rFonts w:ascii="Arial" w:hAnsi="Arial" w:cs="Arial"/>
          <w:sz w:val="22"/>
          <w:szCs w:val="22"/>
        </w:rPr>
        <w:t xml:space="preserve">, </w:t>
      </w:r>
      <w:r w:rsidRPr="004E1AFA">
        <w:rPr>
          <w:rStyle w:val="s1"/>
          <w:rFonts w:ascii="Arial" w:hAnsi="Arial" w:cs="Arial"/>
          <w:sz w:val="22"/>
          <w:szCs w:val="22"/>
        </w:rPr>
        <w:t>how we know what we know, and what counts as legitimate evidence (Gray, 2004). These stances are not just theoretical; they directly shape the methodological approach, research design, and data collection choices in research.</w:t>
      </w:r>
    </w:p>
    <w:p w14:paraId="27BE6403" w14:textId="6DEEFAE8" w:rsidR="00AA2A97" w:rsidRPr="004E1AFA" w:rsidRDefault="00AA2A97" w:rsidP="004E1AFA">
      <w:pPr>
        <w:pStyle w:val="p1"/>
        <w:spacing w:before="30" w:beforeAutospacing="0"/>
        <w:divId w:val="495607278"/>
        <w:rPr>
          <w:rFonts w:ascii="Arial" w:hAnsi="Arial" w:cs="Arial"/>
          <w:sz w:val="22"/>
          <w:szCs w:val="22"/>
        </w:rPr>
      </w:pPr>
      <w:r w:rsidRPr="004E1AFA">
        <w:rPr>
          <w:rStyle w:val="s1"/>
          <w:rFonts w:ascii="Arial" w:hAnsi="Arial" w:cs="Arial"/>
          <w:sz w:val="22"/>
          <w:szCs w:val="22"/>
        </w:rPr>
        <w:t xml:space="preserve">Within the positivist tradition, reality is treated as objective, stable, and measurable. Knowledge is gained through systematic observation, often expressed or reported numerically. Positivism underpins many quantitative approaches, such as acoustic analysis of vocal output or statistical evaluation of performance outcomes (Cohen, Manion &amp; Morrison, 2013). For instance, a positivist teacher-researcher might precisely track the change in singers’ maximum phonation time before and after a targeted breathing intervention. The strength of this stance lies in its capacity to produce generalisable, replicable results. However, critics argue that positivism can miss singers’ subjective experiences, including the psychological impact of </w:t>
      </w:r>
      <w:r w:rsidR="00DB3F21">
        <w:rPr>
          <w:rStyle w:val="s1"/>
          <w:rFonts w:ascii="Arial" w:hAnsi="Arial" w:cs="Arial"/>
          <w:sz w:val="22"/>
          <w:szCs w:val="22"/>
        </w:rPr>
        <w:t>M</w:t>
      </w:r>
      <w:r w:rsidR="00D5534F">
        <w:rPr>
          <w:rStyle w:val="s1"/>
          <w:rFonts w:ascii="Arial" w:hAnsi="Arial" w:cs="Arial"/>
          <w:sz w:val="22"/>
          <w:szCs w:val="22"/>
        </w:rPr>
        <w:t>usic</w:t>
      </w:r>
      <w:r w:rsidR="00210974">
        <w:rPr>
          <w:rStyle w:val="s1"/>
          <w:rFonts w:ascii="Arial" w:hAnsi="Arial" w:cs="Arial"/>
          <w:sz w:val="22"/>
          <w:szCs w:val="22"/>
        </w:rPr>
        <w:t xml:space="preserve"> </w:t>
      </w:r>
      <w:r w:rsidR="00DB3F21">
        <w:rPr>
          <w:rStyle w:val="s1"/>
          <w:rFonts w:ascii="Arial" w:hAnsi="Arial" w:cs="Arial"/>
          <w:sz w:val="22"/>
          <w:szCs w:val="22"/>
        </w:rPr>
        <w:t>P</w:t>
      </w:r>
      <w:r w:rsidRPr="004E1AFA">
        <w:rPr>
          <w:rStyle w:val="s1"/>
          <w:rFonts w:ascii="Arial" w:hAnsi="Arial" w:cs="Arial"/>
          <w:sz w:val="22"/>
          <w:szCs w:val="22"/>
        </w:rPr>
        <w:t xml:space="preserve">erformance </w:t>
      </w:r>
      <w:r w:rsidR="00DB3F21">
        <w:rPr>
          <w:rStyle w:val="s1"/>
          <w:rFonts w:ascii="Arial" w:hAnsi="Arial" w:cs="Arial"/>
          <w:sz w:val="22"/>
          <w:szCs w:val="22"/>
        </w:rPr>
        <w:t>A</w:t>
      </w:r>
      <w:r w:rsidRPr="004E1AFA">
        <w:rPr>
          <w:rStyle w:val="s1"/>
          <w:rFonts w:ascii="Arial" w:hAnsi="Arial" w:cs="Arial"/>
          <w:sz w:val="22"/>
          <w:szCs w:val="22"/>
        </w:rPr>
        <w:t xml:space="preserve">nxiety </w:t>
      </w:r>
      <w:r w:rsidR="00210974">
        <w:rPr>
          <w:rStyle w:val="s1"/>
          <w:rFonts w:ascii="Arial" w:hAnsi="Arial" w:cs="Arial"/>
          <w:sz w:val="22"/>
          <w:szCs w:val="22"/>
        </w:rPr>
        <w:t xml:space="preserve">(MPA) </w:t>
      </w:r>
      <w:r w:rsidRPr="004E1AFA">
        <w:rPr>
          <w:rStyle w:val="s1"/>
          <w:rFonts w:ascii="Arial" w:hAnsi="Arial" w:cs="Arial"/>
          <w:sz w:val="22"/>
          <w:szCs w:val="22"/>
        </w:rPr>
        <w:t>or the perceived ease of vocal production.</w:t>
      </w:r>
    </w:p>
    <w:p w14:paraId="47EB6427" w14:textId="0B1EB32E" w:rsidR="00AA2A97" w:rsidRPr="004E1AFA" w:rsidRDefault="00271DCB" w:rsidP="00313809">
      <w:pPr>
        <w:pStyle w:val="p1"/>
        <w:spacing w:before="30" w:beforeAutospacing="0"/>
        <w:divId w:val="495607278"/>
        <w:rPr>
          <w:rFonts w:ascii="Arial" w:hAnsi="Arial" w:cs="Arial"/>
          <w:sz w:val="22"/>
          <w:szCs w:val="22"/>
        </w:rPr>
      </w:pPr>
      <w:r>
        <w:rPr>
          <w:rStyle w:val="s1"/>
          <w:rFonts w:ascii="Arial" w:hAnsi="Arial" w:cs="Arial"/>
          <w:sz w:val="22"/>
          <w:szCs w:val="22"/>
        </w:rPr>
        <w:t>C</w:t>
      </w:r>
      <w:r w:rsidR="00AA2A97" w:rsidRPr="004E1AFA">
        <w:rPr>
          <w:rStyle w:val="s1"/>
          <w:rFonts w:ascii="Arial" w:hAnsi="Arial" w:cs="Arial"/>
          <w:sz w:val="22"/>
          <w:szCs w:val="22"/>
        </w:rPr>
        <w:t>ontrast</w:t>
      </w:r>
      <w:r>
        <w:rPr>
          <w:rStyle w:val="s1"/>
          <w:rFonts w:ascii="Arial" w:hAnsi="Arial" w:cs="Arial"/>
          <w:sz w:val="22"/>
          <w:szCs w:val="22"/>
        </w:rPr>
        <w:t>ingly</w:t>
      </w:r>
      <w:r w:rsidR="00AA2A97" w:rsidRPr="004E1AFA">
        <w:rPr>
          <w:rStyle w:val="s1"/>
          <w:rFonts w:ascii="Arial" w:hAnsi="Arial" w:cs="Arial"/>
          <w:sz w:val="22"/>
          <w:szCs w:val="22"/>
        </w:rPr>
        <w:t xml:space="preserve">, </w:t>
      </w:r>
      <w:r w:rsidR="00733E45">
        <w:rPr>
          <w:rStyle w:val="s1"/>
          <w:rFonts w:ascii="Arial" w:hAnsi="Arial" w:cs="Arial"/>
          <w:sz w:val="22"/>
          <w:szCs w:val="22"/>
        </w:rPr>
        <w:t>inter</w:t>
      </w:r>
      <w:r w:rsidR="00D32D2D">
        <w:rPr>
          <w:rStyle w:val="s1"/>
          <w:rFonts w:ascii="Arial" w:hAnsi="Arial" w:cs="Arial"/>
          <w:sz w:val="22"/>
          <w:szCs w:val="22"/>
        </w:rPr>
        <w:t>pretivism</w:t>
      </w:r>
      <w:r w:rsidR="00AA2A97" w:rsidRPr="004E1AFA">
        <w:rPr>
          <w:rStyle w:val="s1"/>
          <w:rFonts w:ascii="Arial" w:hAnsi="Arial" w:cs="Arial"/>
          <w:sz w:val="22"/>
          <w:szCs w:val="22"/>
        </w:rPr>
        <w:t xml:space="preserve"> holds that reality is socially constructed and best understood through the perspectives of those experiencing it. This paradigm often points to qualitative approaches such as in-depth interviews, lesson observations, or reflective journalling, which allow for a rich, contextualised understanding of the singing experience (</w:t>
      </w:r>
      <w:proofErr w:type="spellStart"/>
      <w:r w:rsidR="00AA2A97" w:rsidRPr="004E1AFA">
        <w:rPr>
          <w:rStyle w:val="s1"/>
          <w:rFonts w:ascii="Arial" w:hAnsi="Arial" w:cs="Arial"/>
          <w:sz w:val="22"/>
          <w:szCs w:val="22"/>
        </w:rPr>
        <w:t>Blaxter</w:t>
      </w:r>
      <w:proofErr w:type="spellEnd"/>
      <w:r w:rsidR="00AA2A97" w:rsidRPr="004E1AFA">
        <w:rPr>
          <w:rStyle w:val="s1"/>
          <w:rFonts w:ascii="Arial" w:hAnsi="Arial" w:cs="Arial"/>
          <w:sz w:val="22"/>
          <w:szCs w:val="22"/>
        </w:rPr>
        <w:t>, Hughes &amp; Tight, 2010). An interpretivist vocal teacher might explore how adult learners describe their journey towards developing healthy technique, uncovering the influence of confidence, identity, and teacher</w:t>
      </w:r>
      <w:r w:rsidR="0092204C">
        <w:rPr>
          <w:rStyle w:val="s1"/>
          <w:rFonts w:ascii="Arial" w:hAnsi="Arial" w:cs="Arial"/>
          <w:sz w:val="22"/>
          <w:szCs w:val="22"/>
        </w:rPr>
        <w:t xml:space="preserve"> </w:t>
      </w:r>
      <w:r w:rsidR="00AA2A97" w:rsidRPr="004E1AFA">
        <w:rPr>
          <w:rStyle w:val="s1"/>
          <w:rFonts w:ascii="Arial" w:hAnsi="Arial" w:cs="Arial"/>
          <w:sz w:val="22"/>
          <w:szCs w:val="22"/>
        </w:rPr>
        <w:t>student rapport. While interpretivism offers depth and nuance, it is often criticised for limited generalisability and greater susceptibility to researcher bias.</w:t>
      </w:r>
    </w:p>
    <w:p w14:paraId="11E3E3AE" w14:textId="63065DEF" w:rsidR="00AA2A97" w:rsidRPr="004E1AFA" w:rsidRDefault="00AA2A97" w:rsidP="004E1AFA">
      <w:pPr>
        <w:pStyle w:val="p1"/>
        <w:spacing w:before="30" w:beforeAutospacing="0"/>
        <w:divId w:val="495607278"/>
        <w:rPr>
          <w:rFonts w:ascii="Arial" w:hAnsi="Arial" w:cs="Arial"/>
          <w:sz w:val="22"/>
          <w:szCs w:val="22"/>
        </w:rPr>
      </w:pPr>
      <w:r w:rsidRPr="004E1AFA">
        <w:rPr>
          <w:rStyle w:val="s1"/>
          <w:rFonts w:ascii="Arial" w:hAnsi="Arial" w:cs="Arial"/>
          <w:sz w:val="22"/>
          <w:szCs w:val="22"/>
        </w:rPr>
        <w:t>Critical theory adds a further dimension, focusing on power relations and the potential for transformation. In vocal pedagogy, this might involve examining how gender norms, cultural expectations, or institutional hierarchies shape opportunities and repertoire choices (Reason &amp; Bradbury, 2001). A critical researcher could use participatory action research to collaborate with students from underrepresented backgrounds to co-design more inclusive vocal curricula. While powerful for promoting equity, such approaches can challenge established norms and may encounter resistance within traditional music education settings.</w:t>
      </w:r>
    </w:p>
    <w:p w14:paraId="63028524" w14:textId="6E2DD328" w:rsidR="00AA2A97" w:rsidRPr="004E1AFA" w:rsidRDefault="00AA2A97" w:rsidP="004E1AFA">
      <w:pPr>
        <w:pStyle w:val="p1"/>
        <w:spacing w:before="30" w:beforeAutospacing="0"/>
        <w:divId w:val="495607278"/>
        <w:rPr>
          <w:rFonts w:ascii="Arial" w:hAnsi="Arial" w:cs="Arial"/>
          <w:sz w:val="22"/>
          <w:szCs w:val="22"/>
        </w:rPr>
      </w:pPr>
      <w:r w:rsidRPr="004E1AFA">
        <w:rPr>
          <w:rStyle w:val="s1"/>
          <w:rFonts w:ascii="Arial" w:hAnsi="Arial" w:cs="Arial"/>
          <w:sz w:val="22"/>
          <w:szCs w:val="22"/>
        </w:rPr>
        <w:t>Many practitioner-researchers in vocal teaching take a pragmatist stance, choosing methods based on what will best answer the research question rather than aligning strictly with one philosophical position (Saunders et al., 2009). Pragmatism supports mixed-methods designs, enabling both measurement and exploration. For example, a project on the effectiveness of a new warm-up routine might combine pre</w:t>
      </w:r>
      <w:r w:rsidR="00361F6B">
        <w:rPr>
          <w:rStyle w:val="s1"/>
          <w:rFonts w:ascii="Arial" w:hAnsi="Arial" w:cs="Arial"/>
          <w:sz w:val="22"/>
          <w:szCs w:val="22"/>
        </w:rPr>
        <w:t xml:space="preserve"> </w:t>
      </w:r>
      <w:r w:rsidRPr="004E1AFA">
        <w:rPr>
          <w:rStyle w:val="s1"/>
          <w:rFonts w:ascii="Arial" w:hAnsi="Arial" w:cs="Arial"/>
          <w:sz w:val="22"/>
          <w:szCs w:val="22"/>
        </w:rPr>
        <w:t>and post</w:t>
      </w:r>
      <w:r w:rsidR="00201D92">
        <w:rPr>
          <w:rStyle w:val="s1"/>
          <w:rFonts w:ascii="Arial" w:hAnsi="Arial" w:cs="Arial"/>
          <w:sz w:val="22"/>
          <w:szCs w:val="22"/>
        </w:rPr>
        <w:t xml:space="preserve"> </w:t>
      </w:r>
      <w:r w:rsidRPr="004E1AFA">
        <w:rPr>
          <w:rStyle w:val="s1"/>
          <w:rFonts w:ascii="Arial" w:hAnsi="Arial" w:cs="Arial"/>
          <w:sz w:val="22"/>
          <w:szCs w:val="22"/>
        </w:rPr>
        <w:t>intervention acoustic measurements with focus group discussions to interpret singers’ subjective experiences.</w:t>
      </w:r>
    </w:p>
    <w:p w14:paraId="5FA232F4" w14:textId="316A3E12" w:rsidR="004F68C8" w:rsidRPr="00A22177" w:rsidRDefault="00AA2A97" w:rsidP="00300BC7">
      <w:pPr>
        <w:pStyle w:val="p1"/>
        <w:spacing w:before="30" w:beforeAutospacing="0"/>
        <w:divId w:val="495607278"/>
        <w:rPr>
          <w:rStyle w:val="s1"/>
          <w:rFonts w:ascii="Arial" w:hAnsi="Arial" w:cs="Arial"/>
          <w:sz w:val="22"/>
          <w:szCs w:val="22"/>
        </w:rPr>
      </w:pPr>
      <w:r w:rsidRPr="004E1AFA">
        <w:rPr>
          <w:rStyle w:val="s1"/>
          <w:rFonts w:ascii="Arial" w:hAnsi="Arial" w:cs="Arial"/>
          <w:sz w:val="22"/>
          <w:szCs w:val="22"/>
        </w:rPr>
        <w:t>Ultimately, the epistemological and ontological positions a vocal teacher-researcher adopts must align with the study’s aims, the nature of the research problem, and the realities of the teaching environment. Being explicit about these foundations not only strengthens methodological justification but also enhances the credibility of findings (Gray, 2004). For insider researchers</w:t>
      </w:r>
      <w:r w:rsidR="00201D92">
        <w:rPr>
          <w:rStyle w:val="s1"/>
          <w:rFonts w:ascii="Arial" w:hAnsi="Arial" w:cs="Arial"/>
          <w:sz w:val="22"/>
          <w:szCs w:val="22"/>
        </w:rPr>
        <w:t xml:space="preserve">, </w:t>
      </w:r>
      <w:r w:rsidRPr="004E1AFA">
        <w:rPr>
          <w:rStyle w:val="s1"/>
          <w:rFonts w:ascii="Arial" w:hAnsi="Arial" w:cs="Arial"/>
          <w:sz w:val="22"/>
          <w:szCs w:val="22"/>
        </w:rPr>
        <w:t>those studying their own students</w:t>
      </w:r>
      <w:r w:rsidR="00204B03">
        <w:rPr>
          <w:rStyle w:val="s1"/>
          <w:rFonts w:ascii="Arial" w:hAnsi="Arial" w:cs="Arial"/>
          <w:sz w:val="22"/>
          <w:szCs w:val="22"/>
        </w:rPr>
        <w:t xml:space="preserve">, </w:t>
      </w:r>
      <w:r w:rsidRPr="004E1AFA">
        <w:rPr>
          <w:rStyle w:val="s1"/>
          <w:rFonts w:ascii="Arial" w:hAnsi="Arial" w:cs="Arial"/>
          <w:sz w:val="22"/>
          <w:szCs w:val="22"/>
        </w:rPr>
        <w:t>such reflexivity is crucial for addressing potential bias and ensuring transparency from the outset.</w:t>
      </w:r>
    </w:p>
    <w:p w14:paraId="2E69F840" w14:textId="368D23C6" w:rsidR="00300BC7" w:rsidRPr="00300BC7" w:rsidRDefault="00C751A4" w:rsidP="00300BC7">
      <w:pPr>
        <w:pStyle w:val="p1"/>
        <w:spacing w:before="30" w:beforeAutospacing="0"/>
        <w:divId w:val="495607278"/>
        <w:rPr>
          <w:rFonts w:ascii="Arial" w:hAnsi="Arial" w:cs="Arial"/>
          <w:b/>
          <w:bCs/>
          <w:color w:val="000000" w:themeColor="text1"/>
          <w:sz w:val="22"/>
          <w:szCs w:val="22"/>
        </w:rPr>
      </w:pPr>
      <w:r w:rsidRPr="006D573A">
        <w:rPr>
          <w:rStyle w:val="s1"/>
          <w:rFonts w:ascii="Arial" w:hAnsi="Arial" w:cs="Arial"/>
          <w:b/>
          <w:bCs/>
          <w:color w:val="000000" w:themeColor="text1"/>
          <w:sz w:val="22"/>
          <w:szCs w:val="22"/>
        </w:rPr>
        <w:lastRenderedPageBreak/>
        <w:t>Methodological Approaches</w:t>
      </w:r>
    </w:p>
    <w:p w14:paraId="0BBEB168" w14:textId="169D8C7A"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Choosing an appropriate methodological approach is one of the most consequential decisions for any research project, as it determines how data will be collected, analysed, and interpreted. In the field of vocal pedagogy, the choice of methodology is shaped by the research question, the philosophical stance of the researcher, and the practical constraints of the teaching environment. Each approach</w:t>
      </w:r>
      <w:r w:rsidR="0044038D">
        <w:rPr>
          <w:rStyle w:val="s1"/>
          <w:rFonts w:ascii="Arial" w:hAnsi="Arial" w:cs="Arial"/>
          <w:sz w:val="22"/>
          <w:szCs w:val="22"/>
        </w:rPr>
        <w:t>,</w:t>
      </w:r>
      <w:r w:rsidR="00926454">
        <w:rPr>
          <w:rStyle w:val="s1"/>
          <w:rFonts w:ascii="Arial" w:hAnsi="Arial" w:cs="Arial"/>
          <w:sz w:val="22"/>
          <w:szCs w:val="22"/>
        </w:rPr>
        <w:t xml:space="preserve"> </w:t>
      </w:r>
      <w:r w:rsidRPr="004E1AFA">
        <w:rPr>
          <w:rStyle w:val="s1"/>
          <w:rFonts w:ascii="Arial" w:hAnsi="Arial" w:cs="Arial"/>
          <w:sz w:val="22"/>
          <w:szCs w:val="22"/>
        </w:rPr>
        <w:t>qualitative, quantitative, and mixed methods</w:t>
      </w:r>
      <w:r w:rsidR="00926454">
        <w:rPr>
          <w:rStyle w:val="s1"/>
          <w:rFonts w:ascii="Arial" w:hAnsi="Arial" w:cs="Arial"/>
          <w:sz w:val="22"/>
          <w:szCs w:val="22"/>
        </w:rPr>
        <w:t xml:space="preserve">, </w:t>
      </w:r>
      <w:r w:rsidRPr="004E1AFA">
        <w:rPr>
          <w:rStyle w:val="s1"/>
          <w:rFonts w:ascii="Arial" w:hAnsi="Arial" w:cs="Arial"/>
          <w:sz w:val="22"/>
          <w:szCs w:val="22"/>
        </w:rPr>
        <w:t>offers distinctive strengths and limitations when applied to the study of singing and voice training</w:t>
      </w:r>
      <w:r w:rsidR="009A4A9C">
        <w:rPr>
          <w:rStyle w:val="s1"/>
          <w:rFonts w:ascii="Arial" w:hAnsi="Arial" w:cs="Arial"/>
          <w:sz w:val="22"/>
          <w:szCs w:val="22"/>
        </w:rPr>
        <w:t xml:space="preserve"> </w:t>
      </w:r>
      <w:r w:rsidR="00025FB4">
        <w:rPr>
          <w:rStyle w:val="s1"/>
          <w:rFonts w:ascii="Arial" w:hAnsi="Arial" w:cs="Arial"/>
          <w:sz w:val="22"/>
          <w:szCs w:val="22"/>
        </w:rPr>
        <w:t>(</w:t>
      </w:r>
      <w:r w:rsidR="0051731D">
        <w:rPr>
          <w:rStyle w:val="s1"/>
          <w:rFonts w:ascii="Arial" w:hAnsi="Arial" w:cs="Arial"/>
          <w:sz w:val="22"/>
          <w:szCs w:val="22"/>
        </w:rPr>
        <w:t>Hartwig,</w:t>
      </w:r>
      <w:r w:rsidR="0099603F">
        <w:rPr>
          <w:rStyle w:val="s1"/>
          <w:rFonts w:ascii="Arial" w:hAnsi="Arial" w:cs="Arial"/>
          <w:sz w:val="22"/>
          <w:szCs w:val="22"/>
        </w:rPr>
        <w:t xml:space="preserve">2025). </w:t>
      </w:r>
    </w:p>
    <w:p w14:paraId="387F294E" w14:textId="77777777"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Qualitative approaches seek to explore and interpret the meanings that individuals attach to their experiences. They are particularly well suited to research questions concerned with the lived experiences of singers, the development of vocal identity, or the pedagogical relationship between teacher and student (</w:t>
      </w:r>
      <w:proofErr w:type="spellStart"/>
      <w:r w:rsidRPr="004E1AFA">
        <w:rPr>
          <w:rStyle w:val="s1"/>
          <w:rFonts w:ascii="Arial" w:hAnsi="Arial" w:cs="Arial"/>
          <w:sz w:val="22"/>
          <w:szCs w:val="22"/>
        </w:rPr>
        <w:t>Blaxter</w:t>
      </w:r>
      <w:proofErr w:type="spellEnd"/>
      <w:r w:rsidRPr="004E1AFA">
        <w:rPr>
          <w:rStyle w:val="s1"/>
          <w:rFonts w:ascii="Arial" w:hAnsi="Arial" w:cs="Arial"/>
          <w:sz w:val="22"/>
          <w:szCs w:val="22"/>
        </w:rPr>
        <w:t>, Hughes &amp; Tight, 2010). For instance, narrative inquiry could be used to examine the personal journeys of professional singers returning to study after vocal injury, while phenomenology could explore the sensory and emotional aspects of mastering breath control. Ethnographic approaches might focus on understanding the culture of a particular opera chorus or music theatre ensemble, involving long-term immersion and observation. Grounded theory could be employed to develop a model of how students integrate new technical instructions into their practice routines over time.</w:t>
      </w:r>
    </w:p>
    <w:p w14:paraId="681ACB1C" w14:textId="0767B24E"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One of the most relevant qualitative approaches for practitioner-researchers is action research, which involves a cyclical process of planning, acting, observing, and reflecting (Reason &amp; Bradbury, 2001). For example, a teacher might introduce a new set of resonance exercises, collect reflective feedback from students, analyse the results, and then refine the exercises for the next teaching cycle. The main advantage of qualitative approaches is their ability to capture nuanced, context-rich data that reflects the complexity of vocal development. However, they are often criticised for limited generalisability and for being vulnerable to researcher bias</w:t>
      </w:r>
      <w:r w:rsidR="006344AF">
        <w:rPr>
          <w:rStyle w:val="s1"/>
          <w:rFonts w:ascii="Arial" w:hAnsi="Arial" w:cs="Arial"/>
          <w:sz w:val="22"/>
          <w:szCs w:val="22"/>
        </w:rPr>
        <w:t xml:space="preserve">, </w:t>
      </w:r>
      <w:r w:rsidRPr="004E1AFA">
        <w:rPr>
          <w:rStyle w:val="s1"/>
          <w:rFonts w:ascii="Arial" w:hAnsi="Arial" w:cs="Arial"/>
          <w:sz w:val="22"/>
          <w:szCs w:val="22"/>
        </w:rPr>
        <w:t>particularly in insider research</w:t>
      </w:r>
      <w:r w:rsidR="00DA35BA">
        <w:rPr>
          <w:rStyle w:val="s1"/>
          <w:rFonts w:ascii="Arial" w:hAnsi="Arial" w:cs="Arial"/>
          <w:sz w:val="22"/>
          <w:szCs w:val="22"/>
        </w:rPr>
        <w:t xml:space="preserve">. </w:t>
      </w:r>
    </w:p>
    <w:p w14:paraId="73987C15" w14:textId="74B251B8"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Quantitative approaches aim to measure variables and analyse relationships between them using numerical data. In vocal pedagogy, these approaches are commonly associated with vocal science and performance assessment. Examples include experimental or quasi-experimental studies measuring changes in acoustic parameters</w:t>
      </w:r>
      <w:r w:rsidR="00863EDD">
        <w:rPr>
          <w:rStyle w:val="s1"/>
          <w:rFonts w:ascii="Arial" w:hAnsi="Arial" w:cs="Arial"/>
          <w:sz w:val="22"/>
          <w:szCs w:val="22"/>
        </w:rPr>
        <w:t xml:space="preserve">, </w:t>
      </w:r>
      <w:r w:rsidRPr="004E1AFA">
        <w:rPr>
          <w:rStyle w:val="s1"/>
          <w:rFonts w:ascii="Arial" w:hAnsi="Arial" w:cs="Arial"/>
          <w:sz w:val="22"/>
          <w:szCs w:val="22"/>
        </w:rPr>
        <w:t>such as fundamental frequency, formant tuning, or spectral tilt</w:t>
      </w:r>
      <w:r w:rsidR="00506BA3">
        <w:rPr>
          <w:rStyle w:val="s1"/>
          <w:rFonts w:ascii="Arial" w:hAnsi="Arial" w:cs="Arial"/>
          <w:sz w:val="22"/>
          <w:szCs w:val="22"/>
        </w:rPr>
        <w:t xml:space="preserve">, </w:t>
      </w:r>
      <w:r w:rsidRPr="004E1AFA">
        <w:rPr>
          <w:rStyle w:val="s1"/>
          <w:rFonts w:ascii="Arial" w:hAnsi="Arial" w:cs="Arial"/>
          <w:sz w:val="22"/>
          <w:szCs w:val="22"/>
        </w:rPr>
        <w:t xml:space="preserve">before and after a specific pedagogical intervention (Cohen, Manion &amp; Morrison, 2013). Survey-based designs </w:t>
      </w:r>
      <w:r w:rsidR="0021777C">
        <w:rPr>
          <w:rStyle w:val="s1"/>
          <w:rFonts w:ascii="Arial" w:hAnsi="Arial" w:cs="Arial"/>
          <w:sz w:val="22"/>
          <w:szCs w:val="22"/>
        </w:rPr>
        <w:t>such as</w:t>
      </w:r>
      <w:r w:rsidR="00103E83">
        <w:rPr>
          <w:rStyle w:val="s1"/>
          <w:rFonts w:ascii="Arial" w:hAnsi="Arial" w:cs="Arial"/>
          <w:sz w:val="22"/>
          <w:szCs w:val="22"/>
        </w:rPr>
        <w:t xml:space="preserve"> questionnaires</w:t>
      </w:r>
      <w:r w:rsidR="0021777C">
        <w:rPr>
          <w:rStyle w:val="s1"/>
          <w:rFonts w:ascii="Arial" w:hAnsi="Arial" w:cs="Arial"/>
          <w:sz w:val="22"/>
          <w:szCs w:val="22"/>
        </w:rPr>
        <w:t xml:space="preserve"> and scaling</w:t>
      </w:r>
      <w:r w:rsidR="00103E83">
        <w:rPr>
          <w:rStyle w:val="s1"/>
          <w:rFonts w:ascii="Arial" w:hAnsi="Arial" w:cs="Arial"/>
          <w:sz w:val="22"/>
          <w:szCs w:val="22"/>
        </w:rPr>
        <w:t xml:space="preserve"> </w:t>
      </w:r>
      <w:r w:rsidRPr="004E1AFA">
        <w:rPr>
          <w:rStyle w:val="s1"/>
          <w:rFonts w:ascii="Arial" w:hAnsi="Arial" w:cs="Arial"/>
          <w:sz w:val="22"/>
          <w:szCs w:val="22"/>
        </w:rPr>
        <w:t xml:space="preserve">can also be valuable, for instance, in gauging the prevalence of </w:t>
      </w:r>
      <w:r w:rsidR="00210974">
        <w:rPr>
          <w:rStyle w:val="s1"/>
          <w:rFonts w:ascii="Arial" w:hAnsi="Arial" w:cs="Arial"/>
          <w:sz w:val="22"/>
          <w:szCs w:val="22"/>
        </w:rPr>
        <w:t>MPA</w:t>
      </w:r>
      <w:r w:rsidRPr="004E1AFA">
        <w:rPr>
          <w:rStyle w:val="s1"/>
          <w:rFonts w:ascii="Arial" w:hAnsi="Arial" w:cs="Arial"/>
          <w:sz w:val="22"/>
          <w:szCs w:val="22"/>
        </w:rPr>
        <w:t xml:space="preserve"> among conservatoire students or in comparing self-reported practice habits across different age groups.</w:t>
      </w:r>
    </w:p>
    <w:p w14:paraId="2F1E31F1" w14:textId="6417ACB0"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Quantitative approaches offer the benefits of statistical rigour, replicability, and the ability to generalise findings across larger populations. However, in the context of vocal research, they can sometimes oversimplify complex, multi-dimensional processes. Measuring pitch accuracy or breath capacity may provide useful benchmarks, but these metrics cannot fully account for the interpretive artistry, emotional connection, or expressive nuance that also define successful singing</w:t>
      </w:r>
      <w:r w:rsidR="00492D48">
        <w:rPr>
          <w:rStyle w:val="s1"/>
          <w:rFonts w:ascii="Arial" w:hAnsi="Arial" w:cs="Arial"/>
          <w:sz w:val="22"/>
          <w:szCs w:val="22"/>
        </w:rPr>
        <w:t xml:space="preserve"> </w:t>
      </w:r>
      <w:r w:rsidR="005230F1">
        <w:rPr>
          <w:rStyle w:val="s1"/>
          <w:rFonts w:ascii="Arial" w:hAnsi="Arial" w:cs="Arial"/>
          <w:sz w:val="22"/>
          <w:szCs w:val="22"/>
        </w:rPr>
        <w:t>(</w:t>
      </w:r>
      <w:r w:rsidR="00492D48">
        <w:rPr>
          <w:rStyle w:val="s1"/>
          <w:rFonts w:ascii="Arial" w:hAnsi="Arial" w:cs="Arial"/>
          <w:sz w:val="22"/>
          <w:szCs w:val="22"/>
        </w:rPr>
        <w:t>Sundberg</w:t>
      </w:r>
      <w:r w:rsidR="00F5674B">
        <w:rPr>
          <w:rStyle w:val="s1"/>
          <w:rFonts w:ascii="Arial" w:hAnsi="Arial" w:cs="Arial"/>
          <w:sz w:val="22"/>
          <w:szCs w:val="22"/>
        </w:rPr>
        <w:t xml:space="preserve">, Salomao &amp; </w:t>
      </w:r>
      <w:r w:rsidR="005230F1">
        <w:rPr>
          <w:rStyle w:val="s1"/>
          <w:rFonts w:ascii="Arial" w:hAnsi="Arial" w:cs="Arial"/>
          <w:sz w:val="22"/>
          <w:szCs w:val="22"/>
        </w:rPr>
        <w:t>Scherer, 2021)</w:t>
      </w:r>
      <w:r w:rsidRPr="004E1AFA">
        <w:rPr>
          <w:rStyle w:val="s1"/>
          <w:rFonts w:ascii="Arial" w:hAnsi="Arial" w:cs="Arial"/>
          <w:sz w:val="22"/>
          <w:szCs w:val="22"/>
        </w:rPr>
        <w:t>.</w:t>
      </w:r>
      <w:r w:rsidR="000F2B71">
        <w:rPr>
          <w:rStyle w:val="s1"/>
          <w:rFonts w:ascii="Arial" w:hAnsi="Arial" w:cs="Arial"/>
          <w:sz w:val="22"/>
          <w:szCs w:val="22"/>
        </w:rPr>
        <w:t xml:space="preserve"> </w:t>
      </w:r>
    </w:p>
    <w:p w14:paraId="15CD8065" w14:textId="5E95D8F2"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Given the multifaceted nature of singing</w:t>
      </w:r>
      <w:r w:rsidR="003A2B00">
        <w:rPr>
          <w:rStyle w:val="s1"/>
          <w:rFonts w:ascii="Arial" w:hAnsi="Arial" w:cs="Arial"/>
          <w:sz w:val="22"/>
          <w:szCs w:val="22"/>
        </w:rPr>
        <w:t xml:space="preserve">, </w:t>
      </w:r>
      <w:r w:rsidRPr="004E1AFA">
        <w:rPr>
          <w:rStyle w:val="s1"/>
          <w:rFonts w:ascii="Arial" w:hAnsi="Arial" w:cs="Arial"/>
          <w:sz w:val="22"/>
          <w:szCs w:val="22"/>
        </w:rPr>
        <w:t>combining physiological, psychological, artistic, and social dimensions</w:t>
      </w:r>
      <w:r w:rsidR="00692208">
        <w:rPr>
          <w:rStyle w:val="s1"/>
          <w:rFonts w:ascii="Arial" w:hAnsi="Arial" w:cs="Arial"/>
          <w:sz w:val="22"/>
          <w:szCs w:val="22"/>
        </w:rPr>
        <w:t>,</w:t>
      </w:r>
      <w:r w:rsidR="007265EB">
        <w:rPr>
          <w:rStyle w:val="s1"/>
          <w:rFonts w:ascii="Arial" w:hAnsi="Arial" w:cs="Arial"/>
          <w:sz w:val="22"/>
          <w:szCs w:val="22"/>
        </w:rPr>
        <w:t xml:space="preserve"> </w:t>
      </w:r>
      <w:r w:rsidRPr="004E1AFA">
        <w:rPr>
          <w:rStyle w:val="s1"/>
          <w:rFonts w:ascii="Arial" w:hAnsi="Arial" w:cs="Arial"/>
          <w:sz w:val="22"/>
          <w:szCs w:val="22"/>
        </w:rPr>
        <w:t xml:space="preserve">many teacher-researchers adopt mixed-methods approaches. These combine qualitative and quantitative data to provide a more comprehensive understanding (Saunders, Lewis &amp; Thornhill, 2009). A convergent parallel design might collect acoustic analysis data and interview responses simultaneously, integrating the findings to form a richer interpretation. For example, a study on vowel modification in classical singers could </w:t>
      </w:r>
      <w:r w:rsidRPr="004E1AFA">
        <w:rPr>
          <w:rStyle w:val="s1"/>
          <w:rFonts w:ascii="Arial" w:hAnsi="Arial" w:cs="Arial"/>
          <w:sz w:val="22"/>
          <w:szCs w:val="22"/>
        </w:rPr>
        <w:lastRenderedPageBreak/>
        <w:t>measure formant tuning while also gathering participants’ subjective accounts of ease and comfort during the exercise.</w:t>
      </w:r>
    </w:p>
    <w:p w14:paraId="6D2391E7" w14:textId="23CE7E84"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An explanatory sequential design might first collect quantitative data</w:t>
      </w:r>
      <w:r w:rsidR="005E74FC">
        <w:rPr>
          <w:rStyle w:val="s1"/>
          <w:rFonts w:ascii="Arial" w:hAnsi="Arial" w:cs="Arial"/>
          <w:sz w:val="22"/>
          <w:szCs w:val="22"/>
        </w:rPr>
        <w:t xml:space="preserve">, </w:t>
      </w:r>
      <w:r w:rsidRPr="004E1AFA">
        <w:rPr>
          <w:rStyle w:val="s1"/>
          <w:rFonts w:ascii="Arial" w:hAnsi="Arial" w:cs="Arial"/>
          <w:sz w:val="22"/>
          <w:szCs w:val="22"/>
        </w:rPr>
        <w:t>such as improvements in maximum phonation time following a breath support programme</w:t>
      </w:r>
      <w:r w:rsidR="004A4EF7">
        <w:rPr>
          <w:rStyle w:val="s1"/>
          <w:rFonts w:ascii="Arial" w:hAnsi="Arial" w:cs="Arial"/>
          <w:sz w:val="22"/>
          <w:szCs w:val="22"/>
        </w:rPr>
        <w:t xml:space="preserve">, </w:t>
      </w:r>
      <w:r w:rsidRPr="004E1AFA">
        <w:rPr>
          <w:rStyle w:val="s1"/>
          <w:rFonts w:ascii="Arial" w:hAnsi="Arial" w:cs="Arial"/>
          <w:sz w:val="22"/>
          <w:szCs w:val="22"/>
        </w:rPr>
        <w:t xml:space="preserve">and then use qualitative interviews to explore why some participants benefitted more than others. </w:t>
      </w:r>
      <w:r w:rsidR="000A7255">
        <w:rPr>
          <w:rStyle w:val="s1"/>
          <w:rFonts w:ascii="Arial" w:hAnsi="Arial" w:cs="Arial"/>
          <w:sz w:val="22"/>
          <w:szCs w:val="22"/>
        </w:rPr>
        <w:t>A</w:t>
      </w:r>
      <w:r w:rsidRPr="004E1AFA">
        <w:rPr>
          <w:rStyle w:val="s1"/>
          <w:rFonts w:ascii="Arial" w:hAnsi="Arial" w:cs="Arial"/>
          <w:sz w:val="22"/>
          <w:szCs w:val="22"/>
        </w:rPr>
        <w:t>n exploratory sequential design could start with qualitative observations of rehearsal behaviours, which then inform the development of a structured survey distributed to a wider population of singers</w:t>
      </w:r>
      <w:r w:rsidR="00667FE3">
        <w:rPr>
          <w:rStyle w:val="s1"/>
          <w:rFonts w:ascii="Arial" w:hAnsi="Arial" w:cs="Arial"/>
          <w:sz w:val="22"/>
          <w:szCs w:val="22"/>
        </w:rPr>
        <w:t xml:space="preserve"> (</w:t>
      </w:r>
      <w:r w:rsidR="006D2A63">
        <w:rPr>
          <w:rStyle w:val="s1"/>
          <w:rFonts w:ascii="Arial" w:hAnsi="Arial" w:cs="Arial"/>
          <w:sz w:val="22"/>
          <w:szCs w:val="22"/>
        </w:rPr>
        <w:t>Cres</w:t>
      </w:r>
      <w:r w:rsidR="00930D7B">
        <w:rPr>
          <w:rStyle w:val="s1"/>
          <w:rFonts w:ascii="Arial" w:hAnsi="Arial" w:cs="Arial"/>
          <w:sz w:val="22"/>
          <w:szCs w:val="22"/>
        </w:rPr>
        <w:t>well</w:t>
      </w:r>
      <w:r w:rsidR="004C7954">
        <w:rPr>
          <w:rStyle w:val="s1"/>
          <w:rFonts w:ascii="Arial" w:hAnsi="Arial" w:cs="Arial"/>
          <w:sz w:val="22"/>
          <w:szCs w:val="22"/>
        </w:rPr>
        <w:t xml:space="preserve"> and Plano </w:t>
      </w:r>
      <w:r w:rsidR="00123CA8">
        <w:rPr>
          <w:rStyle w:val="s1"/>
          <w:rFonts w:ascii="Arial" w:hAnsi="Arial" w:cs="Arial"/>
          <w:sz w:val="22"/>
          <w:szCs w:val="22"/>
        </w:rPr>
        <w:t>Clark, 2018</w:t>
      </w:r>
      <w:r w:rsidR="00626C18">
        <w:rPr>
          <w:rStyle w:val="s1"/>
          <w:rFonts w:ascii="Arial" w:hAnsi="Arial" w:cs="Arial"/>
          <w:sz w:val="22"/>
          <w:szCs w:val="22"/>
        </w:rPr>
        <w:t>)</w:t>
      </w:r>
      <w:r w:rsidRPr="004E1AFA">
        <w:rPr>
          <w:rStyle w:val="s1"/>
          <w:rFonts w:ascii="Arial" w:hAnsi="Arial" w:cs="Arial"/>
          <w:sz w:val="22"/>
          <w:szCs w:val="22"/>
        </w:rPr>
        <w:t>.</w:t>
      </w:r>
    </w:p>
    <w:p w14:paraId="2A39CA92" w14:textId="71E124CF" w:rsidR="00C751A4" w:rsidRPr="004E1AFA" w:rsidRDefault="00C751A4" w:rsidP="004E1AFA">
      <w:pPr>
        <w:pStyle w:val="p1"/>
        <w:spacing w:before="30" w:beforeAutospacing="0"/>
        <w:divId w:val="137846226"/>
        <w:rPr>
          <w:rFonts w:ascii="Arial" w:hAnsi="Arial" w:cs="Arial"/>
          <w:sz w:val="22"/>
          <w:szCs w:val="22"/>
        </w:rPr>
      </w:pPr>
      <w:r w:rsidRPr="004E1AFA">
        <w:rPr>
          <w:rStyle w:val="s1"/>
          <w:rFonts w:ascii="Arial" w:hAnsi="Arial" w:cs="Arial"/>
          <w:sz w:val="22"/>
          <w:szCs w:val="22"/>
        </w:rPr>
        <w:t>Mixed-methods research provides the advantage of triangulation, enhancing the validity of findings by cross-verifying data from different sources</w:t>
      </w:r>
      <w:r w:rsidR="00F87A8D">
        <w:rPr>
          <w:rStyle w:val="s1"/>
          <w:rFonts w:ascii="Arial" w:hAnsi="Arial" w:cs="Arial"/>
          <w:sz w:val="22"/>
          <w:szCs w:val="22"/>
        </w:rPr>
        <w:t xml:space="preserve"> (</w:t>
      </w:r>
      <w:proofErr w:type="spellStart"/>
      <w:r w:rsidR="00F87A8D">
        <w:rPr>
          <w:rStyle w:val="s1"/>
          <w:rFonts w:ascii="Arial" w:hAnsi="Arial" w:cs="Arial"/>
          <w:sz w:val="22"/>
          <w:szCs w:val="22"/>
        </w:rPr>
        <w:t>Jick</w:t>
      </w:r>
      <w:proofErr w:type="spellEnd"/>
      <w:r w:rsidR="00F87A8D">
        <w:rPr>
          <w:rStyle w:val="s1"/>
          <w:rFonts w:ascii="Arial" w:hAnsi="Arial" w:cs="Arial"/>
          <w:sz w:val="22"/>
          <w:szCs w:val="22"/>
        </w:rPr>
        <w:t>, 1979)</w:t>
      </w:r>
      <w:r w:rsidRPr="004E1AFA">
        <w:rPr>
          <w:rStyle w:val="s1"/>
          <w:rFonts w:ascii="Arial" w:hAnsi="Arial" w:cs="Arial"/>
          <w:sz w:val="22"/>
          <w:szCs w:val="22"/>
        </w:rPr>
        <w:t>. However, it also requires more time, expertise, and resources to execute effectively. Integrating data meaningfully can be challenging, particularly when qualitative and quantitative results seem to contradict each other</w:t>
      </w:r>
      <w:r w:rsidR="00D64981">
        <w:rPr>
          <w:rStyle w:val="s1"/>
          <w:rFonts w:ascii="Arial" w:hAnsi="Arial" w:cs="Arial"/>
          <w:sz w:val="22"/>
          <w:szCs w:val="22"/>
        </w:rPr>
        <w:t xml:space="preserve"> (Bryman</w:t>
      </w:r>
      <w:r w:rsidR="00CC3200">
        <w:rPr>
          <w:rStyle w:val="s1"/>
          <w:rFonts w:ascii="Arial" w:hAnsi="Arial" w:cs="Arial"/>
          <w:sz w:val="22"/>
          <w:szCs w:val="22"/>
        </w:rPr>
        <w:t>, 2007)</w:t>
      </w:r>
      <w:r w:rsidRPr="004E1AFA">
        <w:rPr>
          <w:rStyle w:val="s1"/>
          <w:rFonts w:ascii="Arial" w:hAnsi="Arial" w:cs="Arial"/>
          <w:sz w:val="22"/>
          <w:szCs w:val="22"/>
        </w:rPr>
        <w:t>.</w:t>
      </w:r>
    </w:p>
    <w:p w14:paraId="243D68AF" w14:textId="0785B178" w:rsidR="00C751A4" w:rsidRDefault="00C751A4" w:rsidP="004E1AFA">
      <w:pPr>
        <w:pStyle w:val="p1"/>
        <w:spacing w:before="30" w:beforeAutospacing="0"/>
        <w:divId w:val="137846226"/>
        <w:rPr>
          <w:rStyle w:val="s1"/>
          <w:rFonts w:ascii="Arial" w:hAnsi="Arial" w:cs="Arial"/>
          <w:sz w:val="22"/>
          <w:szCs w:val="22"/>
        </w:rPr>
      </w:pPr>
      <w:r w:rsidRPr="004E1AFA">
        <w:rPr>
          <w:rStyle w:val="s1"/>
          <w:rFonts w:ascii="Arial" w:hAnsi="Arial" w:cs="Arial"/>
          <w:sz w:val="22"/>
          <w:szCs w:val="22"/>
        </w:rPr>
        <w:t>When deciding between qualitative, quantitative, or mixed-methods approaches in vocal pedagogy, several factors must be weighed: the nature of the research question; practical constraints such as scheduling; researcher expertise; and ethical considerations, especially in insider contexts. For a teacher-researcher, the methodological choice is rarely clear-cut. While acoustic measurements can provide objective indicators of vocal change, interviews and reflective journals can illuminate the personal and artistic significance of those changes for the singer. A critical and transparent alignment between research aims, methodology, and context is thus essential to achieving credible, meaningful results</w:t>
      </w:r>
      <w:r w:rsidR="0003120F">
        <w:rPr>
          <w:rStyle w:val="s1"/>
          <w:rFonts w:ascii="Arial" w:hAnsi="Arial" w:cs="Arial"/>
          <w:sz w:val="22"/>
          <w:szCs w:val="22"/>
        </w:rPr>
        <w:t xml:space="preserve"> (Creswell</w:t>
      </w:r>
      <w:r w:rsidR="00394CF6">
        <w:rPr>
          <w:rStyle w:val="s1"/>
          <w:rFonts w:ascii="Arial" w:hAnsi="Arial" w:cs="Arial"/>
          <w:sz w:val="22"/>
          <w:szCs w:val="22"/>
        </w:rPr>
        <w:t xml:space="preserve"> &amp; </w:t>
      </w:r>
      <w:r w:rsidR="009A294B">
        <w:rPr>
          <w:rStyle w:val="s1"/>
          <w:rFonts w:ascii="Arial" w:hAnsi="Arial" w:cs="Arial"/>
          <w:sz w:val="22"/>
          <w:szCs w:val="22"/>
        </w:rPr>
        <w:t xml:space="preserve">Plano Clark, </w:t>
      </w:r>
      <w:r w:rsidR="002B0BD9">
        <w:rPr>
          <w:rStyle w:val="s1"/>
          <w:rFonts w:ascii="Arial" w:hAnsi="Arial" w:cs="Arial"/>
          <w:sz w:val="22"/>
          <w:szCs w:val="22"/>
        </w:rPr>
        <w:t xml:space="preserve">2018; </w:t>
      </w:r>
      <w:r w:rsidR="00E04FFD">
        <w:rPr>
          <w:rStyle w:val="s1"/>
          <w:rFonts w:ascii="Arial" w:hAnsi="Arial" w:cs="Arial"/>
          <w:sz w:val="22"/>
          <w:szCs w:val="22"/>
        </w:rPr>
        <w:t>BERA</w:t>
      </w:r>
      <w:r w:rsidR="008957DB">
        <w:rPr>
          <w:rStyle w:val="s1"/>
          <w:rFonts w:ascii="Arial" w:hAnsi="Arial" w:cs="Arial"/>
          <w:sz w:val="22"/>
          <w:szCs w:val="22"/>
        </w:rPr>
        <w:t>, 2018</w:t>
      </w:r>
      <w:r w:rsidR="00A82B48">
        <w:rPr>
          <w:rStyle w:val="s1"/>
          <w:rFonts w:ascii="Arial" w:hAnsi="Arial" w:cs="Arial"/>
          <w:sz w:val="22"/>
          <w:szCs w:val="22"/>
        </w:rPr>
        <w:t>)</w:t>
      </w:r>
      <w:r w:rsidRPr="004E1AFA">
        <w:rPr>
          <w:rStyle w:val="s1"/>
          <w:rFonts w:ascii="Arial" w:hAnsi="Arial" w:cs="Arial"/>
          <w:sz w:val="22"/>
          <w:szCs w:val="22"/>
        </w:rPr>
        <w:t>.</w:t>
      </w:r>
      <w:r w:rsidR="00C95F44">
        <w:rPr>
          <w:rStyle w:val="s1"/>
          <w:rFonts w:ascii="Arial" w:hAnsi="Arial" w:cs="Arial"/>
          <w:sz w:val="22"/>
          <w:szCs w:val="22"/>
        </w:rPr>
        <w:t xml:space="preserve"> </w:t>
      </w:r>
    </w:p>
    <w:p w14:paraId="77F65AD1" w14:textId="4106EB07" w:rsidR="00300BC7" w:rsidRDefault="00410499" w:rsidP="00300BC7">
      <w:pPr>
        <w:pStyle w:val="Heading1"/>
        <w:divId w:val="1390153278"/>
        <w:rPr>
          <w:rStyle w:val="s1"/>
          <w:rFonts w:ascii="Arial" w:hAnsi="Arial" w:cs="Arial"/>
          <w:b/>
          <w:bCs/>
          <w:color w:val="000000" w:themeColor="text1"/>
          <w:sz w:val="22"/>
          <w:szCs w:val="22"/>
        </w:rPr>
      </w:pPr>
      <w:bookmarkStart w:id="2" w:name="_Toc206086380"/>
      <w:r w:rsidRPr="006D573A">
        <w:rPr>
          <w:rStyle w:val="s1"/>
          <w:rFonts w:ascii="Arial" w:hAnsi="Arial" w:cs="Arial"/>
          <w:b/>
          <w:bCs/>
          <w:color w:val="000000" w:themeColor="text1"/>
          <w:sz w:val="22"/>
          <w:szCs w:val="22"/>
        </w:rPr>
        <w:t>Research Designs in Work-Based Contexts</w:t>
      </w:r>
      <w:bookmarkEnd w:id="2"/>
    </w:p>
    <w:p w14:paraId="6EA9ABD4" w14:textId="54E233C0"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t>In work-based research on vocal teaching, the research design provides the blueprint that links methodological stance to the operational plan for data collection and analysis. The design must account for the complexities of vocal instruction, including individual learning styles, the physical and psychological demands of singing, and the often subjective nature of performance evaluation. Each design</w:t>
      </w:r>
      <w:r w:rsidR="00F02285">
        <w:rPr>
          <w:rStyle w:val="s1"/>
          <w:rFonts w:ascii="Arial" w:hAnsi="Arial" w:cs="Arial"/>
          <w:sz w:val="22"/>
          <w:szCs w:val="22"/>
        </w:rPr>
        <w:t xml:space="preserve">, </w:t>
      </w:r>
      <w:r w:rsidRPr="004E1AFA">
        <w:rPr>
          <w:rStyle w:val="s1"/>
          <w:rFonts w:ascii="Arial" w:hAnsi="Arial" w:cs="Arial"/>
          <w:sz w:val="22"/>
          <w:szCs w:val="22"/>
        </w:rPr>
        <w:t>case study, action research, longitudinal, cross-sectional, and participatory</w:t>
      </w:r>
      <w:r w:rsidR="00F02285">
        <w:rPr>
          <w:rStyle w:val="s1"/>
          <w:rFonts w:ascii="Arial" w:hAnsi="Arial" w:cs="Arial"/>
          <w:sz w:val="22"/>
          <w:szCs w:val="22"/>
        </w:rPr>
        <w:t xml:space="preserve">, </w:t>
      </w:r>
      <w:r w:rsidRPr="004E1AFA">
        <w:rPr>
          <w:rStyle w:val="s1"/>
          <w:rFonts w:ascii="Arial" w:hAnsi="Arial" w:cs="Arial"/>
          <w:sz w:val="22"/>
          <w:szCs w:val="22"/>
        </w:rPr>
        <w:t>offers distinct strengths and limitations.</w:t>
      </w:r>
    </w:p>
    <w:p w14:paraId="3DB01EAA" w14:textId="5FBDC3DB"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t xml:space="preserve">Case studies involve the in-depth investigation of a single case or a small number of cases within their real-world context (Yin, 2018; </w:t>
      </w:r>
      <w:proofErr w:type="spellStart"/>
      <w:r w:rsidRPr="004E1AFA">
        <w:rPr>
          <w:rStyle w:val="s1"/>
          <w:rFonts w:ascii="Arial" w:hAnsi="Arial" w:cs="Arial"/>
          <w:sz w:val="22"/>
          <w:szCs w:val="22"/>
        </w:rPr>
        <w:t>Walliman</w:t>
      </w:r>
      <w:proofErr w:type="spellEnd"/>
      <w:r w:rsidRPr="004E1AFA">
        <w:rPr>
          <w:rStyle w:val="s1"/>
          <w:rFonts w:ascii="Arial" w:hAnsi="Arial" w:cs="Arial"/>
          <w:sz w:val="22"/>
          <w:szCs w:val="22"/>
        </w:rPr>
        <w:t>, 2001). In vocal research, a “case” might be a single student, a studio class, or a professional choir. For example, a teacher-researcher might conduct a case study of a postgraduate singer recovering from a vocal fold injury, combining lesson observations, vocal function measurements, and reflective interviews to track progress. The strength of this design lies in its ability to capture complexity and context-specific detail. However, critics note its limited generalisability—findings from one highly motivated student in a supportive environment may not translate to all singers.</w:t>
      </w:r>
    </w:p>
    <w:p w14:paraId="289545D0" w14:textId="77777777"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t>Action research is highly relevant to practitioner-researchers, as it integrates teaching practice with systematic inquiry (Reason &amp; Bradbury, 2001). In vocal pedagogy, this could take the form of a cyclical project aimed at improving diction in sung English among non-native speakers. The teacher might introduce targeted exercises, collect recordings and self-assessment data, reflect on results, and adjust techniques before repeating the cycle. The participatory nature of action research fosters student engagement and aligns with professional development goals. Its limitation lies in potential bias, as the teacher’s dual role can blur the boundaries between teaching and researching, requiring deliberate strategies for reflexivity.</w:t>
      </w:r>
    </w:p>
    <w:p w14:paraId="0B81272F" w14:textId="753FD143"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lastRenderedPageBreak/>
        <w:t>Longitudinal studies examine change over an extended period, making them ideal for tracking vocal development or the long-term effects of pedagogical interventions</w:t>
      </w:r>
      <w:r w:rsidR="00C14A71">
        <w:rPr>
          <w:rStyle w:val="s1"/>
          <w:rFonts w:ascii="Arial" w:hAnsi="Arial" w:cs="Arial"/>
          <w:sz w:val="22"/>
          <w:szCs w:val="22"/>
        </w:rPr>
        <w:t xml:space="preserve"> (</w:t>
      </w:r>
      <w:r w:rsidR="009D5871">
        <w:rPr>
          <w:rStyle w:val="s1"/>
          <w:rFonts w:ascii="Arial" w:hAnsi="Arial" w:cs="Arial"/>
          <w:sz w:val="22"/>
          <w:szCs w:val="22"/>
        </w:rPr>
        <w:t>Menard, 2002)</w:t>
      </w:r>
      <w:r w:rsidRPr="004E1AFA">
        <w:rPr>
          <w:rStyle w:val="s1"/>
          <w:rFonts w:ascii="Arial" w:hAnsi="Arial" w:cs="Arial"/>
          <w:sz w:val="22"/>
          <w:szCs w:val="22"/>
        </w:rPr>
        <w:t>. A teacher might follow a cohort of undergraduate singers across three years of study, assessing vocal range, stamina, and stylistic versatility at multiple points. The advantage is the ability to observe developmental patterns and causal relationships over time. However, such studies demand sustained commitment, consistent measurement tools, and the capacity to manage participant attrition, particularly in the transient world of performing arts education.</w:t>
      </w:r>
    </w:p>
    <w:p w14:paraId="5C5E1041" w14:textId="3D610798"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t>Cross-sectional designs capture data at a single point in time, allowing comparison across different groups. In a teaching context, this could involve surveying first-, second-, and third-year conservatoire students about their practice habits and perceived technical challenges. While more time-efficient than longitudinal studies, cross-sectional designs cannot account for change over time and risk conflating differences between groups with developmental progress</w:t>
      </w:r>
      <w:r w:rsidR="00D92E13">
        <w:rPr>
          <w:rStyle w:val="s1"/>
          <w:rFonts w:ascii="Arial" w:hAnsi="Arial" w:cs="Arial"/>
          <w:sz w:val="22"/>
          <w:szCs w:val="22"/>
        </w:rPr>
        <w:t xml:space="preserve"> (Cohan</w:t>
      </w:r>
      <w:r w:rsidR="0062158F">
        <w:rPr>
          <w:rStyle w:val="s1"/>
          <w:rFonts w:ascii="Arial" w:hAnsi="Arial" w:cs="Arial"/>
          <w:sz w:val="22"/>
          <w:szCs w:val="22"/>
        </w:rPr>
        <w:t xml:space="preserve">, </w:t>
      </w:r>
      <w:r w:rsidR="007F59AC">
        <w:rPr>
          <w:rStyle w:val="s1"/>
          <w:rFonts w:ascii="Arial" w:hAnsi="Arial" w:cs="Arial"/>
          <w:sz w:val="22"/>
          <w:szCs w:val="22"/>
        </w:rPr>
        <w:t>Manion</w:t>
      </w:r>
      <w:r w:rsidR="00B12651">
        <w:rPr>
          <w:rStyle w:val="s1"/>
          <w:rFonts w:ascii="Arial" w:hAnsi="Arial" w:cs="Arial"/>
          <w:sz w:val="22"/>
          <w:szCs w:val="22"/>
        </w:rPr>
        <w:t xml:space="preserve"> &amp; Morrison</w:t>
      </w:r>
      <w:r w:rsidR="004C1634">
        <w:rPr>
          <w:rStyle w:val="s1"/>
          <w:rFonts w:ascii="Arial" w:hAnsi="Arial" w:cs="Arial"/>
          <w:sz w:val="22"/>
          <w:szCs w:val="22"/>
        </w:rPr>
        <w:t>, 201</w:t>
      </w:r>
      <w:r w:rsidR="005D51C5">
        <w:rPr>
          <w:rStyle w:val="s1"/>
          <w:rFonts w:ascii="Arial" w:hAnsi="Arial" w:cs="Arial"/>
          <w:sz w:val="22"/>
          <w:szCs w:val="22"/>
        </w:rPr>
        <w:t>3</w:t>
      </w:r>
      <w:r w:rsidR="004C1634">
        <w:rPr>
          <w:rStyle w:val="s1"/>
          <w:rFonts w:ascii="Arial" w:hAnsi="Arial" w:cs="Arial"/>
          <w:sz w:val="22"/>
          <w:szCs w:val="22"/>
        </w:rPr>
        <w:t>)</w:t>
      </w:r>
      <w:r w:rsidRPr="004E1AFA">
        <w:rPr>
          <w:rStyle w:val="s1"/>
          <w:rFonts w:ascii="Arial" w:hAnsi="Arial" w:cs="Arial"/>
          <w:sz w:val="22"/>
          <w:szCs w:val="22"/>
        </w:rPr>
        <w:t>.</w:t>
      </w:r>
    </w:p>
    <w:p w14:paraId="371F3F84" w14:textId="08E42BC0"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t xml:space="preserve">Participatory designs actively involve participants in shaping the research process. In a studio, this might mean working with students to co-create a research project on </w:t>
      </w:r>
      <w:r w:rsidR="004C5C5C">
        <w:rPr>
          <w:rStyle w:val="s1"/>
          <w:rFonts w:ascii="Arial" w:hAnsi="Arial" w:cs="Arial"/>
          <w:sz w:val="22"/>
          <w:szCs w:val="22"/>
        </w:rPr>
        <w:t>MPA</w:t>
      </w:r>
      <w:r w:rsidRPr="004E1AFA">
        <w:rPr>
          <w:rStyle w:val="s1"/>
          <w:rFonts w:ascii="Arial" w:hAnsi="Arial" w:cs="Arial"/>
          <w:sz w:val="22"/>
          <w:szCs w:val="22"/>
        </w:rPr>
        <w:t>, allowing them to help design surveys, suggest interview questions, and interpret findings. Such approaches can democratise the research process and empower singers, particularly those from under-represented backgrounds</w:t>
      </w:r>
      <w:r w:rsidR="00AE579E">
        <w:rPr>
          <w:rStyle w:val="s1"/>
          <w:rFonts w:ascii="Arial" w:hAnsi="Arial" w:cs="Arial"/>
          <w:sz w:val="22"/>
          <w:szCs w:val="22"/>
        </w:rPr>
        <w:t xml:space="preserve"> (</w:t>
      </w:r>
      <w:r w:rsidR="00A21324">
        <w:rPr>
          <w:rStyle w:val="s1"/>
          <w:rFonts w:ascii="Arial" w:hAnsi="Arial" w:cs="Arial"/>
          <w:sz w:val="22"/>
          <w:szCs w:val="22"/>
        </w:rPr>
        <w:t>Gaunt</w:t>
      </w:r>
      <w:r w:rsidR="00142936">
        <w:rPr>
          <w:rStyle w:val="s1"/>
          <w:rFonts w:ascii="Arial" w:hAnsi="Arial" w:cs="Arial"/>
          <w:sz w:val="22"/>
          <w:szCs w:val="22"/>
        </w:rPr>
        <w:t xml:space="preserve"> and West</w:t>
      </w:r>
      <w:r w:rsidR="0076751B">
        <w:rPr>
          <w:rStyle w:val="s1"/>
          <w:rFonts w:ascii="Arial" w:hAnsi="Arial" w:cs="Arial"/>
          <w:sz w:val="22"/>
          <w:szCs w:val="22"/>
        </w:rPr>
        <w:t>erlund, 2013)</w:t>
      </w:r>
      <w:r w:rsidRPr="004E1AFA">
        <w:rPr>
          <w:rStyle w:val="s1"/>
          <w:rFonts w:ascii="Arial" w:hAnsi="Arial" w:cs="Arial"/>
          <w:sz w:val="22"/>
          <w:szCs w:val="22"/>
        </w:rPr>
        <w:t>. However, they may also lead to compromises in methodological rigour if participant preferences conflict with standard research protocols</w:t>
      </w:r>
      <w:r w:rsidR="0029578C">
        <w:rPr>
          <w:rStyle w:val="s1"/>
          <w:rFonts w:ascii="Arial" w:hAnsi="Arial" w:cs="Arial"/>
          <w:sz w:val="22"/>
          <w:szCs w:val="22"/>
        </w:rPr>
        <w:t xml:space="preserve"> (Ber</w:t>
      </w:r>
      <w:r w:rsidR="00A72B19">
        <w:rPr>
          <w:rStyle w:val="s1"/>
          <w:rFonts w:ascii="Arial" w:hAnsi="Arial" w:cs="Arial"/>
          <w:sz w:val="22"/>
          <w:szCs w:val="22"/>
        </w:rPr>
        <w:t>gold &amp; Th</w:t>
      </w:r>
      <w:r w:rsidR="00C659E2">
        <w:rPr>
          <w:rStyle w:val="s1"/>
          <w:rFonts w:ascii="Arial" w:hAnsi="Arial" w:cs="Arial"/>
          <w:sz w:val="22"/>
          <w:szCs w:val="22"/>
        </w:rPr>
        <w:t xml:space="preserve">omas, </w:t>
      </w:r>
      <w:r w:rsidR="004C2618">
        <w:rPr>
          <w:rStyle w:val="s1"/>
          <w:rFonts w:ascii="Arial" w:hAnsi="Arial" w:cs="Arial"/>
          <w:sz w:val="22"/>
          <w:szCs w:val="22"/>
        </w:rPr>
        <w:t>2012)</w:t>
      </w:r>
      <w:r w:rsidRPr="004E1AFA">
        <w:rPr>
          <w:rStyle w:val="s1"/>
          <w:rFonts w:ascii="Arial" w:hAnsi="Arial" w:cs="Arial"/>
          <w:sz w:val="22"/>
          <w:szCs w:val="22"/>
        </w:rPr>
        <w:t>.</w:t>
      </w:r>
    </w:p>
    <w:p w14:paraId="27EBB1F0" w14:textId="195A1C36" w:rsidR="00410499" w:rsidRPr="004E1AFA" w:rsidRDefault="00410499" w:rsidP="004E1AFA">
      <w:pPr>
        <w:pStyle w:val="p1"/>
        <w:spacing w:before="30" w:beforeAutospacing="0"/>
        <w:divId w:val="1390153278"/>
        <w:rPr>
          <w:rFonts w:ascii="Arial" w:hAnsi="Arial" w:cs="Arial"/>
          <w:sz w:val="22"/>
          <w:szCs w:val="22"/>
        </w:rPr>
      </w:pPr>
      <w:r w:rsidRPr="004E1AFA">
        <w:rPr>
          <w:rStyle w:val="s1"/>
          <w:rFonts w:ascii="Arial" w:hAnsi="Arial" w:cs="Arial"/>
          <w:sz w:val="22"/>
          <w:szCs w:val="22"/>
        </w:rPr>
        <w:t>Selecting the right design depends on the balance between research aims, practical feasibility, and ethical considerations. Case studies and action research are particularly well suited to insider research because they accommodate the rich, contextual detail and iterative nature of vocal instruction. Longitudinal studies can provide valuable developmental insights, but their feasibility is often constrained by time and resource limitations. Cross-sectional studies offer efficiency but lack temporal depth. Participatory designs can be transformative but require careful negotiation of roles and expectations</w:t>
      </w:r>
      <w:r w:rsidR="00521FF8">
        <w:rPr>
          <w:rStyle w:val="s1"/>
          <w:rFonts w:ascii="Arial" w:hAnsi="Arial" w:cs="Arial"/>
          <w:sz w:val="22"/>
          <w:szCs w:val="22"/>
        </w:rPr>
        <w:t xml:space="preserve"> (Creswell &amp; Creswell</w:t>
      </w:r>
      <w:r w:rsidR="000200C4">
        <w:rPr>
          <w:rStyle w:val="s1"/>
          <w:rFonts w:ascii="Arial" w:hAnsi="Arial" w:cs="Arial"/>
          <w:sz w:val="22"/>
          <w:szCs w:val="22"/>
        </w:rPr>
        <w:t>, 2018)</w:t>
      </w:r>
      <w:r w:rsidRPr="004E1AFA">
        <w:rPr>
          <w:rStyle w:val="s1"/>
          <w:rFonts w:ascii="Arial" w:hAnsi="Arial" w:cs="Arial"/>
          <w:sz w:val="22"/>
          <w:szCs w:val="22"/>
        </w:rPr>
        <w:t>.</w:t>
      </w:r>
    </w:p>
    <w:p w14:paraId="087C89FA" w14:textId="42B06666" w:rsidR="00FF30F9" w:rsidRPr="006D573A" w:rsidRDefault="00FF30F9" w:rsidP="006D573A">
      <w:pPr>
        <w:pStyle w:val="Heading1"/>
        <w:divId w:val="1833596748"/>
        <w:rPr>
          <w:color w:val="000000" w:themeColor="text1"/>
        </w:rPr>
      </w:pPr>
      <w:bookmarkStart w:id="3" w:name="_Toc206086381"/>
      <w:r w:rsidRPr="006D573A">
        <w:rPr>
          <w:rStyle w:val="s1"/>
          <w:rFonts w:ascii="Arial" w:hAnsi="Arial" w:cs="Arial"/>
          <w:b/>
          <w:bCs/>
          <w:color w:val="000000" w:themeColor="text1"/>
          <w:sz w:val="22"/>
          <w:szCs w:val="22"/>
        </w:rPr>
        <w:t>Research Methods for Data Collection and Analysis</w:t>
      </w:r>
      <w:bookmarkEnd w:id="3"/>
    </w:p>
    <w:p w14:paraId="2CC5E841" w14:textId="32C737CE"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The research methods selected must align with both the methodological stance and the research design</w:t>
      </w:r>
      <w:r w:rsidR="006601CE">
        <w:rPr>
          <w:rStyle w:val="s1"/>
          <w:rFonts w:ascii="Arial" w:hAnsi="Arial" w:cs="Arial"/>
          <w:sz w:val="22"/>
          <w:szCs w:val="22"/>
        </w:rPr>
        <w:t xml:space="preserve"> (Crotty, </w:t>
      </w:r>
      <w:r w:rsidR="00F564AB">
        <w:rPr>
          <w:rStyle w:val="s1"/>
          <w:rFonts w:ascii="Arial" w:hAnsi="Arial" w:cs="Arial"/>
          <w:sz w:val="22"/>
          <w:szCs w:val="22"/>
        </w:rPr>
        <w:t>1998)</w:t>
      </w:r>
      <w:r w:rsidRPr="004E1AFA">
        <w:rPr>
          <w:rStyle w:val="s1"/>
          <w:rFonts w:ascii="Arial" w:hAnsi="Arial" w:cs="Arial"/>
          <w:sz w:val="22"/>
          <w:szCs w:val="22"/>
        </w:rPr>
        <w:t>. These methods operationalise the study, turning theoretical intentions into practical steps for gathering and interpreting data. In the vocal teaching context, the choice of methods must consider the embodied nature of singing, learners’ subjective experiences, and the availability of objective performance measures. Crucially, these choices should remain practical within everyday teaching settings</w:t>
      </w:r>
      <w:r w:rsidR="008F14CA">
        <w:rPr>
          <w:rStyle w:val="s1"/>
          <w:rFonts w:ascii="Arial" w:hAnsi="Arial" w:cs="Arial"/>
          <w:sz w:val="22"/>
          <w:szCs w:val="22"/>
        </w:rPr>
        <w:t xml:space="preserve"> (Welch</w:t>
      </w:r>
      <w:r w:rsidR="00BD26DA">
        <w:rPr>
          <w:rStyle w:val="s1"/>
          <w:rFonts w:ascii="Arial" w:hAnsi="Arial" w:cs="Arial"/>
          <w:sz w:val="22"/>
          <w:szCs w:val="22"/>
        </w:rPr>
        <w:t>, Howard &amp; Nix</w:t>
      </w:r>
      <w:r w:rsidR="0061669D">
        <w:rPr>
          <w:rStyle w:val="s1"/>
          <w:rFonts w:ascii="Arial" w:hAnsi="Arial" w:cs="Arial"/>
          <w:sz w:val="22"/>
          <w:szCs w:val="22"/>
        </w:rPr>
        <w:t>, 2019)</w:t>
      </w:r>
      <w:r w:rsidRPr="004E1AFA">
        <w:rPr>
          <w:rStyle w:val="s1"/>
          <w:rFonts w:ascii="Arial" w:hAnsi="Arial" w:cs="Arial"/>
          <w:sz w:val="22"/>
          <w:szCs w:val="22"/>
        </w:rPr>
        <w:t>.</w:t>
      </w:r>
    </w:p>
    <w:p w14:paraId="26C1A9D3" w14:textId="77777777"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Semi-structured interviews are widely used in interpretivist research, enabling exploration of singers’ perceptions, motivations, and challenges. For example, a teacher-researcher examining the impact of visual imagery in teaching breath support might interview students to capture their subjective interpretations of those images. The semi-structured format allows flexibility to probe interesting themes while keeping focus on core research questions (</w:t>
      </w:r>
      <w:proofErr w:type="spellStart"/>
      <w:r w:rsidRPr="004E1AFA">
        <w:rPr>
          <w:rStyle w:val="s1"/>
          <w:rFonts w:ascii="Arial" w:hAnsi="Arial" w:cs="Arial"/>
          <w:sz w:val="22"/>
          <w:szCs w:val="22"/>
        </w:rPr>
        <w:t>Blaxter</w:t>
      </w:r>
      <w:proofErr w:type="spellEnd"/>
      <w:r w:rsidRPr="004E1AFA">
        <w:rPr>
          <w:rStyle w:val="s1"/>
          <w:rFonts w:ascii="Arial" w:hAnsi="Arial" w:cs="Arial"/>
          <w:sz w:val="22"/>
          <w:szCs w:val="22"/>
        </w:rPr>
        <w:t>, Hughes &amp; Tight, 2010).</w:t>
      </w:r>
    </w:p>
    <w:p w14:paraId="7E7EC0F7" w14:textId="7EFA867D" w:rsidR="004E1AFA" w:rsidRDefault="00FF30F9" w:rsidP="004E1AFA">
      <w:pPr>
        <w:pStyle w:val="p1"/>
        <w:spacing w:before="30" w:beforeAutospacing="0"/>
        <w:divId w:val="1833596748"/>
        <w:rPr>
          <w:rStyle w:val="s1"/>
          <w:rFonts w:ascii="Arial" w:hAnsi="Arial" w:cs="Arial"/>
          <w:sz w:val="22"/>
          <w:szCs w:val="22"/>
        </w:rPr>
      </w:pPr>
      <w:r w:rsidRPr="004E1AFA">
        <w:rPr>
          <w:rStyle w:val="s1"/>
          <w:rFonts w:ascii="Arial" w:hAnsi="Arial" w:cs="Arial"/>
          <w:sz w:val="22"/>
          <w:szCs w:val="22"/>
        </w:rPr>
        <w:t xml:space="preserve">Focus groups can be particularly effective when exploring shared experiences among singers, such as strategies for managing </w:t>
      </w:r>
      <w:r w:rsidR="004C5C5C">
        <w:rPr>
          <w:rStyle w:val="s1"/>
          <w:rFonts w:ascii="Arial" w:hAnsi="Arial" w:cs="Arial"/>
          <w:sz w:val="22"/>
          <w:szCs w:val="22"/>
        </w:rPr>
        <w:t>MPA</w:t>
      </w:r>
      <w:r w:rsidRPr="004E1AFA">
        <w:rPr>
          <w:rStyle w:val="s1"/>
          <w:rFonts w:ascii="Arial" w:hAnsi="Arial" w:cs="Arial"/>
          <w:sz w:val="22"/>
          <w:szCs w:val="22"/>
        </w:rPr>
        <w:t>. Group dynamics can spark insights not revealed in one-to-one interviews, though they also risk peer influence on responses</w:t>
      </w:r>
      <w:r w:rsidR="00523BCC">
        <w:rPr>
          <w:rStyle w:val="s1"/>
          <w:rFonts w:ascii="Arial" w:hAnsi="Arial" w:cs="Arial"/>
          <w:sz w:val="22"/>
          <w:szCs w:val="22"/>
        </w:rPr>
        <w:t xml:space="preserve"> (</w:t>
      </w:r>
      <w:r w:rsidR="00B36A54">
        <w:rPr>
          <w:rStyle w:val="s1"/>
          <w:rFonts w:ascii="Arial" w:hAnsi="Arial" w:cs="Arial"/>
          <w:sz w:val="22"/>
          <w:szCs w:val="22"/>
        </w:rPr>
        <w:t>Kru</w:t>
      </w:r>
      <w:r w:rsidR="007049C9">
        <w:rPr>
          <w:rStyle w:val="s1"/>
          <w:rFonts w:ascii="Arial" w:hAnsi="Arial" w:cs="Arial"/>
          <w:sz w:val="22"/>
          <w:szCs w:val="22"/>
        </w:rPr>
        <w:t xml:space="preserve">eger &amp; </w:t>
      </w:r>
      <w:r w:rsidR="0003000A">
        <w:rPr>
          <w:rStyle w:val="s1"/>
          <w:rFonts w:ascii="Arial" w:hAnsi="Arial" w:cs="Arial"/>
          <w:sz w:val="22"/>
          <w:szCs w:val="22"/>
        </w:rPr>
        <w:t>Casey</w:t>
      </w:r>
      <w:r w:rsidR="0049084D">
        <w:rPr>
          <w:rStyle w:val="s1"/>
          <w:rFonts w:ascii="Arial" w:hAnsi="Arial" w:cs="Arial"/>
          <w:sz w:val="22"/>
          <w:szCs w:val="22"/>
        </w:rPr>
        <w:t>, 2014)</w:t>
      </w:r>
      <w:r w:rsidRPr="004E1AFA">
        <w:rPr>
          <w:rStyle w:val="s1"/>
          <w:rFonts w:ascii="Arial" w:hAnsi="Arial" w:cs="Arial"/>
          <w:sz w:val="22"/>
          <w:szCs w:val="22"/>
        </w:rPr>
        <w:t>.</w:t>
      </w:r>
    </w:p>
    <w:p w14:paraId="0E757806" w14:textId="18A17631"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lastRenderedPageBreak/>
        <w:t>Participant observation lets the researcher capture behaviour and interaction in real time. In a studio, this could involve observing singers during ensemble rehearsals, noting how technical instructions are integrated into performance. While valuable for contextual understanding, observation demands careful ethical consideration, particularly regarding consent and the potential for altered behaviour when participants know they are being observed</w:t>
      </w:r>
      <w:r w:rsidR="002F4E55">
        <w:rPr>
          <w:rStyle w:val="s1"/>
          <w:rFonts w:ascii="Arial" w:hAnsi="Arial" w:cs="Arial"/>
          <w:sz w:val="22"/>
          <w:szCs w:val="22"/>
        </w:rPr>
        <w:t xml:space="preserve"> (DeWalt</w:t>
      </w:r>
      <w:r w:rsidR="00027B57">
        <w:rPr>
          <w:rStyle w:val="s1"/>
          <w:rFonts w:ascii="Arial" w:hAnsi="Arial" w:cs="Arial"/>
          <w:sz w:val="22"/>
          <w:szCs w:val="22"/>
        </w:rPr>
        <w:t xml:space="preserve"> &amp; DeWalt</w:t>
      </w:r>
      <w:r w:rsidR="00357824">
        <w:rPr>
          <w:rStyle w:val="s1"/>
          <w:rFonts w:ascii="Arial" w:hAnsi="Arial" w:cs="Arial"/>
          <w:sz w:val="22"/>
          <w:szCs w:val="22"/>
        </w:rPr>
        <w:t>, 2011)</w:t>
      </w:r>
      <w:r w:rsidRPr="004E1AFA">
        <w:rPr>
          <w:rStyle w:val="s1"/>
          <w:rFonts w:ascii="Arial" w:hAnsi="Arial" w:cs="Arial"/>
          <w:sz w:val="22"/>
          <w:szCs w:val="22"/>
        </w:rPr>
        <w:t>.</w:t>
      </w:r>
    </w:p>
    <w:p w14:paraId="0F0A526E" w14:textId="45FC223C"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Reflective journals or practice logs are another rich source of qualitative data. Singers can record their practice routines, technical discoveries, and emotional states over time, offering insight into the learning process between lessons. However, such self-reported data may be affected by recall bias or the desire to please the teacher-researcher</w:t>
      </w:r>
      <w:r w:rsidR="00921FD3">
        <w:rPr>
          <w:rStyle w:val="s1"/>
          <w:rFonts w:ascii="Arial" w:hAnsi="Arial" w:cs="Arial"/>
          <w:sz w:val="22"/>
          <w:szCs w:val="22"/>
        </w:rPr>
        <w:t xml:space="preserve"> (Moon, 2006)</w:t>
      </w:r>
      <w:r w:rsidRPr="004E1AFA">
        <w:rPr>
          <w:rStyle w:val="s1"/>
          <w:rFonts w:ascii="Arial" w:hAnsi="Arial" w:cs="Arial"/>
          <w:sz w:val="22"/>
          <w:szCs w:val="22"/>
        </w:rPr>
        <w:t>.</w:t>
      </w:r>
    </w:p>
    <w:p w14:paraId="68A32956" w14:textId="25FA3236"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In positivist or mixed-methods research, structured questionnaires can quantify attitudes, habits, or self-assessed skills. For example, a Likert-scale survey might measure the perceived usefulness of different warm-up techniques among choral singers</w:t>
      </w:r>
      <w:r w:rsidR="009A1EC3">
        <w:rPr>
          <w:rStyle w:val="s1"/>
          <w:rFonts w:ascii="Arial" w:hAnsi="Arial" w:cs="Arial"/>
          <w:sz w:val="22"/>
          <w:szCs w:val="22"/>
        </w:rPr>
        <w:t xml:space="preserve"> (Likert, </w:t>
      </w:r>
      <w:r w:rsidR="00F7004F">
        <w:rPr>
          <w:rStyle w:val="s1"/>
          <w:rFonts w:ascii="Arial" w:hAnsi="Arial" w:cs="Arial"/>
          <w:sz w:val="22"/>
          <w:szCs w:val="22"/>
        </w:rPr>
        <w:t xml:space="preserve">1932; </w:t>
      </w:r>
      <w:r w:rsidR="00F758FE">
        <w:rPr>
          <w:rStyle w:val="s1"/>
          <w:rFonts w:ascii="Arial" w:hAnsi="Arial" w:cs="Arial"/>
          <w:sz w:val="22"/>
          <w:szCs w:val="22"/>
        </w:rPr>
        <w:t>De</w:t>
      </w:r>
      <w:r w:rsidR="00A37854">
        <w:rPr>
          <w:rStyle w:val="s1"/>
          <w:rFonts w:ascii="Arial" w:hAnsi="Arial" w:cs="Arial"/>
          <w:sz w:val="22"/>
          <w:szCs w:val="22"/>
        </w:rPr>
        <w:t>Vellis</w:t>
      </w:r>
      <w:r w:rsidR="00311217">
        <w:rPr>
          <w:rStyle w:val="s1"/>
          <w:rFonts w:ascii="Arial" w:hAnsi="Arial" w:cs="Arial"/>
          <w:sz w:val="22"/>
          <w:szCs w:val="22"/>
        </w:rPr>
        <w:t xml:space="preserve">, 2017; </w:t>
      </w:r>
      <w:r w:rsidR="00506C6B">
        <w:rPr>
          <w:rStyle w:val="s1"/>
          <w:rFonts w:ascii="Arial" w:hAnsi="Arial" w:cs="Arial"/>
          <w:sz w:val="22"/>
          <w:szCs w:val="22"/>
        </w:rPr>
        <w:t xml:space="preserve">Grady </w:t>
      </w:r>
      <w:r w:rsidR="000A5A8B">
        <w:rPr>
          <w:rStyle w:val="s1"/>
          <w:rFonts w:ascii="Arial" w:hAnsi="Arial" w:cs="Arial"/>
          <w:sz w:val="22"/>
          <w:szCs w:val="22"/>
        </w:rPr>
        <w:t>&amp; Cook</w:t>
      </w:r>
      <w:r w:rsidR="006B4A8A">
        <w:rPr>
          <w:rStyle w:val="s1"/>
          <w:rFonts w:ascii="Arial" w:hAnsi="Arial" w:cs="Arial"/>
          <w:sz w:val="22"/>
          <w:szCs w:val="22"/>
        </w:rPr>
        <w:t xml:space="preserve">-Cunningham, </w:t>
      </w:r>
      <w:r w:rsidR="00B20BC7">
        <w:rPr>
          <w:rStyle w:val="s1"/>
          <w:rFonts w:ascii="Arial" w:hAnsi="Arial" w:cs="Arial"/>
          <w:sz w:val="22"/>
          <w:szCs w:val="22"/>
        </w:rPr>
        <w:t>2020)</w:t>
      </w:r>
      <w:r w:rsidRPr="004E1AFA">
        <w:rPr>
          <w:rStyle w:val="s1"/>
          <w:rFonts w:ascii="Arial" w:hAnsi="Arial" w:cs="Arial"/>
          <w:sz w:val="22"/>
          <w:szCs w:val="22"/>
        </w:rPr>
        <w:t>.</w:t>
      </w:r>
    </w:p>
    <w:p w14:paraId="48B0C9B8" w14:textId="654239EF"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The selection of methods should be driven by the research question, balanced against practical and ethical constraints</w:t>
      </w:r>
      <w:r w:rsidR="006C6C38">
        <w:rPr>
          <w:rStyle w:val="s1"/>
          <w:rFonts w:ascii="Arial" w:hAnsi="Arial" w:cs="Arial"/>
          <w:sz w:val="22"/>
          <w:szCs w:val="22"/>
        </w:rPr>
        <w:t xml:space="preserve"> (Creswell &amp; Creswell, 2018)</w:t>
      </w:r>
      <w:r w:rsidRPr="004E1AFA">
        <w:rPr>
          <w:rStyle w:val="s1"/>
          <w:rFonts w:ascii="Arial" w:hAnsi="Arial" w:cs="Arial"/>
          <w:sz w:val="22"/>
          <w:szCs w:val="22"/>
        </w:rPr>
        <w:t>. If the aim is to understand how singers integrate technical feedback into live performance, qualitative observation and post-performance interviews might be most appropriate. If the goal is to evaluate the measurable effect of a breathing technique, pre- and post-intervention acoustic analysis and physiological measures would be more suitable.</w:t>
      </w:r>
    </w:p>
    <w:p w14:paraId="088DF727" w14:textId="5290036B"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In many cases, triangulation</w:t>
      </w:r>
      <w:r w:rsidR="00D30096">
        <w:rPr>
          <w:rStyle w:val="s1"/>
          <w:rFonts w:ascii="Arial" w:hAnsi="Arial" w:cs="Arial"/>
          <w:sz w:val="22"/>
          <w:szCs w:val="22"/>
        </w:rPr>
        <w:t xml:space="preserve">, </w:t>
      </w:r>
      <w:r w:rsidRPr="004E1AFA">
        <w:rPr>
          <w:rStyle w:val="s1"/>
          <w:rFonts w:ascii="Arial" w:hAnsi="Arial" w:cs="Arial"/>
          <w:sz w:val="22"/>
          <w:szCs w:val="22"/>
        </w:rPr>
        <w:t>using multiple methods</w:t>
      </w:r>
      <w:r w:rsidR="00D30096">
        <w:rPr>
          <w:rStyle w:val="s1"/>
          <w:rFonts w:ascii="Arial" w:hAnsi="Arial" w:cs="Arial"/>
          <w:sz w:val="22"/>
          <w:szCs w:val="22"/>
        </w:rPr>
        <w:t xml:space="preserve">, </w:t>
      </w:r>
      <w:r w:rsidRPr="004E1AFA">
        <w:rPr>
          <w:rStyle w:val="s1"/>
          <w:rFonts w:ascii="Arial" w:hAnsi="Arial" w:cs="Arial"/>
          <w:sz w:val="22"/>
          <w:szCs w:val="22"/>
        </w:rPr>
        <w:t>can enhance the validity of findings</w:t>
      </w:r>
      <w:r w:rsidR="009E3B1F">
        <w:rPr>
          <w:rStyle w:val="s1"/>
          <w:rFonts w:ascii="Arial" w:hAnsi="Arial" w:cs="Arial"/>
          <w:sz w:val="22"/>
          <w:szCs w:val="22"/>
        </w:rPr>
        <w:t xml:space="preserve"> (</w:t>
      </w:r>
      <w:proofErr w:type="spellStart"/>
      <w:r w:rsidR="009E3B1F">
        <w:rPr>
          <w:rStyle w:val="s1"/>
          <w:rFonts w:ascii="Arial" w:hAnsi="Arial" w:cs="Arial"/>
          <w:sz w:val="22"/>
          <w:szCs w:val="22"/>
        </w:rPr>
        <w:t>Jick</w:t>
      </w:r>
      <w:proofErr w:type="spellEnd"/>
      <w:r w:rsidR="009E3B1F">
        <w:rPr>
          <w:rStyle w:val="s1"/>
          <w:rFonts w:ascii="Arial" w:hAnsi="Arial" w:cs="Arial"/>
          <w:sz w:val="22"/>
          <w:szCs w:val="22"/>
        </w:rPr>
        <w:t>, 1979)</w:t>
      </w:r>
      <w:r w:rsidRPr="004E1AFA">
        <w:rPr>
          <w:rStyle w:val="s1"/>
          <w:rFonts w:ascii="Arial" w:hAnsi="Arial" w:cs="Arial"/>
          <w:sz w:val="22"/>
          <w:szCs w:val="22"/>
        </w:rPr>
        <w:t>. A teacher-researcher evaluating a new approach to teaching belting technique might combine acoustic measurements of belt quality, surveys capturing singers’ confidence levels, and interview data exploring their subjective experiences</w:t>
      </w:r>
      <w:r w:rsidR="009568F9">
        <w:rPr>
          <w:rStyle w:val="s1"/>
          <w:rFonts w:ascii="Arial" w:hAnsi="Arial" w:cs="Arial"/>
          <w:sz w:val="22"/>
          <w:szCs w:val="22"/>
        </w:rPr>
        <w:t xml:space="preserve"> </w:t>
      </w:r>
      <w:r w:rsidR="00BC5AB3">
        <w:rPr>
          <w:rStyle w:val="s1"/>
          <w:rFonts w:ascii="Arial" w:hAnsi="Arial" w:cs="Arial"/>
          <w:sz w:val="22"/>
          <w:szCs w:val="22"/>
        </w:rPr>
        <w:t>(Herbst</w:t>
      </w:r>
      <w:r w:rsidR="002E117A">
        <w:rPr>
          <w:rStyle w:val="s1"/>
          <w:rFonts w:ascii="Arial" w:hAnsi="Arial" w:cs="Arial"/>
          <w:sz w:val="22"/>
          <w:szCs w:val="22"/>
        </w:rPr>
        <w:t>, 2023)</w:t>
      </w:r>
      <w:r w:rsidRPr="004E1AFA">
        <w:rPr>
          <w:rStyle w:val="s1"/>
          <w:rFonts w:ascii="Arial" w:hAnsi="Arial" w:cs="Arial"/>
          <w:sz w:val="22"/>
          <w:szCs w:val="22"/>
        </w:rPr>
        <w:t>. This multi-method strategy can reveal both measurable outcomes and the meanings singers attach to them.</w:t>
      </w:r>
    </w:p>
    <w:p w14:paraId="0072E3D6" w14:textId="5E453709"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For qualitative data, thematic analysis (Braun &amp; Clarke, 2006) is frequently employed, allowing the researcher to identify, code, and interpret recurring themes. For instance, themes might emerge around “physical sensation”, “confidence in high range”, or “imagery as a learning tool”. For quantitative data, statistical analysis</w:t>
      </w:r>
      <w:r w:rsidR="00145E72">
        <w:rPr>
          <w:rStyle w:val="s1"/>
          <w:rFonts w:ascii="Arial" w:hAnsi="Arial" w:cs="Arial"/>
          <w:sz w:val="22"/>
          <w:szCs w:val="22"/>
        </w:rPr>
        <w:t xml:space="preserve">, </w:t>
      </w:r>
      <w:r w:rsidRPr="004E1AFA">
        <w:rPr>
          <w:rStyle w:val="s1"/>
          <w:rFonts w:ascii="Arial" w:hAnsi="Arial" w:cs="Arial"/>
          <w:sz w:val="22"/>
          <w:szCs w:val="22"/>
        </w:rPr>
        <w:t>ranging from descriptive statistics to inferential tests</w:t>
      </w:r>
      <w:r w:rsidR="006C5847">
        <w:rPr>
          <w:rStyle w:val="s1"/>
          <w:rFonts w:ascii="Arial" w:hAnsi="Arial" w:cs="Arial"/>
          <w:sz w:val="22"/>
          <w:szCs w:val="22"/>
        </w:rPr>
        <w:t xml:space="preserve">, </w:t>
      </w:r>
      <w:r w:rsidRPr="004E1AFA">
        <w:rPr>
          <w:rStyle w:val="s1"/>
          <w:rFonts w:ascii="Arial" w:hAnsi="Arial" w:cs="Arial"/>
          <w:sz w:val="22"/>
          <w:szCs w:val="22"/>
        </w:rPr>
        <w:t>can identify trends and relationships. In a study, paired-sample t-tests could determine whether improvements in acoustic measures are statistically significant following an intervention.</w:t>
      </w:r>
    </w:p>
    <w:p w14:paraId="255CC4CF" w14:textId="77777777" w:rsidR="00FF30F9" w:rsidRPr="004E1AFA" w:rsidRDefault="00FF30F9" w:rsidP="004E1AFA">
      <w:pPr>
        <w:pStyle w:val="p1"/>
        <w:spacing w:before="30" w:beforeAutospacing="0"/>
        <w:divId w:val="1833596748"/>
        <w:rPr>
          <w:rFonts w:ascii="Arial" w:hAnsi="Arial" w:cs="Arial"/>
          <w:sz w:val="22"/>
          <w:szCs w:val="22"/>
        </w:rPr>
      </w:pPr>
      <w:r w:rsidRPr="004E1AFA">
        <w:rPr>
          <w:rStyle w:val="s1"/>
          <w:rFonts w:ascii="Arial" w:hAnsi="Arial" w:cs="Arial"/>
          <w:sz w:val="22"/>
          <w:szCs w:val="22"/>
        </w:rPr>
        <w:t>Mixed-methods designs require integration of analysis. This might mean comparing statistical improvements in vocal range with thematic patterns from interviews, looking for convergence or divergence in the data.</w:t>
      </w:r>
    </w:p>
    <w:p w14:paraId="52B32788" w14:textId="3E00675F" w:rsidR="00E45856" w:rsidRDefault="00FF30F9" w:rsidP="00E45856">
      <w:pPr>
        <w:pStyle w:val="p1"/>
        <w:spacing w:before="30" w:beforeAutospacing="0"/>
        <w:divId w:val="1833596748"/>
        <w:rPr>
          <w:rStyle w:val="s1"/>
          <w:rFonts w:ascii="Arial" w:hAnsi="Arial" w:cs="Arial"/>
          <w:sz w:val="22"/>
          <w:szCs w:val="22"/>
        </w:rPr>
      </w:pPr>
      <w:r w:rsidRPr="004E1AFA">
        <w:rPr>
          <w:rStyle w:val="s1"/>
          <w:rFonts w:ascii="Arial" w:hAnsi="Arial" w:cs="Arial"/>
          <w:sz w:val="22"/>
          <w:szCs w:val="22"/>
        </w:rPr>
        <w:t>The suitability of a method is determined not only by its technical fit but also by its cultural and relational implications. Methods that feel intrusive</w:t>
      </w:r>
      <w:r w:rsidR="00547FE3">
        <w:rPr>
          <w:rStyle w:val="s1"/>
          <w:rFonts w:ascii="Arial" w:hAnsi="Arial" w:cs="Arial"/>
          <w:sz w:val="22"/>
          <w:szCs w:val="22"/>
        </w:rPr>
        <w:t xml:space="preserve">, </w:t>
      </w:r>
      <w:r w:rsidRPr="004E1AFA">
        <w:rPr>
          <w:rStyle w:val="s1"/>
          <w:rFonts w:ascii="Arial" w:hAnsi="Arial" w:cs="Arial"/>
          <w:sz w:val="22"/>
          <w:szCs w:val="22"/>
        </w:rPr>
        <w:t>such as laryngeal imaging</w:t>
      </w:r>
      <w:r w:rsidR="0094245C">
        <w:rPr>
          <w:rStyle w:val="s1"/>
          <w:rFonts w:ascii="Arial" w:hAnsi="Arial" w:cs="Arial"/>
          <w:sz w:val="22"/>
          <w:szCs w:val="22"/>
        </w:rPr>
        <w:t xml:space="preserve">, </w:t>
      </w:r>
      <w:r w:rsidRPr="004E1AFA">
        <w:rPr>
          <w:rStyle w:val="s1"/>
          <w:rFonts w:ascii="Arial" w:hAnsi="Arial" w:cs="Arial"/>
          <w:sz w:val="22"/>
          <w:szCs w:val="22"/>
        </w:rPr>
        <w:t>may deter participation, while methods that integrate naturally into teaching (like reflective journals) may enhance engagement. Insider researchers must be particularly alert to the possibility of power imbalances affecting the honesty of responses, especially when the teacher is also the assessor</w:t>
      </w:r>
      <w:r w:rsidR="005227EF">
        <w:rPr>
          <w:rStyle w:val="s1"/>
          <w:rFonts w:ascii="Arial" w:hAnsi="Arial" w:cs="Arial"/>
          <w:sz w:val="22"/>
          <w:szCs w:val="22"/>
        </w:rPr>
        <w:t xml:space="preserve"> (</w:t>
      </w:r>
      <w:r w:rsidR="00AD39B4">
        <w:rPr>
          <w:rStyle w:val="s1"/>
          <w:rFonts w:ascii="Arial" w:hAnsi="Arial" w:cs="Arial"/>
          <w:sz w:val="22"/>
          <w:szCs w:val="22"/>
        </w:rPr>
        <w:t>Anne et</w:t>
      </w:r>
      <w:r w:rsidR="00A87DF9">
        <w:rPr>
          <w:rStyle w:val="s1"/>
          <w:rFonts w:ascii="Arial" w:hAnsi="Arial" w:cs="Arial"/>
          <w:sz w:val="22"/>
          <w:szCs w:val="22"/>
        </w:rPr>
        <w:t xml:space="preserve"> </w:t>
      </w:r>
      <w:r w:rsidR="00AD39B4">
        <w:rPr>
          <w:rStyle w:val="s1"/>
          <w:rFonts w:ascii="Arial" w:hAnsi="Arial" w:cs="Arial"/>
          <w:sz w:val="22"/>
          <w:szCs w:val="22"/>
        </w:rPr>
        <w:t>e</w:t>
      </w:r>
      <w:r w:rsidR="00A87DF9">
        <w:rPr>
          <w:rStyle w:val="s1"/>
          <w:rFonts w:ascii="Arial" w:hAnsi="Arial" w:cs="Arial"/>
          <w:sz w:val="22"/>
          <w:szCs w:val="22"/>
        </w:rPr>
        <w:t>l</w:t>
      </w:r>
      <w:r w:rsidR="00AC0EF4">
        <w:rPr>
          <w:rStyle w:val="s1"/>
          <w:rFonts w:ascii="Arial" w:hAnsi="Arial" w:cs="Arial"/>
          <w:sz w:val="22"/>
          <w:szCs w:val="22"/>
        </w:rPr>
        <w:t xml:space="preserve">.,2010; </w:t>
      </w:r>
      <w:r w:rsidR="005227EF">
        <w:rPr>
          <w:rStyle w:val="s1"/>
          <w:rFonts w:ascii="Arial" w:hAnsi="Arial" w:cs="Arial"/>
          <w:sz w:val="22"/>
          <w:szCs w:val="22"/>
        </w:rPr>
        <w:t xml:space="preserve">Anyon, </w:t>
      </w:r>
      <w:r w:rsidR="00E32951">
        <w:rPr>
          <w:rStyle w:val="s1"/>
          <w:rFonts w:ascii="Arial" w:hAnsi="Arial" w:cs="Arial"/>
          <w:sz w:val="22"/>
          <w:szCs w:val="22"/>
        </w:rPr>
        <w:t>2013</w:t>
      </w:r>
      <w:r w:rsidR="00E460C1">
        <w:rPr>
          <w:rStyle w:val="s1"/>
          <w:rFonts w:ascii="Arial" w:hAnsi="Arial" w:cs="Arial"/>
          <w:sz w:val="22"/>
          <w:szCs w:val="22"/>
        </w:rPr>
        <w:t>)</w:t>
      </w:r>
      <w:r w:rsidRPr="004E1AFA">
        <w:rPr>
          <w:rStyle w:val="s1"/>
          <w:rFonts w:ascii="Arial" w:hAnsi="Arial" w:cs="Arial"/>
          <w:sz w:val="22"/>
          <w:szCs w:val="22"/>
        </w:rPr>
        <w:t>.</w:t>
      </w:r>
    </w:p>
    <w:p w14:paraId="49C28BB3" w14:textId="77777777" w:rsidR="00E45856" w:rsidRPr="00E45856" w:rsidRDefault="00E45856" w:rsidP="00E45856">
      <w:pPr>
        <w:pStyle w:val="p1"/>
        <w:spacing w:before="30" w:beforeAutospacing="0"/>
        <w:divId w:val="1833596748"/>
        <w:rPr>
          <w:rStyle w:val="s1"/>
          <w:rFonts w:ascii="Arial" w:hAnsi="Arial" w:cs="Arial"/>
          <w:sz w:val="22"/>
          <w:szCs w:val="22"/>
        </w:rPr>
      </w:pPr>
    </w:p>
    <w:p w14:paraId="5D15ED87" w14:textId="071BDB27" w:rsidR="00C920D1" w:rsidRPr="006D573A" w:rsidRDefault="00C920D1" w:rsidP="006D573A">
      <w:pPr>
        <w:pStyle w:val="Heading1"/>
        <w:divId w:val="839396049"/>
        <w:rPr>
          <w:color w:val="000000" w:themeColor="text1"/>
        </w:rPr>
      </w:pPr>
      <w:bookmarkStart w:id="4" w:name="_Toc206086382"/>
      <w:r w:rsidRPr="006D573A">
        <w:rPr>
          <w:rStyle w:val="s1"/>
          <w:rFonts w:ascii="Arial" w:hAnsi="Arial" w:cs="Arial"/>
          <w:b/>
          <w:bCs/>
          <w:color w:val="000000" w:themeColor="text1"/>
          <w:sz w:val="22"/>
          <w:szCs w:val="22"/>
        </w:rPr>
        <w:lastRenderedPageBreak/>
        <w:t>Ethical Considerations in Work-Based Research</w:t>
      </w:r>
      <w:bookmarkEnd w:id="4"/>
    </w:p>
    <w:p w14:paraId="77D3EED9" w14:textId="0F66F7C9" w:rsidR="00C920D1" w:rsidRPr="004E1AFA" w:rsidRDefault="00C920D1" w:rsidP="004E1AFA">
      <w:pPr>
        <w:pStyle w:val="p1"/>
        <w:spacing w:before="30" w:beforeAutospacing="0"/>
        <w:divId w:val="839396049"/>
        <w:rPr>
          <w:rFonts w:ascii="Arial" w:hAnsi="Arial" w:cs="Arial"/>
          <w:sz w:val="22"/>
          <w:szCs w:val="22"/>
        </w:rPr>
      </w:pPr>
      <w:r w:rsidRPr="004E1AFA">
        <w:rPr>
          <w:rStyle w:val="s1"/>
          <w:rFonts w:ascii="Arial" w:hAnsi="Arial" w:cs="Arial"/>
          <w:sz w:val="22"/>
          <w:szCs w:val="22"/>
        </w:rPr>
        <w:t>Ethics are a fundamental concern in all research, but they carry heightened importance in work-based contexts where professional relationships already exist between researcher and participant. For a teacher-researcher, ethical considerations go beyond formal compliance with institutional requirements; they also involve maintaining trust, safeguarding well-being, and respecting the artistic integrity of participants. The University of Wales Trinity Saint David’s Research Ethics and Integrity Code of Practice offers a framework to ensure research is conducted with honesty, rigour, and respect for participants’ rights</w:t>
      </w:r>
      <w:r w:rsidR="00EC58ED">
        <w:rPr>
          <w:rStyle w:val="s1"/>
          <w:rFonts w:ascii="Arial" w:hAnsi="Arial" w:cs="Arial"/>
          <w:sz w:val="22"/>
          <w:szCs w:val="22"/>
        </w:rPr>
        <w:t xml:space="preserve"> (Uni</w:t>
      </w:r>
      <w:r w:rsidR="00581006">
        <w:rPr>
          <w:rStyle w:val="s1"/>
          <w:rFonts w:ascii="Arial" w:hAnsi="Arial" w:cs="Arial"/>
          <w:sz w:val="22"/>
          <w:szCs w:val="22"/>
        </w:rPr>
        <w:t xml:space="preserve">versity </w:t>
      </w:r>
      <w:r w:rsidR="00CE6587">
        <w:rPr>
          <w:rStyle w:val="s1"/>
          <w:rFonts w:ascii="Arial" w:hAnsi="Arial" w:cs="Arial"/>
          <w:sz w:val="22"/>
          <w:szCs w:val="22"/>
        </w:rPr>
        <w:t xml:space="preserve">of Wales </w:t>
      </w:r>
      <w:r w:rsidR="00707332">
        <w:rPr>
          <w:rStyle w:val="s1"/>
          <w:rFonts w:ascii="Arial" w:hAnsi="Arial" w:cs="Arial"/>
          <w:sz w:val="22"/>
          <w:szCs w:val="22"/>
        </w:rPr>
        <w:t xml:space="preserve">Trinity </w:t>
      </w:r>
      <w:r w:rsidR="003C31D8">
        <w:rPr>
          <w:rStyle w:val="s1"/>
          <w:rFonts w:ascii="Arial" w:hAnsi="Arial" w:cs="Arial"/>
          <w:sz w:val="22"/>
          <w:szCs w:val="22"/>
        </w:rPr>
        <w:t xml:space="preserve">Saint David, </w:t>
      </w:r>
      <w:r w:rsidR="005969FF">
        <w:rPr>
          <w:rStyle w:val="s1"/>
          <w:rFonts w:ascii="Arial" w:hAnsi="Arial" w:cs="Arial"/>
          <w:sz w:val="22"/>
          <w:szCs w:val="22"/>
        </w:rPr>
        <w:t xml:space="preserve">2022; </w:t>
      </w:r>
      <w:r w:rsidR="00CC0890">
        <w:rPr>
          <w:rStyle w:val="s1"/>
          <w:rFonts w:ascii="Arial" w:hAnsi="Arial" w:cs="Arial"/>
          <w:sz w:val="22"/>
          <w:szCs w:val="22"/>
        </w:rPr>
        <w:t xml:space="preserve">Dwyer &amp; Buckle, </w:t>
      </w:r>
      <w:r w:rsidR="00937B19">
        <w:rPr>
          <w:rStyle w:val="s1"/>
          <w:rFonts w:ascii="Arial" w:hAnsi="Arial" w:cs="Arial"/>
          <w:sz w:val="22"/>
          <w:szCs w:val="22"/>
        </w:rPr>
        <w:t>2009)</w:t>
      </w:r>
      <w:r w:rsidRPr="004E1AFA">
        <w:rPr>
          <w:rStyle w:val="s1"/>
          <w:rFonts w:ascii="Arial" w:hAnsi="Arial" w:cs="Arial"/>
          <w:sz w:val="22"/>
          <w:szCs w:val="22"/>
        </w:rPr>
        <w:t>.</w:t>
      </w:r>
    </w:p>
    <w:p w14:paraId="187EFC76" w14:textId="77777777" w:rsidR="00C920D1" w:rsidRPr="004E1AFA" w:rsidRDefault="00C920D1" w:rsidP="004E1AFA">
      <w:pPr>
        <w:pStyle w:val="p1"/>
        <w:spacing w:before="30" w:beforeAutospacing="0"/>
        <w:divId w:val="839396049"/>
        <w:rPr>
          <w:rFonts w:ascii="Arial" w:hAnsi="Arial" w:cs="Arial"/>
          <w:sz w:val="22"/>
          <w:szCs w:val="22"/>
        </w:rPr>
      </w:pPr>
      <w:r w:rsidRPr="004E1AFA">
        <w:rPr>
          <w:rStyle w:val="s1"/>
          <w:rFonts w:ascii="Arial" w:hAnsi="Arial" w:cs="Arial"/>
          <w:sz w:val="22"/>
          <w:szCs w:val="22"/>
        </w:rPr>
        <w:t>One of the primary ethical challenges is informed consent. Singers must clearly understand what participation involves, including how lesson recordings, performance videos, or physiological measurements may be used. Consent should be ongoing, allowing participants to withdraw at any stage without penalty or impact on their studies (Gray, 2004). When the researcher is also the teacher, students may feel pressure to participate; this makes it essential to communicate that participation is voluntary and unrelated to assessment outcomes.</w:t>
      </w:r>
    </w:p>
    <w:p w14:paraId="78CE27DC" w14:textId="2D68A8BD" w:rsidR="00C920D1" w:rsidRPr="004E1AFA" w:rsidRDefault="00C920D1" w:rsidP="004E1AFA">
      <w:pPr>
        <w:pStyle w:val="p1"/>
        <w:spacing w:before="30" w:beforeAutospacing="0"/>
        <w:divId w:val="839396049"/>
        <w:rPr>
          <w:rFonts w:ascii="Arial" w:hAnsi="Arial" w:cs="Arial"/>
          <w:sz w:val="22"/>
          <w:szCs w:val="22"/>
        </w:rPr>
      </w:pPr>
      <w:r w:rsidRPr="004E1AFA">
        <w:rPr>
          <w:rStyle w:val="s1"/>
          <w:rFonts w:ascii="Arial" w:hAnsi="Arial" w:cs="Arial"/>
          <w:sz w:val="22"/>
          <w:szCs w:val="22"/>
        </w:rPr>
        <w:t>Confidentiality and anonymity are equally critical, particularly in close-knit music education communities where reputations and performance opportunities can be sensitive. Even with anonymisation, distinctive vocal qualities or specific repertoire choices may inadvertently reveal a singer’s identity. Strategies such as altering identifying details in transcripts or limiting public access to recordings can help mitigate this risk</w:t>
      </w:r>
      <w:r w:rsidR="001110E3">
        <w:rPr>
          <w:rStyle w:val="s1"/>
          <w:rFonts w:ascii="Arial" w:hAnsi="Arial" w:cs="Arial"/>
          <w:sz w:val="22"/>
          <w:szCs w:val="22"/>
        </w:rPr>
        <w:t xml:space="preserve"> (Kaiser, 2009)</w:t>
      </w:r>
      <w:r w:rsidRPr="004E1AFA">
        <w:rPr>
          <w:rStyle w:val="s1"/>
          <w:rFonts w:ascii="Arial" w:hAnsi="Arial" w:cs="Arial"/>
          <w:sz w:val="22"/>
          <w:szCs w:val="22"/>
        </w:rPr>
        <w:t>.</w:t>
      </w:r>
    </w:p>
    <w:p w14:paraId="728FDC21" w14:textId="72A27731" w:rsidR="00C920D1" w:rsidRPr="004E1AFA" w:rsidRDefault="00C920D1" w:rsidP="004E1AFA">
      <w:pPr>
        <w:pStyle w:val="p1"/>
        <w:spacing w:before="30" w:beforeAutospacing="0"/>
        <w:divId w:val="839396049"/>
        <w:rPr>
          <w:rFonts w:ascii="Arial" w:hAnsi="Arial" w:cs="Arial"/>
          <w:sz w:val="22"/>
          <w:szCs w:val="22"/>
        </w:rPr>
      </w:pPr>
      <w:r w:rsidRPr="004E1AFA">
        <w:rPr>
          <w:rStyle w:val="s1"/>
          <w:rFonts w:ascii="Arial" w:hAnsi="Arial" w:cs="Arial"/>
          <w:sz w:val="22"/>
          <w:szCs w:val="22"/>
        </w:rPr>
        <w:t>The physical and psychological well-being of participants must be protected</w:t>
      </w:r>
      <w:r w:rsidR="00CA420E">
        <w:rPr>
          <w:rStyle w:val="s1"/>
          <w:rFonts w:ascii="Arial" w:hAnsi="Arial" w:cs="Arial"/>
          <w:sz w:val="22"/>
          <w:szCs w:val="22"/>
        </w:rPr>
        <w:t xml:space="preserve"> (BERA, </w:t>
      </w:r>
      <w:r w:rsidR="007F3340">
        <w:rPr>
          <w:rStyle w:val="s1"/>
          <w:rFonts w:ascii="Arial" w:hAnsi="Arial" w:cs="Arial"/>
          <w:sz w:val="22"/>
          <w:szCs w:val="22"/>
        </w:rPr>
        <w:t>2024)</w:t>
      </w:r>
      <w:r w:rsidRPr="004E1AFA">
        <w:rPr>
          <w:rStyle w:val="s1"/>
          <w:rFonts w:ascii="Arial" w:hAnsi="Arial" w:cs="Arial"/>
          <w:sz w:val="22"/>
          <w:szCs w:val="22"/>
        </w:rPr>
        <w:t xml:space="preserve">. Research may involve fatiguing exercises, the use of medical imaging equipment, or discussion of emotionally charged topics such as </w:t>
      </w:r>
      <w:r w:rsidR="005E6AD3">
        <w:rPr>
          <w:rStyle w:val="s1"/>
          <w:rFonts w:ascii="Arial" w:hAnsi="Arial" w:cs="Arial"/>
          <w:sz w:val="22"/>
          <w:szCs w:val="22"/>
        </w:rPr>
        <w:t>MPA</w:t>
      </w:r>
      <w:r w:rsidRPr="004E1AFA">
        <w:rPr>
          <w:rStyle w:val="s1"/>
          <w:rFonts w:ascii="Arial" w:hAnsi="Arial" w:cs="Arial"/>
          <w:sz w:val="22"/>
          <w:szCs w:val="22"/>
        </w:rPr>
        <w:t xml:space="preserve"> or injury</w:t>
      </w:r>
      <w:r w:rsidR="00504C4F">
        <w:rPr>
          <w:rStyle w:val="s1"/>
          <w:rFonts w:ascii="Arial" w:hAnsi="Arial" w:cs="Arial"/>
          <w:sz w:val="22"/>
          <w:szCs w:val="22"/>
        </w:rPr>
        <w:t xml:space="preserve"> (Kenny, </w:t>
      </w:r>
      <w:r w:rsidR="00AD652F">
        <w:rPr>
          <w:rStyle w:val="s1"/>
          <w:rFonts w:ascii="Arial" w:hAnsi="Arial" w:cs="Arial"/>
          <w:sz w:val="22"/>
          <w:szCs w:val="22"/>
        </w:rPr>
        <w:t>2011)</w:t>
      </w:r>
      <w:r w:rsidRPr="004E1AFA">
        <w:rPr>
          <w:rStyle w:val="s1"/>
          <w:rFonts w:ascii="Arial" w:hAnsi="Arial" w:cs="Arial"/>
          <w:sz w:val="22"/>
          <w:szCs w:val="22"/>
        </w:rPr>
        <w:t>. Teachers must ensure participation does not cause undue strain and that appropriate support is available if sensitive issues arise.</w:t>
      </w:r>
    </w:p>
    <w:p w14:paraId="64AE88F3" w14:textId="665A5060" w:rsidR="00C920D1" w:rsidRPr="004E1AFA" w:rsidRDefault="00C920D1" w:rsidP="004E1AFA">
      <w:pPr>
        <w:pStyle w:val="p1"/>
        <w:spacing w:before="30" w:beforeAutospacing="0"/>
        <w:divId w:val="839396049"/>
        <w:rPr>
          <w:rFonts w:ascii="Arial" w:hAnsi="Arial" w:cs="Arial"/>
          <w:sz w:val="22"/>
          <w:szCs w:val="22"/>
        </w:rPr>
      </w:pPr>
      <w:r w:rsidRPr="004E1AFA">
        <w:rPr>
          <w:rStyle w:val="s1"/>
          <w:rFonts w:ascii="Arial" w:hAnsi="Arial" w:cs="Arial"/>
          <w:sz w:val="22"/>
          <w:szCs w:val="22"/>
        </w:rPr>
        <w:t>Finally, data protection must comply with relevant legislation (e.g., GDPR), ensuring recordings, survey responses, and analytical data are securely stored and accessible only to authorised personnel. This is especially important when handling high-quality audio or video files, which are easily shareable yet potentially identifiable</w:t>
      </w:r>
      <w:r w:rsidR="009D0F4A">
        <w:rPr>
          <w:rStyle w:val="s1"/>
          <w:rFonts w:ascii="Arial" w:hAnsi="Arial" w:cs="Arial"/>
          <w:sz w:val="22"/>
          <w:szCs w:val="22"/>
        </w:rPr>
        <w:t xml:space="preserve"> (</w:t>
      </w:r>
      <w:r w:rsidR="000F686E">
        <w:rPr>
          <w:rStyle w:val="s1"/>
          <w:rFonts w:ascii="Arial" w:hAnsi="Arial" w:cs="Arial"/>
          <w:sz w:val="22"/>
          <w:szCs w:val="22"/>
        </w:rPr>
        <w:t>European Union, 2016)</w:t>
      </w:r>
      <w:r w:rsidRPr="004E1AFA">
        <w:rPr>
          <w:rStyle w:val="s1"/>
          <w:rFonts w:ascii="Arial" w:hAnsi="Arial" w:cs="Arial"/>
          <w:sz w:val="22"/>
          <w:szCs w:val="22"/>
        </w:rPr>
        <w:t>.</w:t>
      </w:r>
    </w:p>
    <w:p w14:paraId="3733BD44" w14:textId="715D003F" w:rsidR="006D573A" w:rsidRDefault="00C920D1" w:rsidP="00300BC7">
      <w:pPr>
        <w:pStyle w:val="p1"/>
        <w:spacing w:before="30" w:beforeAutospacing="0"/>
        <w:divId w:val="839396049"/>
        <w:rPr>
          <w:rStyle w:val="s1"/>
          <w:rFonts w:ascii="Arial" w:hAnsi="Arial" w:cs="Arial"/>
          <w:sz w:val="22"/>
          <w:szCs w:val="22"/>
        </w:rPr>
      </w:pPr>
      <w:r w:rsidRPr="004E1AFA">
        <w:rPr>
          <w:rStyle w:val="s1"/>
          <w:rFonts w:ascii="Arial" w:hAnsi="Arial" w:cs="Arial"/>
          <w:sz w:val="22"/>
          <w:szCs w:val="22"/>
        </w:rPr>
        <w:t>Ethical rigour not only protects participants but also strengthens the credibility and trustworthiness of the findings. For insider researchers, maintaining this rigour calls for heightened reflexivity and transparency, recognising that overlapping roles of teacher and researcher can blur boundaries and increase the risk of ethical missteps.</w:t>
      </w:r>
    </w:p>
    <w:p w14:paraId="0912B903" w14:textId="77777777" w:rsidR="004F68C8" w:rsidRDefault="004F68C8" w:rsidP="00300BC7">
      <w:pPr>
        <w:pStyle w:val="p1"/>
        <w:spacing w:before="30" w:beforeAutospacing="0"/>
        <w:divId w:val="839396049"/>
        <w:rPr>
          <w:rStyle w:val="s1"/>
          <w:rFonts w:ascii="Arial" w:hAnsi="Arial" w:cs="Arial"/>
          <w:sz w:val="22"/>
          <w:szCs w:val="22"/>
        </w:rPr>
      </w:pPr>
    </w:p>
    <w:p w14:paraId="33C30AB3" w14:textId="0EA1D682" w:rsidR="004C2C7A" w:rsidRPr="006D573A" w:rsidRDefault="004C2C7A" w:rsidP="006D573A">
      <w:pPr>
        <w:pStyle w:val="Heading1"/>
        <w:divId w:val="1860853311"/>
        <w:rPr>
          <w:color w:val="000000" w:themeColor="text1"/>
        </w:rPr>
      </w:pPr>
      <w:bookmarkStart w:id="5" w:name="_Toc206086383"/>
      <w:r w:rsidRPr="006D573A">
        <w:rPr>
          <w:rStyle w:val="s1"/>
          <w:rFonts w:ascii="Arial" w:hAnsi="Arial" w:cs="Arial"/>
          <w:b/>
          <w:bCs/>
          <w:color w:val="000000" w:themeColor="text1"/>
          <w:sz w:val="22"/>
          <w:szCs w:val="22"/>
        </w:rPr>
        <w:t>The Challenges and Dynamics of Insider Research</w:t>
      </w:r>
      <w:bookmarkEnd w:id="5"/>
    </w:p>
    <w:p w14:paraId="73DB355F" w14:textId="6D6DB2AE" w:rsidR="004C2C7A" w:rsidRPr="004E1AFA" w:rsidRDefault="004C2C7A" w:rsidP="004E1AFA">
      <w:pPr>
        <w:pStyle w:val="p1"/>
        <w:spacing w:before="30" w:beforeAutospacing="0"/>
        <w:divId w:val="1860853311"/>
        <w:rPr>
          <w:rFonts w:ascii="Arial" w:hAnsi="Arial" w:cs="Arial"/>
          <w:sz w:val="22"/>
          <w:szCs w:val="22"/>
        </w:rPr>
      </w:pPr>
      <w:r w:rsidRPr="004E1AFA">
        <w:rPr>
          <w:rStyle w:val="s1"/>
          <w:rFonts w:ascii="Arial" w:hAnsi="Arial" w:cs="Arial"/>
          <w:sz w:val="22"/>
          <w:szCs w:val="22"/>
        </w:rPr>
        <w:t>Insider research happens when the researcher is already part of the setting under study, sharing a professional role, organisational membership, or close working ties with participants (Costley, Elliott &amp; Gibbs, 2012). For a teacher-researcher, this usually means studying their own students, colleagues, or ensemble members. While insider status can bring clear advantages, it also introduces methodological and ethical complexities that must be handled with particular care throughout.</w:t>
      </w:r>
    </w:p>
    <w:p w14:paraId="3B9B6AD5" w14:textId="40CEC3AF" w:rsidR="004C2C7A" w:rsidRPr="004E1AFA" w:rsidRDefault="004C2C7A" w:rsidP="004E1AFA">
      <w:pPr>
        <w:pStyle w:val="p1"/>
        <w:spacing w:before="30" w:beforeAutospacing="0"/>
        <w:divId w:val="1860853311"/>
        <w:rPr>
          <w:rFonts w:ascii="Arial" w:hAnsi="Arial" w:cs="Arial"/>
          <w:sz w:val="22"/>
          <w:szCs w:val="22"/>
        </w:rPr>
      </w:pPr>
      <w:r w:rsidRPr="004E1AFA">
        <w:rPr>
          <w:rStyle w:val="s1"/>
          <w:rFonts w:ascii="Arial" w:hAnsi="Arial" w:cs="Arial"/>
          <w:sz w:val="22"/>
          <w:szCs w:val="22"/>
        </w:rPr>
        <w:t xml:space="preserve">A major benefit is enhanced access. As an established member of the teaching environment, the researcher will often find it far easier to recruit participants, schedule data collection around existing lessons, and secure permission to record or observe </w:t>
      </w:r>
      <w:r w:rsidRPr="004E1AFA">
        <w:rPr>
          <w:rStyle w:val="s1"/>
          <w:rFonts w:ascii="Arial" w:hAnsi="Arial" w:cs="Arial"/>
          <w:sz w:val="22"/>
          <w:szCs w:val="22"/>
        </w:rPr>
        <w:lastRenderedPageBreak/>
        <w:t>performances. In addition, contextual familiarity</w:t>
      </w:r>
      <w:r w:rsidR="00953B3E">
        <w:rPr>
          <w:rStyle w:val="s1"/>
          <w:rFonts w:ascii="Arial" w:hAnsi="Arial" w:cs="Arial"/>
          <w:sz w:val="22"/>
          <w:szCs w:val="22"/>
        </w:rPr>
        <w:t xml:space="preserve">, </w:t>
      </w:r>
      <w:r w:rsidRPr="004E1AFA">
        <w:rPr>
          <w:rStyle w:val="s1"/>
          <w:rFonts w:ascii="Arial" w:hAnsi="Arial" w:cs="Arial"/>
          <w:sz w:val="22"/>
          <w:szCs w:val="22"/>
        </w:rPr>
        <w:t>knowing the institutional culture, pedagogical norms, and student expectations</w:t>
      </w:r>
      <w:r w:rsidR="001D77C8">
        <w:rPr>
          <w:rStyle w:val="s1"/>
          <w:rFonts w:ascii="Arial" w:hAnsi="Arial" w:cs="Arial"/>
          <w:sz w:val="22"/>
          <w:szCs w:val="22"/>
        </w:rPr>
        <w:t xml:space="preserve">, </w:t>
      </w:r>
      <w:r w:rsidRPr="004E1AFA">
        <w:rPr>
          <w:rStyle w:val="s1"/>
          <w:rFonts w:ascii="Arial" w:hAnsi="Arial" w:cs="Arial"/>
          <w:sz w:val="22"/>
          <w:szCs w:val="22"/>
        </w:rPr>
        <w:t>can aid a more accurate interpretation of data and help identify subtle patterns in behaviour or vocal development</w:t>
      </w:r>
      <w:r w:rsidR="00F87178">
        <w:rPr>
          <w:rStyle w:val="s1"/>
          <w:rFonts w:ascii="Arial" w:hAnsi="Arial" w:cs="Arial"/>
          <w:sz w:val="22"/>
          <w:szCs w:val="22"/>
        </w:rPr>
        <w:t xml:space="preserve"> (Dwyer &amp; Buckle, </w:t>
      </w:r>
      <w:r w:rsidR="00DE6A5A">
        <w:rPr>
          <w:rStyle w:val="s1"/>
          <w:rFonts w:ascii="Arial" w:hAnsi="Arial" w:cs="Arial"/>
          <w:sz w:val="22"/>
          <w:szCs w:val="22"/>
        </w:rPr>
        <w:t>2009)</w:t>
      </w:r>
      <w:r w:rsidRPr="004E1AFA">
        <w:rPr>
          <w:rStyle w:val="s1"/>
          <w:rFonts w:ascii="Arial" w:hAnsi="Arial" w:cs="Arial"/>
          <w:sz w:val="22"/>
          <w:szCs w:val="22"/>
        </w:rPr>
        <w:t>.</w:t>
      </w:r>
    </w:p>
    <w:p w14:paraId="5B6A1EF7" w14:textId="0D47784E" w:rsidR="004C2C7A" w:rsidRPr="004E1AFA" w:rsidRDefault="004C2C7A" w:rsidP="006D573A">
      <w:pPr>
        <w:pStyle w:val="p1"/>
        <w:spacing w:before="30" w:beforeAutospacing="0"/>
        <w:divId w:val="1860853311"/>
        <w:rPr>
          <w:rFonts w:ascii="Arial" w:hAnsi="Arial" w:cs="Arial"/>
          <w:sz w:val="22"/>
          <w:szCs w:val="22"/>
        </w:rPr>
      </w:pPr>
      <w:r w:rsidRPr="004E1AFA">
        <w:rPr>
          <w:rStyle w:val="s1"/>
          <w:rFonts w:ascii="Arial" w:hAnsi="Arial" w:cs="Arial"/>
          <w:sz w:val="22"/>
          <w:szCs w:val="22"/>
        </w:rPr>
        <w:t>Yet insider research also brings challenges. Role duality can create tension between the responsibilities of a teacher and the impartiality expected of a researcher. Students may change their behaviour or feedback to please the teacher, while the teacher’s prior perceptions of students’ abilities can unintentionally shape data interpretation. This is particularly pertinent where progress is judged subjectively and the teacher’s input may directly influence performance</w:t>
      </w:r>
      <w:r w:rsidR="007F66C1">
        <w:rPr>
          <w:rStyle w:val="s1"/>
          <w:rFonts w:ascii="Arial" w:hAnsi="Arial" w:cs="Arial"/>
          <w:sz w:val="22"/>
          <w:szCs w:val="22"/>
        </w:rPr>
        <w:t xml:space="preserve"> (Mercer, 2007)</w:t>
      </w:r>
      <w:r w:rsidRPr="004E1AFA">
        <w:rPr>
          <w:rStyle w:val="s1"/>
          <w:rFonts w:ascii="Arial" w:hAnsi="Arial" w:cs="Arial"/>
          <w:sz w:val="22"/>
          <w:szCs w:val="22"/>
        </w:rPr>
        <w:t>.</w:t>
      </w:r>
      <w:r w:rsidR="007F66C1">
        <w:rPr>
          <w:rStyle w:val="s1"/>
          <w:rFonts w:ascii="Arial" w:hAnsi="Arial" w:cs="Arial"/>
          <w:sz w:val="22"/>
          <w:szCs w:val="22"/>
        </w:rPr>
        <w:t xml:space="preserve"> </w:t>
      </w:r>
    </w:p>
    <w:p w14:paraId="67FAB65E" w14:textId="7FC0E5A4" w:rsidR="004C2C7A" w:rsidRPr="004E1AFA" w:rsidRDefault="004C2C7A" w:rsidP="004E1AFA">
      <w:pPr>
        <w:pStyle w:val="p1"/>
        <w:spacing w:before="30" w:beforeAutospacing="0"/>
        <w:divId w:val="1860853311"/>
        <w:rPr>
          <w:rFonts w:ascii="Arial" w:hAnsi="Arial" w:cs="Arial"/>
          <w:sz w:val="22"/>
          <w:szCs w:val="22"/>
        </w:rPr>
      </w:pPr>
      <w:r w:rsidRPr="004E1AFA">
        <w:rPr>
          <w:rStyle w:val="s1"/>
          <w:rFonts w:ascii="Arial" w:hAnsi="Arial" w:cs="Arial"/>
          <w:sz w:val="22"/>
          <w:szCs w:val="22"/>
        </w:rPr>
        <w:t>Bias is another significant risk. Insider researchers must remain vigilant against confirmation bias</w:t>
      </w:r>
      <w:r w:rsidR="0054076D">
        <w:rPr>
          <w:rStyle w:val="s1"/>
          <w:rFonts w:ascii="Arial" w:hAnsi="Arial" w:cs="Arial"/>
          <w:sz w:val="22"/>
          <w:szCs w:val="22"/>
        </w:rPr>
        <w:t xml:space="preserve">, </w:t>
      </w:r>
      <w:r w:rsidRPr="004E1AFA">
        <w:rPr>
          <w:rStyle w:val="s1"/>
          <w:rFonts w:ascii="Arial" w:hAnsi="Arial" w:cs="Arial"/>
          <w:sz w:val="22"/>
          <w:szCs w:val="22"/>
        </w:rPr>
        <w:t>seeking evidence that supports pre-existing beliefs about particular teaching methods</w:t>
      </w:r>
      <w:r w:rsidR="004B172B">
        <w:rPr>
          <w:rStyle w:val="s1"/>
          <w:rFonts w:ascii="Arial" w:hAnsi="Arial" w:cs="Arial"/>
          <w:sz w:val="22"/>
          <w:szCs w:val="22"/>
        </w:rPr>
        <w:t xml:space="preserve">, </w:t>
      </w:r>
      <w:r w:rsidRPr="004E1AFA">
        <w:rPr>
          <w:rStyle w:val="s1"/>
          <w:rFonts w:ascii="Arial" w:hAnsi="Arial" w:cs="Arial"/>
          <w:sz w:val="22"/>
          <w:szCs w:val="22"/>
        </w:rPr>
        <w:t>and must actively look for disconfirming data. Confidentiality also becomes more complicated; in a small studio or performance department, even anonymised case studies may be recognisable to peers owing to distinctive repertoire choices, vocal timbres, or performance contexts</w:t>
      </w:r>
      <w:r w:rsidR="007162C7">
        <w:rPr>
          <w:rStyle w:val="s1"/>
          <w:rFonts w:ascii="Arial" w:hAnsi="Arial" w:cs="Arial"/>
          <w:sz w:val="22"/>
          <w:szCs w:val="22"/>
        </w:rPr>
        <w:t xml:space="preserve"> (Kaiser, 2009)</w:t>
      </w:r>
      <w:r w:rsidRPr="004E1AFA">
        <w:rPr>
          <w:rStyle w:val="s1"/>
          <w:rFonts w:ascii="Arial" w:hAnsi="Arial" w:cs="Arial"/>
          <w:sz w:val="22"/>
          <w:szCs w:val="22"/>
        </w:rPr>
        <w:t>.</w:t>
      </w:r>
    </w:p>
    <w:p w14:paraId="7BA37DF2" w14:textId="1573A66E" w:rsidR="004C2C7A" w:rsidRPr="004E1AFA" w:rsidRDefault="004C2C7A" w:rsidP="004E1AFA">
      <w:pPr>
        <w:pStyle w:val="p1"/>
        <w:spacing w:before="30" w:beforeAutospacing="0"/>
        <w:divId w:val="1860853311"/>
        <w:rPr>
          <w:rFonts w:ascii="Arial" w:hAnsi="Arial" w:cs="Arial"/>
          <w:sz w:val="22"/>
          <w:szCs w:val="22"/>
        </w:rPr>
      </w:pPr>
      <w:r w:rsidRPr="004E1AFA">
        <w:rPr>
          <w:rStyle w:val="s1"/>
          <w:rFonts w:ascii="Arial" w:hAnsi="Arial" w:cs="Arial"/>
          <w:sz w:val="22"/>
          <w:szCs w:val="22"/>
        </w:rPr>
        <w:t>Mitigation strategies include embedding reflexivity in the research process</w:t>
      </w:r>
      <w:r w:rsidR="00727FC5">
        <w:rPr>
          <w:rStyle w:val="s1"/>
          <w:rFonts w:ascii="Arial" w:hAnsi="Arial" w:cs="Arial"/>
          <w:sz w:val="22"/>
          <w:szCs w:val="22"/>
        </w:rPr>
        <w:t xml:space="preserve">, </w:t>
      </w:r>
      <w:r w:rsidRPr="004E1AFA">
        <w:rPr>
          <w:rStyle w:val="s1"/>
          <w:rFonts w:ascii="Arial" w:hAnsi="Arial" w:cs="Arial"/>
          <w:sz w:val="22"/>
          <w:szCs w:val="22"/>
        </w:rPr>
        <w:t>regularly documenting personal assumptions and reactions to data</w:t>
      </w:r>
      <w:r w:rsidR="00AD174F">
        <w:rPr>
          <w:rStyle w:val="s1"/>
          <w:rFonts w:ascii="Arial" w:hAnsi="Arial" w:cs="Arial"/>
          <w:sz w:val="22"/>
          <w:szCs w:val="22"/>
        </w:rPr>
        <w:t xml:space="preserve">, </w:t>
      </w:r>
      <w:r w:rsidRPr="004E1AFA">
        <w:rPr>
          <w:rStyle w:val="s1"/>
          <w:rFonts w:ascii="Arial" w:hAnsi="Arial" w:cs="Arial"/>
          <w:sz w:val="22"/>
          <w:szCs w:val="22"/>
        </w:rPr>
        <w:t>and incorporating peer debriefing with colleagues outside the immediate teaching context. Triangulation of data sources, such as combining lesson observations with independent performance assessments, can likewise help to counter potential bias effectively</w:t>
      </w:r>
      <w:r w:rsidR="00E4330E">
        <w:rPr>
          <w:rStyle w:val="s1"/>
          <w:rFonts w:ascii="Arial" w:hAnsi="Arial" w:cs="Arial"/>
          <w:sz w:val="22"/>
          <w:szCs w:val="22"/>
        </w:rPr>
        <w:t xml:space="preserve"> (Finlay, 2002)</w:t>
      </w:r>
      <w:r w:rsidRPr="004E1AFA">
        <w:rPr>
          <w:rStyle w:val="s1"/>
          <w:rFonts w:ascii="Arial" w:hAnsi="Arial" w:cs="Arial"/>
          <w:sz w:val="22"/>
          <w:szCs w:val="22"/>
        </w:rPr>
        <w:t>.</w:t>
      </w:r>
    </w:p>
    <w:p w14:paraId="4A23B462" w14:textId="77777777" w:rsidR="004C2C7A" w:rsidRDefault="004C2C7A" w:rsidP="004E1AFA">
      <w:pPr>
        <w:pStyle w:val="p1"/>
        <w:spacing w:before="30" w:beforeAutospacing="0"/>
        <w:divId w:val="1860853311"/>
        <w:rPr>
          <w:rStyle w:val="s1"/>
          <w:rFonts w:ascii="Arial" w:hAnsi="Arial" w:cs="Arial"/>
          <w:sz w:val="22"/>
          <w:szCs w:val="22"/>
        </w:rPr>
      </w:pPr>
      <w:r w:rsidRPr="004E1AFA">
        <w:rPr>
          <w:rStyle w:val="s1"/>
          <w:rFonts w:ascii="Arial" w:hAnsi="Arial" w:cs="Arial"/>
          <w:sz w:val="22"/>
          <w:szCs w:val="22"/>
        </w:rPr>
        <w:t>Ultimately, successful insider research requires balancing the benefits of trust, access, and deep contextual understanding with a disciplined commitment to transparency, ethical sensitivity, and methodological rigour. Managed well, insider research can deliver uniquely rich and practice-relevant insights, contributing meaningfully to both pedagogy and scholarly knowledge.</w:t>
      </w:r>
    </w:p>
    <w:p w14:paraId="7948D729" w14:textId="624125F7" w:rsidR="008910AE" w:rsidRPr="006D573A" w:rsidRDefault="008910AE" w:rsidP="006D573A">
      <w:pPr>
        <w:pStyle w:val="Heading1"/>
        <w:divId w:val="243612249"/>
        <w:rPr>
          <w:color w:val="000000" w:themeColor="text1"/>
        </w:rPr>
      </w:pPr>
      <w:bookmarkStart w:id="6" w:name="_Toc206086384"/>
      <w:r w:rsidRPr="006D573A">
        <w:rPr>
          <w:rStyle w:val="s1"/>
          <w:rFonts w:ascii="Arial" w:hAnsi="Arial" w:cs="Arial"/>
          <w:b/>
          <w:bCs/>
          <w:color w:val="000000" w:themeColor="text1"/>
          <w:sz w:val="22"/>
          <w:szCs w:val="22"/>
        </w:rPr>
        <w:t>Conclusion</w:t>
      </w:r>
      <w:bookmarkEnd w:id="6"/>
    </w:p>
    <w:p w14:paraId="7A733574" w14:textId="77777777" w:rsidR="008910AE" w:rsidRPr="004E1AFA" w:rsidRDefault="008910AE" w:rsidP="004E1AFA">
      <w:pPr>
        <w:pStyle w:val="p1"/>
        <w:spacing w:before="30" w:beforeAutospacing="0"/>
        <w:divId w:val="243612249"/>
        <w:rPr>
          <w:rFonts w:ascii="Arial" w:hAnsi="Arial" w:cs="Arial"/>
          <w:sz w:val="22"/>
          <w:szCs w:val="22"/>
        </w:rPr>
      </w:pPr>
      <w:r w:rsidRPr="004E1AFA">
        <w:rPr>
          <w:rStyle w:val="s1"/>
          <w:rFonts w:ascii="Arial" w:hAnsi="Arial" w:cs="Arial"/>
          <w:sz w:val="22"/>
          <w:szCs w:val="22"/>
        </w:rPr>
        <w:t>Research in complex work-based settings calls for an approach that balances philosophical coherence, methodological rigour, and practical adaptability. In vocal pedagogy, this balance must reflect the embodied, artistic, and relational nature of singing, where outcomes are shaped not only by technical skill but also by psychological, cultural, and environmental factors. This essay has critically evaluated methodological approaches, research designs, and research methods suited to such settings, with due attention to ethical considerations and the distinctive challenges of insider research.</w:t>
      </w:r>
    </w:p>
    <w:p w14:paraId="5F10D10E" w14:textId="110BCB19" w:rsidR="008910AE" w:rsidRPr="004E1AFA" w:rsidRDefault="008910AE" w:rsidP="004E1AFA">
      <w:pPr>
        <w:pStyle w:val="p3"/>
        <w:spacing w:before="30" w:beforeAutospacing="0"/>
        <w:divId w:val="243612249"/>
        <w:rPr>
          <w:rFonts w:ascii="Arial" w:hAnsi="Arial" w:cs="Arial"/>
          <w:sz w:val="22"/>
          <w:szCs w:val="22"/>
        </w:rPr>
      </w:pPr>
      <w:r w:rsidRPr="004E1AFA">
        <w:rPr>
          <w:rStyle w:val="s2"/>
          <w:rFonts w:ascii="Arial" w:hAnsi="Arial" w:cs="Arial"/>
          <w:sz w:val="22"/>
          <w:szCs w:val="22"/>
        </w:rPr>
        <w:t>The discussion began by underscoring the importance of epistemological and ontological clarity. Whether a teacher-researcher adopts a positivist, interpretivist, critical, or pragmatist stance will shape the research question, design, and data collection strategy. In practice, studies often benefit from methodological pluralism, with mixed-methods designs enabling the measurement of physiological change alongside exploration of singers’ subjective experiences. This philosophical awareness strengthens transparency and supports alignment between research decisions and intended outcomes.</w:t>
      </w:r>
    </w:p>
    <w:p w14:paraId="2852B302" w14:textId="242DEDE2" w:rsidR="008910AE" w:rsidRPr="004E1AFA" w:rsidRDefault="008910AE" w:rsidP="004E1AFA">
      <w:pPr>
        <w:pStyle w:val="p3"/>
        <w:spacing w:before="30" w:beforeAutospacing="0"/>
        <w:divId w:val="243612249"/>
        <w:rPr>
          <w:rFonts w:ascii="Arial" w:hAnsi="Arial" w:cs="Arial"/>
          <w:sz w:val="22"/>
          <w:szCs w:val="22"/>
        </w:rPr>
      </w:pPr>
      <w:r w:rsidRPr="004E1AFA">
        <w:rPr>
          <w:rStyle w:val="s2"/>
          <w:rFonts w:ascii="Arial" w:hAnsi="Arial" w:cs="Arial"/>
          <w:sz w:val="22"/>
          <w:szCs w:val="22"/>
        </w:rPr>
        <w:t>In assessing methodological approaches, the strengths and limitations of qualitative, quantitative, and mixed methods were considered against the specific demands of vocal research. Qualitative methods offer depth and contextual richness essential for understanding the lived experience of learning to sing, while quantitative methods provide measurable, replicable indicators of change. Mixed methods can bridge these perspectives, delivering the triangulated insight that is particularly valuable in work-based settings.</w:t>
      </w:r>
    </w:p>
    <w:p w14:paraId="24753E70" w14:textId="3BB4DA77" w:rsidR="008910AE" w:rsidRPr="004E1AFA" w:rsidRDefault="008910AE" w:rsidP="004E1AFA">
      <w:pPr>
        <w:pStyle w:val="p3"/>
        <w:spacing w:before="30" w:beforeAutospacing="0"/>
        <w:divId w:val="243612249"/>
        <w:rPr>
          <w:rFonts w:ascii="Arial" w:hAnsi="Arial" w:cs="Arial"/>
          <w:sz w:val="22"/>
          <w:szCs w:val="22"/>
        </w:rPr>
      </w:pPr>
      <w:r w:rsidRPr="004E1AFA">
        <w:rPr>
          <w:rStyle w:val="s2"/>
          <w:rFonts w:ascii="Arial" w:hAnsi="Arial" w:cs="Arial"/>
          <w:sz w:val="22"/>
          <w:szCs w:val="22"/>
        </w:rPr>
        <w:lastRenderedPageBreak/>
        <w:t>The review of research designs highlighted the suitability of case studies and action research for insider researchers, given their capacity to capture nuanced developmental processes and integrate iterative cycles of pedagogical refinement. Longitudinal designs were identified as especially powerful for tracking progress over time, though challenging to sustain in resource-limited contexts. Cross-sectional and participatory designs offer alternative routes to insight, each with distinct trade-offs in depth, breadth, and feasibility.</w:t>
      </w:r>
    </w:p>
    <w:p w14:paraId="4AC7A018" w14:textId="2BD23E82" w:rsidR="008910AE" w:rsidRPr="004E1AFA" w:rsidRDefault="008910AE" w:rsidP="004E1AFA">
      <w:pPr>
        <w:pStyle w:val="p3"/>
        <w:spacing w:before="30" w:beforeAutospacing="0"/>
        <w:divId w:val="243612249"/>
        <w:rPr>
          <w:rFonts w:ascii="Arial" w:hAnsi="Arial" w:cs="Arial"/>
          <w:sz w:val="22"/>
          <w:szCs w:val="22"/>
        </w:rPr>
      </w:pPr>
      <w:r w:rsidRPr="004E1AFA">
        <w:rPr>
          <w:rStyle w:val="s2"/>
          <w:rFonts w:ascii="Arial" w:hAnsi="Arial" w:cs="Arial"/>
          <w:sz w:val="22"/>
          <w:szCs w:val="22"/>
        </w:rPr>
        <w:t>The exploration of specific research methods showed that data collection must be sensitive to the physical and emotional demands on singers, as well as to the practicalities of teaching schedules and performance commitments. Methods such as lesson observations, reflective journals, and acoustic analysis can be adapted to fit seamlessly within existing pedagogical practice, minimising disruption while maximising data relevance.</w:t>
      </w:r>
    </w:p>
    <w:p w14:paraId="5B6DEC64" w14:textId="79542311" w:rsidR="008910AE" w:rsidRPr="004E1AFA" w:rsidRDefault="008910AE" w:rsidP="004E1AFA">
      <w:pPr>
        <w:pStyle w:val="p3"/>
        <w:spacing w:before="30" w:beforeAutospacing="0"/>
        <w:divId w:val="243612249"/>
        <w:rPr>
          <w:rFonts w:ascii="Arial" w:hAnsi="Arial" w:cs="Arial"/>
          <w:sz w:val="22"/>
          <w:szCs w:val="22"/>
        </w:rPr>
      </w:pPr>
      <w:r w:rsidRPr="004E1AFA">
        <w:rPr>
          <w:rStyle w:val="s2"/>
          <w:rFonts w:ascii="Arial" w:hAnsi="Arial" w:cs="Arial"/>
          <w:sz w:val="22"/>
          <w:szCs w:val="22"/>
        </w:rPr>
        <w:t>Ethical considerations were shown to be both procedural and relational. The overlapping roles of teacher and researcher intensify the need for informed consent, confidentiality, and safeguarding of participant well-being. Insider research, while rich in contextual understanding and trust, brings risks of bias, role conflict, and potential compromise of objectivity. Strategies such as reflexivity, peer debriefing, and methodological triangulation can mitigate these risks, helping to ensure that findings remain credible and ethically sound.</w:t>
      </w:r>
    </w:p>
    <w:p w14:paraId="11A7F74F" w14:textId="564107DF" w:rsidR="00051B07" w:rsidRPr="004E1AFA" w:rsidRDefault="008910AE" w:rsidP="004E1AFA">
      <w:pPr>
        <w:pStyle w:val="p3"/>
        <w:spacing w:before="30" w:beforeAutospacing="0"/>
        <w:divId w:val="243612249"/>
        <w:rPr>
          <w:rFonts w:ascii="Arial" w:hAnsi="Arial" w:cs="Arial"/>
          <w:sz w:val="22"/>
          <w:szCs w:val="22"/>
        </w:rPr>
      </w:pPr>
      <w:r w:rsidRPr="004E1AFA">
        <w:rPr>
          <w:rStyle w:val="s2"/>
          <w:rFonts w:ascii="Arial" w:hAnsi="Arial" w:cs="Arial"/>
          <w:sz w:val="22"/>
          <w:szCs w:val="22"/>
        </w:rPr>
        <w:t>In sum</w:t>
      </w:r>
      <w:r w:rsidR="00C924FF" w:rsidRPr="004E1AFA">
        <w:rPr>
          <w:rStyle w:val="s2"/>
          <w:rFonts w:ascii="Arial" w:hAnsi="Arial" w:cs="Arial"/>
          <w:sz w:val="22"/>
          <w:szCs w:val="22"/>
        </w:rPr>
        <w:t>ma</w:t>
      </w:r>
      <w:r w:rsidR="00A54FEE" w:rsidRPr="004E1AFA">
        <w:rPr>
          <w:rStyle w:val="s2"/>
          <w:rFonts w:ascii="Arial" w:hAnsi="Arial" w:cs="Arial"/>
          <w:sz w:val="22"/>
          <w:szCs w:val="22"/>
        </w:rPr>
        <w:t>ry</w:t>
      </w:r>
      <w:r w:rsidRPr="004E1AFA">
        <w:rPr>
          <w:rStyle w:val="s2"/>
          <w:rFonts w:ascii="Arial" w:hAnsi="Arial" w:cs="Arial"/>
          <w:sz w:val="22"/>
          <w:szCs w:val="22"/>
        </w:rPr>
        <w:t>, effective design and execution of research in vocal pedagogy requires careful integration of philosophical stance, methodological choice, and ethical vigilance. The insider teacher-researcher is well placed to generate findings that are academically robust and directly applicable to teaching practice. By embracing the strengths of different approaches while recognising and managing their limitations, such researchers can contribute meaningfully to the advancement of pedagogical knowledge and the professional practice of singing.</w:t>
      </w:r>
    </w:p>
    <w:p w14:paraId="4D816D8A" w14:textId="22EC98F9" w:rsidR="004E1AFA" w:rsidRPr="004E1AFA" w:rsidRDefault="008910AE" w:rsidP="004E1AFA">
      <w:pPr>
        <w:pStyle w:val="p3"/>
        <w:spacing w:before="30" w:beforeAutospacing="0"/>
        <w:divId w:val="243612249"/>
        <w:rPr>
          <w:rStyle w:val="s2"/>
          <w:rFonts w:ascii="Arial" w:hAnsi="Arial" w:cs="Arial"/>
          <w:sz w:val="22"/>
          <w:szCs w:val="22"/>
        </w:rPr>
      </w:pPr>
      <w:r w:rsidRPr="004E1AFA">
        <w:rPr>
          <w:rStyle w:val="s2"/>
          <w:rFonts w:ascii="Arial" w:hAnsi="Arial" w:cs="Arial"/>
          <w:sz w:val="22"/>
          <w:szCs w:val="22"/>
        </w:rPr>
        <w:t>Looking ahead, there is scope for further innovation in methodological integration</w:t>
      </w:r>
      <w:r w:rsidR="002C773F">
        <w:rPr>
          <w:rStyle w:val="s2"/>
          <w:rFonts w:ascii="Arial" w:hAnsi="Arial" w:cs="Arial"/>
          <w:sz w:val="22"/>
          <w:szCs w:val="22"/>
        </w:rPr>
        <w:t xml:space="preserve">, </w:t>
      </w:r>
      <w:r w:rsidRPr="004E1AFA">
        <w:rPr>
          <w:rStyle w:val="s2"/>
          <w:rFonts w:ascii="Arial" w:hAnsi="Arial" w:cs="Arial"/>
          <w:sz w:val="22"/>
          <w:szCs w:val="22"/>
        </w:rPr>
        <w:t>particularly in combining advances in vocal science with qualitative insight into the artistic and personal dimensions of singing. The challenge and opportunity lie in navigating the inherent complexity of the dual role, ensuring that research enriches both scholarly understanding and the lived experience of the singers being taught.</w:t>
      </w:r>
    </w:p>
    <w:p w14:paraId="1FE21003" w14:textId="2739F02F" w:rsidR="00D61EA6" w:rsidRPr="00EE72F0" w:rsidRDefault="004112BB" w:rsidP="00EE72F0">
      <w:pPr>
        <w:pStyle w:val="Heading1"/>
        <w:divId w:val="243612249"/>
        <w:rPr>
          <w:rStyle w:val="s2"/>
          <w:rFonts w:ascii="Arial" w:hAnsi="Arial" w:cs="Arial"/>
          <w:color w:val="000000" w:themeColor="text1"/>
          <w:sz w:val="22"/>
          <w:szCs w:val="22"/>
        </w:rPr>
      </w:pPr>
      <w:bookmarkStart w:id="7" w:name="_Toc206086385"/>
      <w:r w:rsidRPr="00EE72F0">
        <w:rPr>
          <w:rStyle w:val="s2"/>
          <w:rFonts w:ascii="Arial" w:hAnsi="Arial" w:cs="Arial"/>
          <w:b/>
          <w:bCs/>
          <w:color w:val="000000" w:themeColor="text1"/>
          <w:sz w:val="22"/>
          <w:szCs w:val="22"/>
        </w:rPr>
        <w:t>A</w:t>
      </w:r>
      <w:r w:rsidRPr="00EE72F0">
        <w:rPr>
          <w:rStyle w:val="s2"/>
          <w:rFonts w:ascii="Arial" w:hAnsi="Arial" w:cs="Arial"/>
          <w:color w:val="000000" w:themeColor="text1"/>
          <w:sz w:val="22"/>
          <w:szCs w:val="22"/>
        </w:rPr>
        <w:t xml:space="preserve"> </w:t>
      </w:r>
      <w:r w:rsidR="00EE72F0" w:rsidRPr="00EE72F0">
        <w:rPr>
          <w:rStyle w:val="s2"/>
          <w:rFonts w:ascii="Arial" w:hAnsi="Arial" w:cs="Arial"/>
          <w:b/>
          <w:bCs/>
          <w:color w:val="000000" w:themeColor="text1"/>
          <w:sz w:val="22"/>
          <w:szCs w:val="22"/>
        </w:rPr>
        <w:t>B</w:t>
      </w:r>
      <w:r w:rsidRPr="00EE72F0">
        <w:rPr>
          <w:rStyle w:val="s2"/>
          <w:rFonts w:ascii="Arial" w:hAnsi="Arial" w:cs="Arial"/>
          <w:b/>
          <w:bCs/>
          <w:color w:val="000000" w:themeColor="text1"/>
          <w:sz w:val="22"/>
          <w:szCs w:val="22"/>
        </w:rPr>
        <w:t>rief</w:t>
      </w:r>
      <w:r w:rsidRPr="00EE72F0">
        <w:rPr>
          <w:rStyle w:val="s2"/>
          <w:rFonts w:ascii="Arial" w:hAnsi="Arial" w:cs="Arial"/>
          <w:color w:val="000000" w:themeColor="text1"/>
          <w:sz w:val="22"/>
          <w:szCs w:val="22"/>
        </w:rPr>
        <w:t xml:space="preserve"> </w:t>
      </w:r>
      <w:r w:rsidR="00EE72F0" w:rsidRPr="00EE72F0">
        <w:rPr>
          <w:rStyle w:val="s2"/>
          <w:rFonts w:ascii="Arial" w:hAnsi="Arial" w:cs="Arial"/>
          <w:b/>
          <w:bCs/>
          <w:color w:val="000000" w:themeColor="text1"/>
          <w:sz w:val="22"/>
          <w:szCs w:val="22"/>
        </w:rPr>
        <w:t>R</w:t>
      </w:r>
      <w:r w:rsidRPr="00EE72F0">
        <w:rPr>
          <w:rStyle w:val="s2"/>
          <w:rFonts w:ascii="Arial" w:hAnsi="Arial" w:cs="Arial"/>
          <w:b/>
          <w:bCs/>
          <w:color w:val="000000" w:themeColor="text1"/>
          <w:sz w:val="22"/>
          <w:szCs w:val="22"/>
        </w:rPr>
        <w:t>efle</w:t>
      </w:r>
      <w:r w:rsidR="00A86BFA" w:rsidRPr="00EE72F0">
        <w:rPr>
          <w:rStyle w:val="s2"/>
          <w:rFonts w:ascii="Arial" w:hAnsi="Arial" w:cs="Arial"/>
          <w:b/>
          <w:bCs/>
          <w:color w:val="000000" w:themeColor="text1"/>
          <w:sz w:val="22"/>
          <w:szCs w:val="22"/>
        </w:rPr>
        <w:t>ct</w:t>
      </w:r>
      <w:r w:rsidRPr="00EE72F0">
        <w:rPr>
          <w:rStyle w:val="s2"/>
          <w:rFonts w:ascii="Arial" w:hAnsi="Arial" w:cs="Arial"/>
          <w:b/>
          <w:bCs/>
          <w:color w:val="000000" w:themeColor="text1"/>
          <w:sz w:val="22"/>
          <w:szCs w:val="22"/>
        </w:rPr>
        <w:t>ion</w:t>
      </w:r>
      <w:bookmarkEnd w:id="7"/>
      <w:r w:rsidRPr="00EE72F0">
        <w:rPr>
          <w:rStyle w:val="s2"/>
          <w:rFonts w:ascii="Arial" w:hAnsi="Arial" w:cs="Arial"/>
          <w:color w:val="000000" w:themeColor="text1"/>
          <w:sz w:val="22"/>
          <w:szCs w:val="22"/>
        </w:rPr>
        <w:t xml:space="preserve">                </w:t>
      </w:r>
    </w:p>
    <w:p w14:paraId="3997BEEC" w14:textId="77777777" w:rsidR="00A40AD5" w:rsidRDefault="004515C0" w:rsidP="004E1AFA">
      <w:pPr>
        <w:pStyle w:val="p1"/>
        <w:spacing w:before="30" w:beforeAutospacing="0"/>
        <w:divId w:val="1053163987"/>
        <w:rPr>
          <w:rStyle w:val="s1"/>
          <w:rFonts w:ascii="Arial" w:hAnsi="Arial" w:cs="Arial"/>
          <w:sz w:val="22"/>
          <w:szCs w:val="22"/>
        </w:rPr>
      </w:pPr>
      <w:r w:rsidRPr="004E1AFA">
        <w:rPr>
          <w:rStyle w:val="s1"/>
          <w:rFonts w:ascii="Arial" w:hAnsi="Arial" w:cs="Arial"/>
          <w:sz w:val="22"/>
          <w:szCs w:val="22"/>
        </w:rPr>
        <w:t xml:space="preserve">As a </w:t>
      </w:r>
      <w:r w:rsidR="00F77CE8">
        <w:rPr>
          <w:rStyle w:val="s1"/>
          <w:rFonts w:ascii="Arial" w:hAnsi="Arial" w:cs="Arial"/>
          <w:sz w:val="22"/>
          <w:szCs w:val="22"/>
        </w:rPr>
        <w:t>teacher</w:t>
      </w:r>
      <w:r w:rsidRPr="004E1AFA">
        <w:rPr>
          <w:rStyle w:val="s1"/>
          <w:rFonts w:ascii="Arial" w:hAnsi="Arial" w:cs="Arial"/>
          <w:sz w:val="22"/>
          <w:szCs w:val="22"/>
        </w:rPr>
        <w:t>-researcher w</w:t>
      </w:r>
      <w:r w:rsidR="00A73EA9">
        <w:rPr>
          <w:rStyle w:val="s1"/>
          <w:rFonts w:ascii="Arial" w:hAnsi="Arial" w:cs="Arial"/>
          <w:sz w:val="22"/>
          <w:szCs w:val="22"/>
        </w:rPr>
        <w:t xml:space="preserve">orking </w:t>
      </w:r>
      <w:r w:rsidR="0084626D">
        <w:rPr>
          <w:rStyle w:val="s1"/>
          <w:rFonts w:ascii="Arial" w:hAnsi="Arial" w:cs="Arial"/>
          <w:sz w:val="22"/>
          <w:szCs w:val="22"/>
        </w:rPr>
        <w:t xml:space="preserve">regularly </w:t>
      </w:r>
      <w:r w:rsidRPr="004E1AFA">
        <w:rPr>
          <w:rStyle w:val="s1"/>
          <w:rFonts w:ascii="Arial" w:hAnsi="Arial" w:cs="Arial"/>
          <w:sz w:val="22"/>
          <w:szCs w:val="22"/>
        </w:rPr>
        <w:t>with students on a one-to-one basis, understanding their needs and evaluating the effectiveness of my interventions is paramount. My</w:t>
      </w:r>
      <w:r w:rsidR="00826D3A">
        <w:rPr>
          <w:rStyle w:val="s1"/>
          <w:rFonts w:ascii="Arial" w:hAnsi="Arial" w:cs="Arial"/>
          <w:sz w:val="22"/>
          <w:szCs w:val="22"/>
        </w:rPr>
        <w:t xml:space="preserve"> </w:t>
      </w:r>
      <w:r w:rsidR="008F1932">
        <w:rPr>
          <w:rStyle w:val="s1"/>
          <w:rFonts w:ascii="Arial" w:hAnsi="Arial" w:cs="Arial"/>
          <w:sz w:val="22"/>
          <w:szCs w:val="22"/>
        </w:rPr>
        <w:t>ontolog</w:t>
      </w:r>
      <w:r w:rsidR="001D1262">
        <w:rPr>
          <w:rStyle w:val="s1"/>
          <w:rFonts w:ascii="Arial" w:hAnsi="Arial" w:cs="Arial"/>
          <w:sz w:val="22"/>
          <w:szCs w:val="22"/>
        </w:rPr>
        <w:t xml:space="preserve">ical </w:t>
      </w:r>
      <w:r w:rsidR="009647B4">
        <w:rPr>
          <w:rStyle w:val="s1"/>
          <w:rFonts w:ascii="Arial" w:hAnsi="Arial" w:cs="Arial"/>
          <w:sz w:val="22"/>
          <w:szCs w:val="22"/>
        </w:rPr>
        <w:t xml:space="preserve">position </w:t>
      </w:r>
      <w:r w:rsidR="00803184">
        <w:rPr>
          <w:rStyle w:val="s1"/>
          <w:rFonts w:ascii="Arial" w:hAnsi="Arial" w:cs="Arial"/>
          <w:sz w:val="22"/>
          <w:szCs w:val="22"/>
        </w:rPr>
        <w:t xml:space="preserve">is </w:t>
      </w:r>
      <w:r w:rsidR="00C3669F">
        <w:rPr>
          <w:rStyle w:val="s1"/>
          <w:rFonts w:ascii="Arial" w:hAnsi="Arial" w:cs="Arial"/>
          <w:sz w:val="22"/>
          <w:szCs w:val="22"/>
        </w:rPr>
        <w:t xml:space="preserve">constructivist and my </w:t>
      </w:r>
      <w:r w:rsidR="00893015">
        <w:rPr>
          <w:rStyle w:val="s1"/>
          <w:rFonts w:ascii="Arial" w:hAnsi="Arial" w:cs="Arial"/>
          <w:sz w:val="22"/>
          <w:szCs w:val="22"/>
        </w:rPr>
        <w:t>epist</w:t>
      </w:r>
      <w:r w:rsidR="00037061">
        <w:rPr>
          <w:rStyle w:val="s1"/>
          <w:rFonts w:ascii="Arial" w:hAnsi="Arial" w:cs="Arial"/>
          <w:sz w:val="22"/>
          <w:szCs w:val="22"/>
        </w:rPr>
        <w:t>e</w:t>
      </w:r>
      <w:r w:rsidR="007617DC">
        <w:rPr>
          <w:rStyle w:val="s1"/>
          <w:rFonts w:ascii="Arial" w:hAnsi="Arial" w:cs="Arial"/>
          <w:sz w:val="22"/>
          <w:szCs w:val="22"/>
        </w:rPr>
        <w:t xml:space="preserve">mological </w:t>
      </w:r>
      <w:r w:rsidR="00FD3E3A">
        <w:rPr>
          <w:rStyle w:val="s1"/>
          <w:rFonts w:ascii="Arial" w:hAnsi="Arial" w:cs="Arial"/>
          <w:sz w:val="22"/>
          <w:szCs w:val="22"/>
        </w:rPr>
        <w:t xml:space="preserve">stance </w:t>
      </w:r>
      <w:r w:rsidR="00801609">
        <w:rPr>
          <w:rStyle w:val="s1"/>
          <w:rFonts w:ascii="Arial" w:hAnsi="Arial" w:cs="Arial"/>
          <w:sz w:val="22"/>
          <w:szCs w:val="22"/>
        </w:rPr>
        <w:t>inter</w:t>
      </w:r>
      <w:r w:rsidR="0094407A">
        <w:rPr>
          <w:rStyle w:val="s1"/>
          <w:rFonts w:ascii="Arial" w:hAnsi="Arial" w:cs="Arial"/>
          <w:sz w:val="22"/>
          <w:szCs w:val="22"/>
        </w:rPr>
        <w:t>pre</w:t>
      </w:r>
      <w:r w:rsidR="00D1151C">
        <w:rPr>
          <w:rStyle w:val="s1"/>
          <w:rFonts w:ascii="Arial" w:hAnsi="Arial" w:cs="Arial"/>
          <w:sz w:val="22"/>
          <w:szCs w:val="22"/>
        </w:rPr>
        <w:t>t</w:t>
      </w:r>
      <w:r w:rsidR="00EE22C4">
        <w:rPr>
          <w:rStyle w:val="s1"/>
          <w:rFonts w:ascii="Arial" w:hAnsi="Arial" w:cs="Arial"/>
          <w:sz w:val="22"/>
          <w:szCs w:val="22"/>
        </w:rPr>
        <w:t>i</w:t>
      </w:r>
      <w:r w:rsidR="0094407A">
        <w:rPr>
          <w:rStyle w:val="s1"/>
          <w:rFonts w:ascii="Arial" w:hAnsi="Arial" w:cs="Arial"/>
          <w:sz w:val="22"/>
          <w:szCs w:val="22"/>
        </w:rPr>
        <w:t>vist</w:t>
      </w:r>
      <w:r w:rsidR="00FD1AD8">
        <w:rPr>
          <w:rStyle w:val="s1"/>
          <w:rFonts w:ascii="Arial" w:hAnsi="Arial" w:cs="Arial"/>
          <w:sz w:val="22"/>
          <w:szCs w:val="22"/>
        </w:rPr>
        <w:t>,</w:t>
      </w:r>
      <w:r w:rsidR="001C557B">
        <w:rPr>
          <w:rStyle w:val="s1"/>
          <w:rFonts w:ascii="Arial" w:hAnsi="Arial" w:cs="Arial"/>
          <w:sz w:val="22"/>
          <w:szCs w:val="22"/>
        </w:rPr>
        <w:t xml:space="preserve"> </w:t>
      </w:r>
      <w:r w:rsidR="007A51C9">
        <w:rPr>
          <w:rStyle w:val="s1"/>
          <w:rFonts w:ascii="Arial" w:hAnsi="Arial" w:cs="Arial"/>
          <w:sz w:val="22"/>
          <w:szCs w:val="22"/>
        </w:rPr>
        <w:t xml:space="preserve">so </w:t>
      </w:r>
      <w:r w:rsidR="00BF23FC">
        <w:rPr>
          <w:rStyle w:val="s1"/>
          <w:rFonts w:ascii="Arial" w:hAnsi="Arial" w:cs="Arial"/>
          <w:sz w:val="22"/>
          <w:szCs w:val="22"/>
        </w:rPr>
        <w:t xml:space="preserve">my </w:t>
      </w:r>
      <w:r w:rsidR="004578D7">
        <w:rPr>
          <w:rStyle w:val="s1"/>
          <w:rFonts w:ascii="Arial" w:hAnsi="Arial" w:cs="Arial"/>
          <w:sz w:val="22"/>
          <w:szCs w:val="22"/>
        </w:rPr>
        <w:t>current research</w:t>
      </w:r>
      <w:r w:rsidRPr="004E1AFA">
        <w:rPr>
          <w:rStyle w:val="s1"/>
          <w:rFonts w:ascii="Arial" w:hAnsi="Arial" w:cs="Arial"/>
          <w:sz w:val="22"/>
          <w:szCs w:val="22"/>
        </w:rPr>
        <w:t xml:space="preserve"> approach</w:t>
      </w:r>
      <w:r w:rsidR="0091561B">
        <w:rPr>
          <w:rStyle w:val="s1"/>
          <w:rFonts w:ascii="Arial" w:hAnsi="Arial" w:cs="Arial"/>
          <w:sz w:val="22"/>
          <w:szCs w:val="22"/>
        </w:rPr>
        <w:t xml:space="preserve"> is</w:t>
      </w:r>
      <w:r w:rsidR="00097B76">
        <w:rPr>
          <w:rStyle w:val="s1"/>
          <w:rFonts w:ascii="Arial" w:hAnsi="Arial" w:cs="Arial"/>
          <w:sz w:val="22"/>
          <w:szCs w:val="22"/>
        </w:rPr>
        <w:t xml:space="preserve"> </w:t>
      </w:r>
      <w:r w:rsidRPr="004E1AFA">
        <w:rPr>
          <w:rStyle w:val="s1"/>
          <w:rFonts w:ascii="Arial" w:hAnsi="Arial" w:cs="Arial"/>
          <w:sz w:val="22"/>
          <w:szCs w:val="22"/>
        </w:rPr>
        <w:t>qualitative</w:t>
      </w:r>
      <w:r w:rsidR="0050708A">
        <w:rPr>
          <w:rStyle w:val="s1"/>
          <w:rFonts w:ascii="Arial" w:hAnsi="Arial" w:cs="Arial"/>
          <w:sz w:val="22"/>
          <w:szCs w:val="22"/>
        </w:rPr>
        <w:t>. I</w:t>
      </w:r>
      <w:r w:rsidRPr="004E1AFA">
        <w:rPr>
          <w:rStyle w:val="s1"/>
          <w:rFonts w:ascii="Arial" w:hAnsi="Arial" w:cs="Arial"/>
          <w:sz w:val="22"/>
          <w:szCs w:val="22"/>
        </w:rPr>
        <w:t>nformed by this module I plan to embed a refined action-research cycle in my daily practice</w:t>
      </w:r>
      <w:r w:rsidR="006F3395">
        <w:rPr>
          <w:rStyle w:val="s1"/>
          <w:rFonts w:ascii="Arial" w:hAnsi="Arial" w:cs="Arial"/>
          <w:sz w:val="22"/>
          <w:szCs w:val="22"/>
        </w:rPr>
        <w:t>.</w:t>
      </w:r>
      <w:r w:rsidR="004E5555">
        <w:rPr>
          <w:rStyle w:val="s1"/>
          <w:rFonts w:ascii="Arial" w:hAnsi="Arial" w:cs="Arial"/>
          <w:sz w:val="22"/>
          <w:szCs w:val="22"/>
        </w:rPr>
        <w:t xml:space="preserve"> </w:t>
      </w:r>
    </w:p>
    <w:p w14:paraId="28DB9024" w14:textId="47844D56" w:rsidR="004B6CD8" w:rsidRPr="004E1AFA" w:rsidRDefault="004E5555" w:rsidP="004E1AFA">
      <w:pPr>
        <w:pStyle w:val="p1"/>
        <w:spacing w:before="30" w:beforeAutospacing="0"/>
        <w:divId w:val="1053163987"/>
        <w:rPr>
          <w:rFonts w:ascii="Arial" w:hAnsi="Arial" w:cs="Arial"/>
          <w:sz w:val="22"/>
          <w:szCs w:val="22"/>
        </w:rPr>
      </w:pPr>
      <w:r>
        <w:rPr>
          <w:rStyle w:val="s1"/>
          <w:rFonts w:ascii="Arial" w:hAnsi="Arial" w:cs="Arial"/>
          <w:sz w:val="22"/>
          <w:szCs w:val="22"/>
        </w:rPr>
        <w:t>Furthermore,</w:t>
      </w:r>
      <w:r w:rsidR="004515C0" w:rsidRPr="004E1AFA">
        <w:rPr>
          <w:rStyle w:val="s1"/>
          <w:rFonts w:ascii="Arial" w:hAnsi="Arial" w:cs="Arial"/>
          <w:sz w:val="22"/>
          <w:szCs w:val="22"/>
        </w:rPr>
        <w:t xml:space="preserve"> I</w:t>
      </w:r>
      <w:r>
        <w:rPr>
          <w:rStyle w:val="s1"/>
          <w:rFonts w:ascii="Arial" w:hAnsi="Arial" w:cs="Arial"/>
          <w:sz w:val="22"/>
          <w:szCs w:val="22"/>
        </w:rPr>
        <w:t xml:space="preserve"> now</w:t>
      </w:r>
      <w:r w:rsidR="004515C0" w:rsidRPr="004E1AFA">
        <w:rPr>
          <w:rStyle w:val="s1"/>
          <w:rFonts w:ascii="Arial" w:hAnsi="Arial" w:cs="Arial"/>
          <w:sz w:val="22"/>
          <w:szCs w:val="22"/>
        </w:rPr>
        <w:t xml:space="preserve"> re</w:t>
      </w:r>
      <w:r w:rsidR="00D53FF2">
        <w:rPr>
          <w:rStyle w:val="s1"/>
          <w:rFonts w:ascii="Arial" w:hAnsi="Arial" w:cs="Arial"/>
          <w:sz w:val="22"/>
          <w:szCs w:val="22"/>
        </w:rPr>
        <w:t>alise</w:t>
      </w:r>
      <w:r w:rsidR="004515C0" w:rsidRPr="004E1AFA">
        <w:rPr>
          <w:rStyle w:val="s1"/>
          <w:rFonts w:ascii="Arial" w:hAnsi="Arial" w:cs="Arial"/>
          <w:sz w:val="22"/>
          <w:szCs w:val="22"/>
        </w:rPr>
        <w:t xml:space="preserve"> that</w:t>
      </w:r>
      <w:r w:rsidR="00225CB4">
        <w:rPr>
          <w:rStyle w:val="s1"/>
          <w:rFonts w:ascii="Arial" w:hAnsi="Arial" w:cs="Arial"/>
          <w:sz w:val="22"/>
          <w:szCs w:val="22"/>
        </w:rPr>
        <w:t xml:space="preserve"> </w:t>
      </w:r>
      <w:r w:rsidR="00D53FF2">
        <w:rPr>
          <w:rStyle w:val="s1"/>
          <w:rFonts w:ascii="Arial" w:hAnsi="Arial" w:cs="Arial"/>
          <w:sz w:val="22"/>
          <w:szCs w:val="22"/>
        </w:rPr>
        <w:t>my research</w:t>
      </w:r>
      <w:r w:rsidR="00F94188">
        <w:rPr>
          <w:rStyle w:val="s1"/>
          <w:rFonts w:ascii="Arial" w:hAnsi="Arial" w:cs="Arial"/>
          <w:sz w:val="22"/>
          <w:szCs w:val="22"/>
        </w:rPr>
        <w:t>, and therefore professional development</w:t>
      </w:r>
      <w:r w:rsidR="00225CB4">
        <w:rPr>
          <w:rStyle w:val="s1"/>
          <w:rFonts w:ascii="Arial" w:hAnsi="Arial" w:cs="Arial"/>
          <w:sz w:val="22"/>
          <w:szCs w:val="22"/>
        </w:rPr>
        <w:t xml:space="preserve"> could be enhanc</w:t>
      </w:r>
      <w:r w:rsidR="00283B07">
        <w:rPr>
          <w:rStyle w:val="s1"/>
          <w:rFonts w:ascii="Arial" w:hAnsi="Arial" w:cs="Arial"/>
          <w:sz w:val="22"/>
          <w:szCs w:val="22"/>
        </w:rPr>
        <w:t>ed</w:t>
      </w:r>
      <w:r w:rsidR="002010AC">
        <w:rPr>
          <w:rStyle w:val="s1"/>
          <w:rFonts w:ascii="Arial" w:hAnsi="Arial" w:cs="Arial"/>
          <w:sz w:val="22"/>
          <w:szCs w:val="22"/>
        </w:rPr>
        <w:t xml:space="preserve"> </w:t>
      </w:r>
      <w:r w:rsidR="002C7215">
        <w:rPr>
          <w:rStyle w:val="s1"/>
          <w:rFonts w:ascii="Arial" w:hAnsi="Arial" w:cs="Arial"/>
          <w:sz w:val="22"/>
          <w:szCs w:val="22"/>
        </w:rPr>
        <w:t>by more in-depth, exploratory approaches</w:t>
      </w:r>
      <w:r w:rsidR="006C4DA9">
        <w:rPr>
          <w:rStyle w:val="s1"/>
          <w:rFonts w:ascii="Arial" w:hAnsi="Arial" w:cs="Arial"/>
          <w:sz w:val="22"/>
          <w:szCs w:val="22"/>
        </w:rPr>
        <w:t xml:space="preserve"> such as narrative enquiry, longitudinal studies </w:t>
      </w:r>
      <w:r w:rsidR="00EF6210">
        <w:rPr>
          <w:rStyle w:val="s1"/>
          <w:rFonts w:ascii="Arial" w:hAnsi="Arial" w:cs="Arial"/>
          <w:sz w:val="22"/>
          <w:szCs w:val="22"/>
        </w:rPr>
        <w:t>and phenomenology</w:t>
      </w:r>
      <w:r w:rsidR="000575C1">
        <w:rPr>
          <w:rStyle w:val="s1"/>
          <w:rFonts w:ascii="Arial" w:hAnsi="Arial" w:cs="Arial"/>
          <w:sz w:val="22"/>
          <w:szCs w:val="22"/>
        </w:rPr>
        <w:t xml:space="preserve"> where appropriate</w:t>
      </w:r>
      <w:r w:rsidR="00EF6210">
        <w:rPr>
          <w:rStyle w:val="s1"/>
          <w:rFonts w:ascii="Arial" w:hAnsi="Arial" w:cs="Arial"/>
          <w:sz w:val="22"/>
          <w:szCs w:val="22"/>
        </w:rPr>
        <w:t xml:space="preserve">. </w:t>
      </w:r>
      <w:r w:rsidR="00173DF2">
        <w:rPr>
          <w:rStyle w:val="s1"/>
          <w:rFonts w:ascii="Arial" w:hAnsi="Arial" w:cs="Arial"/>
          <w:sz w:val="22"/>
          <w:szCs w:val="22"/>
        </w:rPr>
        <w:t>Drawing on the strengths of ins</w:t>
      </w:r>
      <w:r w:rsidR="007C313D">
        <w:rPr>
          <w:rStyle w:val="s1"/>
          <w:rFonts w:ascii="Arial" w:hAnsi="Arial" w:cs="Arial"/>
          <w:sz w:val="22"/>
          <w:szCs w:val="22"/>
        </w:rPr>
        <w:t>ider research</w:t>
      </w:r>
      <w:r w:rsidR="00D717D3">
        <w:rPr>
          <w:rStyle w:val="s1"/>
          <w:rFonts w:ascii="Arial" w:hAnsi="Arial" w:cs="Arial"/>
          <w:sz w:val="22"/>
          <w:szCs w:val="22"/>
        </w:rPr>
        <w:t xml:space="preserve">, </w:t>
      </w:r>
      <w:r w:rsidR="00381080">
        <w:rPr>
          <w:rStyle w:val="s1"/>
          <w:rFonts w:ascii="Arial" w:hAnsi="Arial" w:cs="Arial"/>
          <w:sz w:val="22"/>
          <w:szCs w:val="22"/>
        </w:rPr>
        <w:t xml:space="preserve">while carefully managing </w:t>
      </w:r>
      <w:r w:rsidR="00E75AF2">
        <w:rPr>
          <w:rStyle w:val="s1"/>
          <w:rFonts w:ascii="Arial" w:hAnsi="Arial" w:cs="Arial"/>
          <w:sz w:val="22"/>
          <w:szCs w:val="22"/>
        </w:rPr>
        <w:t xml:space="preserve">the ethical </w:t>
      </w:r>
      <w:r w:rsidR="008F574F">
        <w:rPr>
          <w:rStyle w:val="s1"/>
          <w:rFonts w:ascii="Arial" w:hAnsi="Arial" w:cs="Arial"/>
          <w:sz w:val="22"/>
          <w:szCs w:val="22"/>
        </w:rPr>
        <w:t>and practical implications</w:t>
      </w:r>
      <w:r w:rsidR="00C61059">
        <w:rPr>
          <w:rStyle w:val="s1"/>
          <w:rFonts w:ascii="Arial" w:hAnsi="Arial" w:cs="Arial"/>
          <w:sz w:val="22"/>
          <w:szCs w:val="22"/>
        </w:rPr>
        <w:t>,</w:t>
      </w:r>
      <w:r w:rsidR="004B1515">
        <w:rPr>
          <w:rStyle w:val="s1"/>
          <w:rFonts w:ascii="Arial" w:hAnsi="Arial" w:cs="Arial"/>
          <w:sz w:val="22"/>
          <w:szCs w:val="22"/>
        </w:rPr>
        <w:t xml:space="preserve"> these </w:t>
      </w:r>
      <w:r w:rsidR="001978D9">
        <w:rPr>
          <w:rStyle w:val="s1"/>
          <w:rFonts w:ascii="Arial" w:hAnsi="Arial" w:cs="Arial"/>
          <w:sz w:val="22"/>
          <w:szCs w:val="22"/>
        </w:rPr>
        <w:t>method</w:t>
      </w:r>
      <w:r w:rsidR="00C61059">
        <w:rPr>
          <w:rStyle w:val="s1"/>
          <w:rFonts w:ascii="Arial" w:hAnsi="Arial" w:cs="Arial"/>
          <w:sz w:val="22"/>
          <w:szCs w:val="22"/>
        </w:rPr>
        <w:t>s</w:t>
      </w:r>
      <w:r w:rsidR="001978D9">
        <w:rPr>
          <w:rStyle w:val="s1"/>
          <w:rFonts w:ascii="Arial" w:hAnsi="Arial" w:cs="Arial"/>
          <w:sz w:val="22"/>
          <w:szCs w:val="22"/>
        </w:rPr>
        <w:t xml:space="preserve"> </w:t>
      </w:r>
      <w:r w:rsidR="00EF6210">
        <w:rPr>
          <w:rStyle w:val="s1"/>
          <w:rFonts w:ascii="Arial" w:hAnsi="Arial" w:cs="Arial"/>
          <w:sz w:val="22"/>
          <w:szCs w:val="22"/>
        </w:rPr>
        <w:t xml:space="preserve">may be particularly well </w:t>
      </w:r>
      <w:r w:rsidR="0065244C">
        <w:rPr>
          <w:rStyle w:val="s1"/>
          <w:rFonts w:ascii="Arial" w:hAnsi="Arial" w:cs="Arial"/>
          <w:sz w:val="22"/>
          <w:szCs w:val="22"/>
        </w:rPr>
        <w:t xml:space="preserve">placed </w:t>
      </w:r>
      <w:r w:rsidR="00496D47">
        <w:rPr>
          <w:rStyle w:val="s1"/>
          <w:rFonts w:ascii="Arial" w:hAnsi="Arial" w:cs="Arial"/>
          <w:sz w:val="22"/>
          <w:szCs w:val="22"/>
        </w:rPr>
        <w:t>in support of</w:t>
      </w:r>
      <w:r w:rsidR="00864591">
        <w:rPr>
          <w:rStyle w:val="s1"/>
          <w:rFonts w:ascii="Arial" w:hAnsi="Arial" w:cs="Arial"/>
          <w:sz w:val="22"/>
          <w:szCs w:val="22"/>
        </w:rPr>
        <w:t xml:space="preserve"> </w:t>
      </w:r>
      <w:r w:rsidR="004515C0" w:rsidRPr="004E1AFA">
        <w:rPr>
          <w:rStyle w:val="s1"/>
          <w:rFonts w:ascii="Arial" w:hAnsi="Arial" w:cs="Arial"/>
          <w:sz w:val="22"/>
          <w:szCs w:val="22"/>
        </w:rPr>
        <w:t>for example, students hindered by MPA</w:t>
      </w:r>
      <w:r w:rsidR="00864591">
        <w:rPr>
          <w:rStyle w:val="s1"/>
          <w:rFonts w:ascii="Arial" w:hAnsi="Arial" w:cs="Arial"/>
          <w:sz w:val="22"/>
          <w:szCs w:val="22"/>
        </w:rPr>
        <w:t>,</w:t>
      </w:r>
      <w:r w:rsidR="00954969">
        <w:rPr>
          <w:rStyle w:val="s1"/>
          <w:rFonts w:ascii="Arial" w:hAnsi="Arial" w:cs="Arial"/>
          <w:sz w:val="22"/>
          <w:szCs w:val="22"/>
        </w:rPr>
        <w:t xml:space="preserve"> using</w:t>
      </w:r>
      <w:r w:rsidR="00864591">
        <w:rPr>
          <w:rStyle w:val="s1"/>
          <w:rFonts w:ascii="Arial" w:hAnsi="Arial" w:cs="Arial"/>
          <w:sz w:val="22"/>
          <w:szCs w:val="22"/>
        </w:rPr>
        <w:t xml:space="preserve"> </w:t>
      </w:r>
      <w:r w:rsidR="00A22404">
        <w:rPr>
          <w:rStyle w:val="s1"/>
          <w:rFonts w:ascii="Arial" w:hAnsi="Arial" w:cs="Arial"/>
          <w:sz w:val="22"/>
          <w:szCs w:val="22"/>
        </w:rPr>
        <w:t>technol</w:t>
      </w:r>
      <w:r w:rsidR="00954969">
        <w:rPr>
          <w:rStyle w:val="s1"/>
          <w:rFonts w:ascii="Arial" w:hAnsi="Arial" w:cs="Arial"/>
          <w:sz w:val="22"/>
          <w:szCs w:val="22"/>
        </w:rPr>
        <w:t xml:space="preserve">ogy in voice training and </w:t>
      </w:r>
      <w:r w:rsidR="00B4664B">
        <w:rPr>
          <w:rStyle w:val="s1"/>
          <w:rFonts w:ascii="Arial" w:hAnsi="Arial" w:cs="Arial"/>
          <w:sz w:val="22"/>
          <w:szCs w:val="22"/>
        </w:rPr>
        <w:t xml:space="preserve">improving stage presence and communication. </w:t>
      </w:r>
      <w:r w:rsidR="006A69A1">
        <w:rPr>
          <w:rStyle w:val="s1"/>
          <w:rFonts w:ascii="Arial" w:hAnsi="Arial" w:cs="Arial"/>
          <w:sz w:val="22"/>
          <w:szCs w:val="22"/>
        </w:rPr>
        <w:t xml:space="preserve">Research in this area </w:t>
      </w:r>
      <w:r w:rsidR="0037359B">
        <w:rPr>
          <w:rStyle w:val="s1"/>
          <w:rFonts w:ascii="Arial" w:hAnsi="Arial" w:cs="Arial"/>
          <w:sz w:val="22"/>
          <w:szCs w:val="22"/>
        </w:rPr>
        <w:t>could be upscaled and made more generalisable through the use of mixed methods approaches</w:t>
      </w:r>
      <w:r w:rsidR="00233CF7">
        <w:rPr>
          <w:rFonts w:ascii="Arial" w:hAnsi="Arial" w:cs="Arial"/>
          <w:sz w:val="22"/>
          <w:szCs w:val="22"/>
        </w:rPr>
        <w:t xml:space="preserve"> </w:t>
      </w:r>
      <w:r w:rsidR="004515C0" w:rsidRPr="004E1AFA">
        <w:rPr>
          <w:rStyle w:val="s1"/>
          <w:rFonts w:ascii="Arial" w:hAnsi="Arial" w:cs="Arial"/>
          <w:sz w:val="22"/>
          <w:szCs w:val="22"/>
        </w:rPr>
        <w:t>to ensure robust, high-quality results</w:t>
      </w:r>
      <w:r w:rsidR="00DC363C">
        <w:rPr>
          <w:rStyle w:val="s1"/>
          <w:rFonts w:ascii="Arial" w:hAnsi="Arial" w:cs="Arial"/>
          <w:sz w:val="22"/>
          <w:szCs w:val="22"/>
        </w:rPr>
        <w:t xml:space="preserve">. </w:t>
      </w:r>
      <w:r w:rsidR="003E6428">
        <w:rPr>
          <w:rStyle w:val="s1"/>
          <w:rFonts w:ascii="Arial" w:hAnsi="Arial" w:cs="Arial"/>
          <w:sz w:val="22"/>
          <w:szCs w:val="22"/>
        </w:rPr>
        <w:t>In turn</w:t>
      </w:r>
      <w:r w:rsidR="00D46D57">
        <w:rPr>
          <w:rStyle w:val="s1"/>
          <w:rFonts w:ascii="Arial" w:hAnsi="Arial" w:cs="Arial"/>
          <w:sz w:val="22"/>
          <w:szCs w:val="22"/>
        </w:rPr>
        <w:t>, this would lead to</w:t>
      </w:r>
      <w:r w:rsidR="004515C0" w:rsidRPr="004E1AFA">
        <w:rPr>
          <w:rStyle w:val="s1"/>
          <w:rFonts w:ascii="Arial" w:hAnsi="Arial" w:cs="Arial"/>
          <w:sz w:val="22"/>
          <w:szCs w:val="22"/>
        </w:rPr>
        <w:t xml:space="preserve"> achiev</w:t>
      </w:r>
      <w:r w:rsidR="00D46D57">
        <w:rPr>
          <w:rStyle w:val="s1"/>
          <w:rFonts w:ascii="Arial" w:hAnsi="Arial" w:cs="Arial"/>
          <w:sz w:val="22"/>
          <w:szCs w:val="22"/>
        </w:rPr>
        <w:t>ing</w:t>
      </w:r>
      <w:r w:rsidR="004515C0" w:rsidRPr="004E1AFA">
        <w:rPr>
          <w:rStyle w:val="s1"/>
          <w:rFonts w:ascii="Arial" w:hAnsi="Arial" w:cs="Arial"/>
          <w:sz w:val="22"/>
          <w:szCs w:val="22"/>
        </w:rPr>
        <w:t xml:space="preserve"> the greatest possible </w:t>
      </w:r>
      <w:r w:rsidR="00A84873">
        <w:rPr>
          <w:rStyle w:val="s1"/>
          <w:rFonts w:ascii="Arial" w:hAnsi="Arial" w:cs="Arial"/>
          <w:sz w:val="22"/>
          <w:szCs w:val="22"/>
        </w:rPr>
        <w:t>support and growth</w:t>
      </w:r>
      <w:r w:rsidR="004515C0" w:rsidRPr="004E1AFA">
        <w:rPr>
          <w:rStyle w:val="s1"/>
          <w:rFonts w:ascii="Arial" w:hAnsi="Arial" w:cs="Arial"/>
          <w:sz w:val="22"/>
          <w:szCs w:val="22"/>
        </w:rPr>
        <w:t xml:space="preserve"> for all music students by </w:t>
      </w:r>
      <w:r w:rsidR="00CD730D">
        <w:rPr>
          <w:rStyle w:val="s1"/>
          <w:rFonts w:ascii="Arial" w:hAnsi="Arial" w:cs="Arial"/>
          <w:sz w:val="22"/>
          <w:szCs w:val="22"/>
        </w:rPr>
        <w:t>ensuring</w:t>
      </w:r>
      <w:r w:rsidR="004515C0" w:rsidRPr="004E1AFA">
        <w:rPr>
          <w:rStyle w:val="s1"/>
          <w:rFonts w:ascii="Arial" w:hAnsi="Arial" w:cs="Arial"/>
          <w:sz w:val="22"/>
          <w:szCs w:val="22"/>
        </w:rPr>
        <w:t xml:space="preserve"> best practice for myself and my peers and by contributing to the growing body of high-quality research in vocal pedagogy and </w:t>
      </w:r>
      <w:r w:rsidR="00404445" w:rsidRPr="004E1AFA">
        <w:rPr>
          <w:rStyle w:val="s1"/>
          <w:rFonts w:ascii="Arial" w:hAnsi="Arial" w:cs="Arial"/>
          <w:sz w:val="22"/>
          <w:szCs w:val="22"/>
        </w:rPr>
        <w:t>beyond.</w:t>
      </w:r>
    </w:p>
    <w:p w14:paraId="2C326571" w14:textId="77777777" w:rsidR="004F68C8" w:rsidRDefault="004F68C8" w:rsidP="006D573A">
      <w:pPr>
        <w:keepNext/>
        <w:keepLines/>
        <w:spacing w:before="30" w:after="0" w:line="360" w:lineRule="auto"/>
        <w:jc w:val="center"/>
        <w:outlineLvl w:val="1"/>
        <w:rPr>
          <w:rFonts w:ascii="Arial" w:eastAsiaTheme="majorEastAsia" w:hAnsi="Arial" w:cs="Arial"/>
          <w:b/>
          <w:bCs/>
          <w:kern w:val="0"/>
          <w:sz w:val="22"/>
          <w:szCs w:val="22"/>
          <w:lang w:val="en-US" w:eastAsia="en-US"/>
          <w14:ligatures w14:val="none"/>
        </w:rPr>
      </w:pPr>
      <w:bookmarkStart w:id="8" w:name="_Toc206086386"/>
    </w:p>
    <w:p w14:paraId="10697AD4" w14:textId="246A7432" w:rsidR="00844C0A" w:rsidRDefault="00844C0A" w:rsidP="006D573A">
      <w:pPr>
        <w:keepNext/>
        <w:keepLines/>
        <w:spacing w:before="30" w:after="0" w:line="360" w:lineRule="auto"/>
        <w:jc w:val="center"/>
        <w:outlineLvl w:val="1"/>
        <w:rPr>
          <w:rFonts w:ascii="Arial" w:eastAsiaTheme="majorEastAsia" w:hAnsi="Arial" w:cs="Arial"/>
          <w:b/>
          <w:bCs/>
          <w:kern w:val="0"/>
          <w:sz w:val="22"/>
          <w:szCs w:val="22"/>
          <w:lang w:val="en-US" w:eastAsia="en-US"/>
          <w14:ligatures w14:val="none"/>
        </w:rPr>
      </w:pPr>
      <w:r w:rsidRPr="004E1AFA">
        <w:rPr>
          <w:rFonts w:ascii="Arial" w:eastAsiaTheme="majorEastAsia" w:hAnsi="Arial" w:cs="Arial"/>
          <w:b/>
          <w:bCs/>
          <w:kern w:val="0"/>
          <w:sz w:val="22"/>
          <w:szCs w:val="22"/>
          <w:lang w:val="en-US" w:eastAsia="en-US"/>
          <w14:ligatures w14:val="none"/>
        </w:rPr>
        <w:t>References</w:t>
      </w:r>
      <w:bookmarkEnd w:id="8"/>
    </w:p>
    <w:p w14:paraId="6AFF27AA" w14:textId="77777777" w:rsidR="006D573A" w:rsidRPr="004E1AFA" w:rsidRDefault="006D573A" w:rsidP="006D573A">
      <w:pPr>
        <w:keepNext/>
        <w:keepLines/>
        <w:spacing w:before="30" w:after="0" w:line="360" w:lineRule="auto"/>
        <w:jc w:val="center"/>
        <w:outlineLvl w:val="1"/>
        <w:rPr>
          <w:rFonts w:ascii="Arial" w:eastAsiaTheme="majorEastAsia" w:hAnsi="Arial" w:cs="Arial"/>
          <w:b/>
          <w:bCs/>
          <w:kern w:val="0"/>
          <w:sz w:val="22"/>
          <w:szCs w:val="22"/>
          <w:lang w:val="en-US" w:eastAsia="en-US"/>
          <w14:ligatures w14:val="none"/>
        </w:rPr>
      </w:pPr>
    </w:p>
    <w:p w14:paraId="2995BD25" w14:textId="4BA4F523" w:rsidR="000B68C2" w:rsidRDefault="00F17375" w:rsidP="004E1AFA">
      <w:pPr>
        <w:spacing w:before="30" w:after="200" w:line="360" w:lineRule="auto"/>
        <w:rPr>
          <w:rFonts w:ascii="Arial" w:hAnsi="Arial" w:cs="Arial"/>
          <w:kern w:val="0"/>
          <w:sz w:val="22"/>
          <w:szCs w:val="22"/>
          <w:lang w:val="en-US" w:eastAsia="en-US"/>
          <w14:ligatures w14:val="none"/>
        </w:rPr>
      </w:pPr>
      <w:r w:rsidRPr="00F17375">
        <w:rPr>
          <w:rFonts w:ascii="Arial" w:hAnsi="Arial" w:cs="Arial"/>
          <w:kern w:val="0"/>
          <w:sz w:val="22"/>
          <w:szCs w:val="22"/>
          <w:lang w:val="en-US" w:eastAsia="en-US"/>
          <w14:ligatures w14:val="none"/>
        </w:rPr>
        <w:t xml:space="preserve">Anne, S., Ishman, S.L. and Sethuraman, U., 2010. A conscious sedation protocol for pediatric </w:t>
      </w:r>
      <w:proofErr w:type="spellStart"/>
      <w:r w:rsidRPr="00F17375">
        <w:rPr>
          <w:rFonts w:ascii="Arial" w:hAnsi="Arial" w:cs="Arial"/>
          <w:kern w:val="0"/>
          <w:sz w:val="22"/>
          <w:szCs w:val="22"/>
          <w:lang w:val="en-US" w:eastAsia="en-US"/>
          <w14:ligatures w14:val="none"/>
        </w:rPr>
        <w:t>videolaryngostroboscopy</w:t>
      </w:r>
      <w:proofErr w:type="spellEnd"/>
      <w:r w:rsidRPr="00F17375">
        <w:rPr>
          <w:rFonts w:ascii="Arial" w:hAnsi="Arial" w:cs="Arial"/>
          <w:kern w:val="0"/>
          <w:sz w:val="22"/>
          <w:szCs w:val="22"/>
          <w:lang w:val="en-US" w:eastAsia="en-US"/>
          <w14:ligatures w14:val="none"/>
        </w:rPr>
        <w:t>. International Journal of Pediatrics, 2010, 186290.</w:t>
      </w:r>
    </w:p>
    <w:p w14:paraId="19CF6112" w14:textId="77777777" w:rsidR="00F17375" w:rsidRDefault="00F17375" w:rsidP="004E1AFA">
      <w:pPr>
        <w:spacing w:before="30" w:after="200" w:line="360" w:lineRule="auto"/>
        <w:rPr>
          <w:rFonts w:ascii="Arial" w:hAnsi="Arial" w:cs="Arial"/>
          <w:kern w:val="0"/>
          <w:sz w:val="22"/>
          <w:szCs w:val="22"/>
          <w:lang w:val="en-US" w:eastAsia="en-US"/>
          <w14:ligatures w14:val="none"/>
        </w:rPr>
      </w:pPr>
    </w:p>
    <w:p w14:paraId="7667A00E" w14:textId="6B1D43C0" w:rsidR="00F17375" w:rsidRDefault="0068167D" w:rsidP="004E1AFA">
      <w:pPr>
        <w:spacing w:before="30" w:after="200" w:line="360" w:lineRule="auto"/>
        <w:rPr>
          <w:rFonts w:ascii="Arial" w:hAnsi="Arial" w:cs="Arial"/>
          <w:kern w:val="0"/>
          <w:sz w:val="22"/>
          <w:szCs w:val="22"/>
          <w:lang w:val="en-US" w:eastAsia="en-US"/>
          <w14:ligatures w14:val="none"/>
        </w:rPr>
      </w:pPr>
      <w:r w:rsidRPr="0068167D">
        <w:rPr>
          <w:rFonts w:ascii="Arial" w:hAnsi="Arial" w:cs="Arial"/>
          <w:kern w:val="0"/>
          <w:sz w:val="22"/>
          <w:szCs w:val="22"/>
          <w:lang w:val="en-US" w:eastAsia="en-US"/>
          <w14:ligatures w14:val="none"/>
        </w:rPr>
        <w:t>Anyan, F., 2013. The influence of power shifts in data collection and analysis stages: A focus on qualitative research interview. The Qualitative Report, 18(18), pp.1–9.</w:t>
      </w:r>
    </w:p>
    <w:p w14:paraId="1EDF38B8" w14:textId="77777777" w:rsidR="00AC0EF4" w:rsidRDefault="00AC0EF4" w:rsidP="004E1AFA">
      <w:pPr>
        <w:spacing w:before="30" w:after="200" w:line="360" w:lineRule="auto"/>
        <w:rPr>
          <w:rFonts w:ascii="Arial" w:hAnsi="Arial" w:cs="Arial"/>
          <w:kern w:val="0"/>
          <w:sz w:val="22"/>
          <w:szCs w:val="22"/>
          <w:lang w:val="en-US" w:eastAsia="en-US"/>
          <w14:ligatures w14:val="none"/>
        </w:rPr>
      </w:pPr>
    </w:p>
    <w:p w14:paraId="5EF91331" w14:textId="6EA218BB" w:rsidR="000B68C2" w:rsidRDefault="00063418" w:rsidP="004E1AFA">
      <w:pPr>
        <w:spacing w:before="30" w:after="200" w:line="360" w:lineRule="auto"/>
        <w:rPr>
          <w:rFonts w:ascii="Arial" w:hAnsi="Arial" w:cs="Arial"/>
          <w:kern w:val="0"/>
          <w:sz w:val="22"/>
          <w:szCs w:val="22"/>
          <w:lang w:val="en-US" w:eastAsia="en-US"/>
          <w14:ligatures w14:val="none"/>
        </w:rPr>
      </w:pPr>
      <w:r w:rsidRPr="00063418">
        <w:rPr>
          <w:rFonts w:ascii="Arial" w:hAnsi="Arial" w:cs="Arial"/>
          <w:kern w:val="0"/>
          <w:sz w:val="22"/>
          <w:szCs w:val="22"/>
          <w:lang w:val="en-US" w:eastAsia="en-US"/>
          <w14:ligatures w14:val="none"/>
        </w:rPr>
        <w:t>BERA (British Educational Research Association), 2018. Ethical Guidelines for Educational Research. 4th ed. London: BERA.</w:t>
      </w:r>
    </w:p>
    <w:p w14:paraId="1D34F86F" w14:textId="77777777" w:rsidR="00DA0055" w:rsidRDefault="00DA0055" w:rsidP="004E1AFA">
      <w:pPr>
        <w:spacing w:before="30" w:after="200" w:line="360" w:lineRule="auto"/>
        <w:rPr>
          <w:rFonts w:ascii="Arial" w:hAnsi="Arial" w:cs="Arial"/>
          <w:kern w:val="0"/>
          <w:sz w:val="22"/>
          <w:szCs w:val="22"/>
          <w:lang w:val="en-US" w:eastAsia="en-US"/>
          <w14:ligatures w14:val="none"/>
        </w:rPr>
      </w:pPr>
    </w:p>
    <w:p w14:paraId="1EAA1AC8" w14:textId="34E013B4" w:rsidR="00D40F4F" w:rsidRDefault="00DA0055" w:rsidP="004E1AFA">
      <w:pPr>
        <w:spacing w:before="30" w:after="200" w:line="360" w:lineRule="auto"/>
        <w:rPr>
          <w:rFonts w:ascii="Arial" w:hAnsi="Arial" w:cs="Arial"/>
          <w:kern w:val="0"/>
          <w:sz w:val="22"/>
          <w:szCs w:val="22"/>
          <w:lang w:val="en-US" w:eastAsia="en-US"/>
          <w14:ligatures w14:val="none"/>
        </w:rPr>
      </w:pPr>
      <w:r w:rsidRPr="00EF0966">
        <w:rPr>
          <w:rFonts w:ascii="Arial" w:hAnsi="Arial" w:cs="Arial"/>
          <w:kern w:val="0"/>
          <w:sz w:val="22"/>
          <w:szCs w:val="22"/>
          <w:lang w:val="en-US" w:eastAsia="en-US"/>
          <w14:ligatures w14:val="none"/>
        </w:rPr>
        <w:t>Bergold, J. and Thomas, S., 2012. Participatory research methods: a methodological approach in motion. Historical Social Research, 37(4), pp.191–222.</w:t>
      </w:r>
    </w:p>
    <w:p w14:paraId="515D63D3" w14:textId="7085FAF2" w:rsidR="0033043B" w:rsidRDefault="00844C0A" w:rsidP="004E1AFA">
      <w:pPr>
        <w:spacing w:before="30" w:after="200" w:line="360" w:lineRule="auto"/>
        <w:rPr>
          <w:rFonts w:ascii="Arial" w:hAnsi="Arial" w:cs="Arial"/>
          <w:kern w:val="0"/>
          <w:sz w:val="22"/>
          <w:szCs w:val="22"/>
          <w:lang w:val="en-US" w:eastAsia="en-US"/>
          <w14:ligatures w14:val="none"/>
        </w:rPr>
      </w:pPr>
      <w:proofErr w:type="spellStart"/>
      <w:r w:rsidRPr="004E1AFA">
        <w:rPr>
          <w:rFonts w:ascii="Arial" w:hAnsi="Arial" w:cs="Arial"/>
          <w:kern w:val="0"/>
          <w:sz w:val="22"/>
          <w:szCs w:val="22"/>
          <w:lang w:val="en-US" w:eastAsia="en-US"/>
          <w14:ligatures w14:val="none"/>
        </w:rPr>
        <w:t>Blaxter</w:t>
      </w:r>
      <w:proofErr w:type="spellEnd"/>
      <w:r w:rsidRPr="004E1AFA">
        <w:rPr>
          <w:rFonts w:ascii="Arial" w:hAnsi="Arial" w:cs="Arial"/>
          <w:kern w:val="0"/>
          <w:sz w:val="22"/>
          <w:szCs w:val="22"/>
          <w:lang w:val="en-US" w:eastAsia="en-US"/>
          <w14:ligatures w14:val="none"/>
        </w:rPr>
        <w:t>, L., Hughes, C. and Tight, M. (2010) How to research. 4th ed</w:t>
      </w:r>
      <w:r w:rsidR="00EE69BE">
        <w:rPr>
          <w:rFonts w:ascii="Arial" w:hAnsi="Arial" w:cs="Arial"/>
          <w:kern w:val="0"/>
          <w:sz w:val="22"/>
          <w:szCs w:val="22"/>
          <w:lang w:val="en-US" w:eastAsia="en-US"/>
          <w14:ligatures w14:val="none"/>
        </w:rPr>
        <w:t>ition</w:t>
      </w:r>
      <w:r w:rsidRPr="004E1AFA">
        <w:rPr>
          <w:rFonts w:ascii="Arial" w:hAnsi="Arial" w:cs="Arial"/>
          <w:kern w:val="0"/>
          <w:sz w:val="22"/>
          <w:szCs w:val="22"/>
          <w:lang w:val="en-US" w:eastAsia="en-US"/>
          <w14:ligatures w14:val="none"/>
        </w:rPr>
        <w:t>. Maidenhead: Open University Press.</w:t>
      </w:r>
      <w:r w:rsidRPr="004E1AFA">
        <w:rPr>
          <w:rFonts w:ascii="Arial" w:hAnsi="Arial" w:cs="Arial"/>
          <w:kern w:val="0"/>
          <w:sz w:val="22"/>
          <w:szCs w:val="22"/>
          <w:lang w:val="en-US" w:eastAsia="en-US"/>
          <w14:ligatures w14:val="none"/>
        </w:rPr>
        <w:br/>
      </w:r>
      <w:r w:rsidRPr="004E1AFA">
        <w:rPr>
          <w:rFonts w:ascii="Arial" w:hAnsi="Arial" w:cs="Arial"/>
          <w:kern w:val="0"/>
          <w:sz w:val="22"/>
          <w:szCs w:val="22"/>
          <w:lang w:val="en-US" w:eastAsia="en-US"/>
          <w14:ligatures w14:val="none"/>
        </w:rPr>
        <w:br/>
        <w:t>Braun, V. and Clarke, V. (2006) ‘Using thematic analysis in psychology’, Qualitative Research in Psychology, 3(2), pp. 77–101.</w:t>
      </w:r>
      <w:r w:rsidRPr="004E1AFA">
        <w:rPr>
          <w:rFonts w:ascii="Arial" w:hAnsi="Arial" w:cs="Arial"/>
          <w:kern w:val="0"/>
          <w:sz w:val="22"/>
          <w:szCs w:val="22"/>
          <w:lang w:val="en-US" w:eastAsia="en-US"/>
          <w14:ligatures w14:val="none"/>
        </w:rPr>
        <w:br/>
      </w:r>
      <w:r w:rsidRPr="004E1AFA">
        <w:rPr>
          <w:rFonts w:ascii="Arial" w:hAnsi="Arial" w:cs="Arial"/>
          <w:kern w:val="0"/>
          <w:sz w:val="22"/>
          <w:szCs w:val="22"/>
          <w:lang w:val="en-US" w:eastAsia="en-US"/>
          <w14:ligatures w14:val="none"/>
        </w:rPr>
        <w:br/>
      </w:r>
      <w:r w:rsidR="0033043B" w:rsidRPr="0033043B">
        <w:rPr>
          <w:rFonts w:ascii="Arial" w:hAnsi="Arial" w:cs="Arial"/>
          <w:kern w:val="0"/>
          <w:sz w:val="22"/>
          <w:szCs w:val="22"/>
          <w:lang w:val="en-US" w:eastAsia="en-US"/>
          <w14:ligatures w14:val="none"/>
        </w:rPr>
        <w:t xml:space="preserve">Bryman, A., 2007. Barriers to integrating quantitative and qualitative research. Journal of Mixed Methods Research, 1(1), pp.8–22. </w:t>
      </w:r>
      <w:hyperlink r:id="rId8" w:history="1">
        <w:r w:rsidR="00F30CFA" w:rsidRPr="00BB5280">
          <w:rPr>
            <w:rStyle w:val="Hyperlink"/>
            <w:rFonts w:ascii="Arial" w:hAnsi="Arial" w:cs="Arial"/>
            <w:kern w:val="0"/>
            <w:sz w:val="22"/>
            <w:szCs w:val="22"/>
            <w:lang w:val="en-US" w:eastAsia="en-US"/>
            <w14:ligatures w14:val="none"/>
          </w:rPr>
          <w:t>https://doi.org/10.1177/2345678906290531</w:t>
        </w:r>
      </w:hyperlink>
      <w:r w:rsidR="0033043B" w:rsidRPr="0033043B">
        <w:rPr>
          <w:rFonts w:ascii="Arial" w:hAnsi="Arial" w:cs="Arial"/>
          <w:kern w:val="0"/>
          <w:sz w:val="22"/>
          <w:szCs w:val="22"/>
          <w:lang w:val="en-US" w:eastAsia="en-US"/>
          <w14:ligatures w14:val="none"/>
        </w:rPr>
        <w:t>.</w:t>
      </w:r>
    </w:p>
    <w:p w14:paraId="4918DD10" w14:textId="77777777" w:rsidR="0033043B" w:rsidRDefault="0033043B" w:rsidP="004E1AFA">
      <w:pPr>
        <w:spacing w:before="30" w:after="200" w:line="360" w:lineRule="auto"/>
        <w:rPr>
          <w:rFonts w:ascii="Arial" w:hAnsi="Arial" w:cs="Arial"/>
          <w:kern w:val="0"/>
          <w:sz w:val="22"/>
          <w:szCs w:val="22"/>
          <w:lang w:val="en-US" w:eastAsia="en-US"/>
          <w14:ligatures w14:val="none"/>
        </w:rPr>
      </w:pPr>
    </w:p>
    <w:p w14:paraId="41C00FC2" w14:textId="06CB8779" w:rsidR="00A363CC"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t>Cohen, L., Manion, L. and Morrison, K. (2013) Research methods in education. 7th ed</w:t>
      </w:r>
      <w:r w:rsidR="00EE69BE">
        <w:rPr>
          <w:rFonts w:ascii="Arial" w:hAnsi="Arial" w:cs="Arial"/>
          <w:kern w:val="0"/>
          <w:sz w:val="22"/>
          <w:szCs w:val="22"/>
          <w:lang w:val="en-US" w:eastAsia="en-US"/>
          <w14:ligatures w14:val="none"/>
        </w:rPr>
        <w:t>ition</w:t>
      </w:r>
      <w:r w:rsidRPr="004E1AFA">
        <w:rPr>
          <w:rFonts w:ascii="Arial" w:hAnsi="Arial" w:cs="Arial"/>
          <w:kern w:val="0"/>
          <w:sz w:val="22"/>
          <w:szCs w:val="22"/>
          <w:lang w:val="en-US" w:eastAsia="en-US"/>
          <w14:ligatures w14:val="none"/>
        </w:rPr>
        <w:t>. London: Routledge.</w:t>
      </w:r>
      <w:r w:rsidRPr="004E1AFA">
        <w:rPr>
          <w:rFonts w:ascii="Arial" w:hAnsi="Arial" w:cs="Arial"/>
          <w:kern w:val="0"/>
          <w:sz w:val="22"/>
          <w:szCs w:val="22"/>
          <w:lang w:val="en-US" w:eastAsia="en-US"/>
          <w14:ligatures w14:val="none"/>
        </w:rPr>
        <w:br/>
      </w:r>
      <w:r w:rsidRPr="004E1AFA">
        <w:rPr>
          <w:rFonts w:ascii="Arial" w:hAnsi="Arial" w:cs="Arial"/>
          <w:kern w:val="0"/>
          <w:sz w:val="22"/>
          <w:szCs w:val="22"/>
          <w:lang w:val="en-US" w:eastAsia="en-US"/>
          <w14:ligatures w14:val="none"/>
        </w:rPr>
        <w:br/>
        <w:t>Costley, C., Elliott, G. and Gibbs, P. (2012) Doing work based research: approaches to enquiry for insider-researchers. London: Sage.</w:t>
      </w:r>
      <w:r w:rsidRPr="004E1AFA">
        <w:rPr>
          <w:rFonts w:ascii="Arial" w:hAnsi="Arial" w:cs="Arial"/>
          <w:kern w:val="0"/>
          <w:sz w:val="22"/>
          <w:szCs w:val="22"/>
          <w:lang w:val="en-US" w:eastAsia="en-US"/>
          <w14:ligatures w14:val="none"/>
        </w:rPr>
        <w:br/>
      </w:r>
    </w:p>
    <w:p w14:paraId="371863D0" w14:textId="6D71F2F1" w:rsidR="007523F9" w:rsidRDefault="004F7A9D" w:rsidP="004E1AFA">
      <w:pPr>
        <w:spacing w:before="30" w:after="200" w:line="360" w:lineRule="auto"/>
        <w:rPr>
          <w:rFonts w:ascii="Arial" w:hAnsi="Arial" w:cs="Arial"/>
          <w:kern w:val="0"/>
          <w:sz w:val="22"/>
          <w:szCs w:val="22"/>
          <w:lang w:val="en-US" w:eastAsia="en-US"/>
          <w14:ligatures w14:val="none"/>
        </w:rPr>
      </w:pPr>
      <w:r w:rsidRPr="004F7A9D">
        <w:rPr>
          <w:rFonts w:ascii="Arial" w:hAnsi="Arial" w:cs="Arial"/>
          <w:kern w:val="0"/>
          <w:sz w:val="22"/>
          <w:szCs w:val="22"/>
          <w:lang w:val="en-US" w:eastAsia="en-US"/>
          <w14:ligatures w14:val="none"/>
        </w:rPr>
        <w:t>Creswell, J.W. and Creswell, J.D., 2018. Research Design: Qualitative, Quantitative, and Mixed Methods Approaches. 5th ed. Thousand Oaks, CA: SAGE.</w:t>
      </w:r>
    </w:p>
    <w:p w14:paraId="208B2A52" w14:textId="77777777" w:rsidR="007523F9" w:rsidRDefault="007523F9" w:rsidP="004E1AFA">
      <w:pPr>
        <w:spacing w:before="30" w:after="200" w:line="360" w:lineRule="auto"/>
        <w:rPr>
          <w:rFonts w:ascii="Arial" w:hAnsi="Arial" w:cs="Arial"/>
          <w:kern w:val="0"/>
          <w:sz w:val="22"/>
          <w:szCs w:val="22"/>
          <w:lang w:val="en-US" w:eastAsia="en-US"/>
          <w14:ligatures w14:val="none"/>
        </w:rPr>
      </w:pPr>
    </w:p>
    <w:p w14:paraId="005CE124" w14:textId="7B5463FB" w:rsidR="00D73A4F" w:rsidRDefault="00A14192" w:rsidP="004E1AFA">
      <w:pPr>
        <w:spacing w:before="30" w:after="200" w:line="360" w:lineRule="auto"/>
        <w:rPr>
          <w:rFonts w:ascii="Arial" w:hAnsi="Arial" w:cs="Arial"/>
          <w:kern w:val="0"/>
          <w:sz w:val="22"/>
          <w:szCs w:val="22"/>
          <w:lang w:val="en-US" w:eastAsia="en-US"/>
          <w14:ligatures w14:val="none"/>
        </w:rPr>
      </w:pPr>
      <w:r w:rsidRPr="00A14192">
        <w:rPr>
          <w:rFonts w:ascii="Arial" w:hAnsi="Arial" w:cs="Arial"/>
          <w:kern w:val="0"/>
          <w:sz w:val="22"/>
          <w:szCs w:val="22"/>
          <w:lang w:val="en-US" w:eastAsia="en-US"/>
          <w14:ligatures w14:val="none"/>
        </w:rPr>
        <w:t xml:space="preserve">Creswell, J.W. and Plano Clark, V.L., 2018. Designing and Conducting Mixed Methods Research. 3rd ed. Thousand Oaks, CA: SAGE. [Online] Available at: </w:t>
      </w:r>
      <w:hyperlink r:id="rId9" w:history="1">
        <w:r w:rsidRPr="00BB5280">
          <w:rPr>
            <w:rStyle w:val="Hyperlink"/>
            <w:rFonts w:ascii="Arial" w:hAnsi="Arial" w:cs="Arial"/>
            <w:kern w:val="0"/>
            <w:sz w:val="22"/>
            <w:szCs w:val="22"/>
            <w:lang w:val="en-US" w:eastAsia="en-US"/>
            <w14:ligatures w14:val="none"/>
          </w:rPr>
          <w:t>https://study.sagepub.com/creswell3e</w:t>
        </w:r>
      </w:hyperlink>
    </w:p>
    <w:p w14:paraId="738E77CF" w14:textId="77777777" w:rsidR="0061669D" w:rsidRDefault="0061669D" w:rsidP="004E1AFA">
      <w:pPr>
        <w:spacing w:before="30" w:after="200" w:line="360" w:lineRule="auto"/>
        <w:rPr>
          <w:rFonts w:ascii="Arial" w:hAnsi="Arial" w:cs="Arial"/>
          <w:kern w:val="0"/>
          <w:sz w:val="22"/>
          <w:szCs w:val="22"/>
          <w:lang w:val="en-US" w:eastAsia="en-US"/>
          <w14:ligatures w14:val="none"/>
        </w:rPr>
      </w:pPr>
    </w:p>
    <w:p w14:paraId="32441B8C" w14:textId="412E08C7" w:rsidR="0061669D" w:rsidRDefault="00757AA5" w:rsidP="004E1AFA">
      <w:pPr>
        <w:spacing w:before="30" w:after="200" w:line="360" w:lineRule="auto"/>
        <w:rPr>
          <w:rFonts w:ascii="Arial" w:hAnsi="Arial" w:cs="Arial"/>
          <w:kern w:val="0"/>
          <w:sz w:val="22"/>
          <w:szCs w:val="22"/>
          <w:lang w:val="en-US" w:eastAsia="en-US"/>
          <w14:ligatures w14:val="none"/>
        </w:rPr>
      </w:pPr>
      <w:r w:rsidRPr="00757AA5">
        <w:rPr>
          <w:rFonts w:ascii="Arial" w:hAnsi="Arial" w:cs="Arial"/>
          <w:kern w:val="0"/>
          <w:sz w:val="22"/>
          <w:szCs w:val="22"/>
          <w:lang w:val="en-US" w:eastAsia="en-US"/>
          <w14:ligatures w14:val="none"/>
        </w:rPr>
        <w:t>Crotty, M., 1998. The Foundations of Social Research: Meaning and Perspective in the Research Process. London: SAGE.</w:t>
      </w:r>
    </w:p>
    <w:p w14:paraId="70FB00CD" w14:textId="77777777" w:rsidR="00A14192" w:rsidRDefault="00A14192" w:rsidP="004E1AFA">
      <w:pPr>
        <w:spacing w:before="30" w:after="200" w:line="360" w:lineRule="auto"/>
        <w:rPr>
          <w:rFonts w:ascii="Arial" w:hAnsi="Arial" w:cs="Arial"/>
          <w:kern w:val="0"/>
          <w:sz w:val="22"/>
          <w:szCs w:val="22"/>
          <w:lang w:val="en-US" w:eastAsia="en-US"/>
          <w14:ligatures w14:val="none"/>
        </w:rPr>
      </w:pPr>
    </w:p>
    <w:p w14:paraId="5E95F6A1" w14:textId="296964A1" w:rsidR="007D5748" w:rsidRDefault="007E7283" w:rsidP="004E1AFA">
      <w:pPr>
        <w:spacing w:before="30" w:after="200" w:line="360" w:lineRule="auto"/>
        <w:rPr>
          <w:rFonts w:ascii="Arial" w:hAnsi="Arial" w:cs="Arial"/>
          <w:kern w:val="0"/>
          <w:sz w:val="22"/>
          <w:szCs w:val="22"/>
          <w:lang w:val="en-US" w:eastAsia="en-US"/>
          <w14:ligatures w14:val="none"/>
        </w:rPr>
      </w:pPr>
      <w:r w:rsidRPr="007E7283">
        <w:rPr>
          <w:rFonts w:ascii="Arial" w:hAnsi="Arial" w:cs="Arial"/>
          <w:kern w:val="0"/>
          <w:sz w:val="22"/>
          <w:szCs w:val="22"/>
          <w:lang w:val="en-US" w:eastAsia="en-US"/>
          <w14:ligatures w14:val="none"/>
        </w:rPr>
        <w:t>DeVellis, R.F., 2017. Scale Development: Theory and Applications. 4th ed. Thousand Oaks, CA: SAGE.</w:t>
      </w:r>
    </w:p>
    <w:p w14:paraId="7BEE9E6E" w14:textId="77777777" w:rsidR="007D5748" w:rsidRDefault="007D5748" w:rsidP="004E1AFA">
      <w:pPr>
        <w:spacing w:before="30" w:after="200" w:line="360" w:lineRule="auto"/>
        <w:rPr>
          <w:rFonts w:ascii="Arial" w:hAnsi="Arial" w:cs="Arial"/>
          <w:kern w:val="0"/>
          <w:sz w:val="22"/>
          <w:szCs w:val="22"/>
          <w:lang w:val="en-US" w:eastAsia="en-US"/>
          <w14:ligatures w14:val="none"/>
        </w:rPr>
      </w:pPr>
    </w:p>
    <w:p w14:paraId="7F4FA130" w14:textId="38662BE3" w:rsidR="00357824" w:rsidRDefault="00357824" w:rsidP="004E1AFA">
      <w:pPr>
        <w:spacing w:before="30" w:after="200" w:line="360" w:lineRule="auto"/>
        <w:rPr>
          <w:rFonts w:ascii="Arial" w:hAnsi="Arial" w:cs="Arial"/>
          <w:kern w:val="0"/>
          <w:sz w:val="22"/>
          <w:szCs w:val="22"/>
          <w:lang w:val="en-US" w:eastAsia="en-US"/>
          <w14:ligatures w14:val="none"/>
        </w:rPr>
      </w:pPr>
      <w:r w:rsidRPr="00357824">
        <w:rPr>
          <w:rFonts w:ascii="Arial" w:hAnsi="Arial" w:cs="Arial"/>
          <w:kern w:val="0"/>
          <w:sz w:val="22"/>
          <w:szCs w:val="22"/>
          <w:lang w:val="en-US" w:eastAsia="en-US"/>
          <w14:ligatures w14:val="none"/>
        </w:rPr>
        <w:t xml:space="preserve">DeWalt, K.M. and DeWalt, B.R., 2011. Participant Observation: A Guide for Fieldworkers. 2nd ed. Lanham, MD: </w:t>
      </w:r>
      <w:proofErr w:type="spellStart"/>
      <w:r w:rsidRPr="00357824">
        <w:rPr>
          <w:rFonts w:ascii="Arial" w:hAnsi="Arial" w:cs="Arial"/>
          <w:kern w:val="0"/>
          <w:sz w:val="22"/>
          <w:szCs w:val="22"/>
          <w:lang w:val="en-US" w:eastAsia="en-US"/>
          <w14:ligatures w14:val="none"/>
        </w:rPr>
        <w:t>AltaMira</w:t>
      </w:r>
      <w:proofErr w:type="spellEnd"/>
      <w:r w:rsidRPr="00357824">
        <w:rPr>
          <w:rFonts w:ascii="Arial" w:hAnsi="Arial" w:cs="Arial"/>
          <w:kern w:val="0"/>
          <w:sz w:val="22"/>
          <w:szCs w:val="22"/>
          <w:lang w:val="en-US" w:eastAsia="en-US"/>
          <w14:ligatures w14:val="none"/>
        </w:rPr>
        <w:t xml:space="preserve"> Press.</w:t>
      </w:r>
    </w:p>
    <w:p w14:paraId="41E78012" w14:textId="77777777" w:rsidR="0063499D" w:rsidRDefault="0063499D" w:rsidP="004E1AFA">
      <w:pPr>
        <w:spacing w:before="30" w:after="200" w:line="360" w:lineRule="auto"/>
        <w:rPr>
          <w:rFonts w:ascii="Arial" w:hAnsi="Arial" w:cs="Arial"/>
          <w:kern w:val="0"/>
          <w:sz w:val="22"/>
          <w:szCs w:val="22"/>
          <w:lang w:val="en-US" w:eastAsia="en-US"/>
          <w14:ligatures w14:val="none"/>
        </w:rPr>
      </w:pPr>
    </w:p>
    <w:p w14:paraId="6614BF2F" w14:textId="56833EE5" w:rsidR="0063499D" w:rsidRDefault="0063499D" w:rsidP="004E1AFA">
      <w:pPr>
        <w:spacing w:before="30" w:after="200" w:line="360" w:lineRule="auto"/>
        <w:rPr>
          <w:rFonts w:ascii="Arial" w:hAnsi="Arial" w:cs="Arial"/>
          <w:kern w:val="0"/>
          <w:sz w:val="22"/>
          <w:szCs w:val="22"/>
          <w:lang w:val="en-US" w:eastAsia="en-US"/>
          <w14:ligatures w14:val="none"/>
        </w:rPr>
      </w:pPr>
      <w:r w:rsidRPr="0063499D">
        <w:rPr>
          <w:rFonts w:ascii="Arial" w:hAnsi="Arial" w:cs="Arial"/>
          <w:kern w:val="0"/>
          <w:sz w:val="22"/>
          <w:szCs w:val="22"/>
          <w:lang w:val="en-US" w:eastAsia="en-US"/>
          <w14:ligatures w14:val="none"/>
        </w:rPr>
        <w:t>Dwyer, S.C. and Buckle, J.L., 2009. The space between: On being an insider–outsider in qualitative research. International Journal of Qualitative Methods, 8(1), pp.54–63.</w:t>
      </w:r>
    </w:p>
    <w:p w14:paraId="3D6306CF" w14:textId="77777777" w:rsidR="00F10AC5" w:rsidRDefault="00F10AC5" w:rsidP="004E1AFA">
      <w:pPr>
        <w:spacing w:before="30" w:after="200" w:line="360" w:lineRule="auto"/>
        <w:rPr>
          <w:rFonts w:ascii="Arial" w:hAnsi="Arial" w:cs="Arial"/>
          <w:kern w:val="0"/>
          <w:sz w:val="22"/>
          <w:szCs w:val="22"/>
          <w:lang w:val="en-US" w:eastAsia="en-US"/>
          <w14:ligatures w14:val="none"/>
        </w:rPr>
      </w:pPr>
    </w:p>
    <w:p w14:paraId="473D13AC" w14:textId="1169CDF4" w:rsidR="00F10AC5" w:rsidRDefault="00E55C11" w:rsidP="004E1AFA">
      <w:pPr>
        <w:spacing w:before="30" w:after="200" w:line="360" w:lineRule="auto"/>
        <w:rPr>
          <w:rFonts w:ascii="Arial" w:hAnsi="Arial" w:cs="Arial"/>
          <w:kern w:val="0"/>
          <w:sz w:val="22"/>
          <w:szCs w:val="22"/>
          <w:lang w:val="en-US" w:eastAsia="en-US"/>
          <w14:ligatures w14:val="none"/>
        </w:rPr>
      </w:pPr>
      <w:r w:rsidRPr="00E55C11">
        <w:rPr>
          <w:rFonts w:ascii="Arial" w:hAnsi="Arial" w:cs="Arial"/>
          <w:kern w:val="0"/>
          <w:sz w:val="22"/>
          <w:szCs w:val="22"/>
          <w:lang w:val="en-US" w:eastAsia="en-US"/>
          <w14:ligatures w14:val="none"/>
        </w:rPr>
        <w:t xml:space="preserve">European Union, 2016. Regulation (EU) 2016/679 of the European Parliament and of the Council of 27 April 2016 (General Data Protection Regulation). Official Journal of the European Union, L119, pp.1–88. Available at: </w:t>
      </w:r>
      <w:hyperlink r:id="rId10" w:history="1">
        <w:r w:rsidR="001E2B32" w:rsidRPr="00BB5280">
          <w:rPr>
            <w:rStyle w:val="Hyperlink"/>
            <w:rFonts w:ascii="Arial" w:hAnsi="Arial" w:cs="Arial"/>
            <w:kern w:val="0"/>
            <w:sz w:val="22"/>
            <w:szCs w:val="22"/>
            <w:lang w:val="en-US" w:eastAsia="en-US"/>
            <w14:ligatures w14:val="none"/>
          </w:rPr>
          <w:t>https://eur-lex.europa.eu/eli/reg/2016/679/oj/eng</w:t>
        </w:r>
      </w:hyperlink>
    </w:p>
    <w:p w14:paraId="4CB0F784" w14:textId="77777777" w:rsidR="00357824" w:rsidRDefault="00357824" w:rsidP="004E1AFA">
      <w:pPr>
        <w:spacing w:before="30" w:after="200" w:line="360" w:lineRule="auto"/>
        <w:rPr>
          <w:rFonts w:ascii="Arial" w:hAnsi="Arial" w:cs="Arial"/>
          <w:kern w:val="0"/>
          <w:sz w:val="22"/>
          <w:szCs w:val="22"/>
          <w:lang w:val="en-US" w:eastAsia="en-US"/>
          <w14:ligatures w14:val="none"/>
        </w:rPr>
      </w:pPr>
    </w:p>
    <w:p w14:paraId="67F0807E" w14:textId="12235831" w:rsidR="00E25202" w:rsidRDefault="00A363CC" w:rsidP="004E1AFA">
      <w:pPr>
        <w:spacing w:before="30" w:after="200" w:line="360" w:lineRule="auto"/>
        <w:rPr>
          <w:rFonts w:ascii="Arial" w:hAnsi="Arial" w:cs="Arial"/>
          <w:kern w:val="0"/>
          <w:sz w:val="22"/>
          <w:szCs w:val="22"/>
          <w:lang w:val="en-US" w:eastAsia="en-US"/>
          <w14:ligatures w14:val="none"/>
        </w:rPr>
      </w:pPr>
      <w:r w:rsidRPr="00A363CC">
        <w:rPr>
          <w:rFonts w:ascii="Arial" w:hAnsi="Arial" w:cs="Arial"/>
          <w:kern w:val="0"/>
          <w:sz w:val="22"/>
          <w:szCs w:val="22"/>
          <w:lang w:val="en-US" w:eastAsia="en-US"/>
          <w14:ligatures w14:val="none"/>
        </w:rPr>
        <w:t xml:space="preserve">Hartwig, K., 2025. Research methodologies in music education. In: K. Hartwig, ed. Research Methodologies in Music Education. [online] Newcastle upon Tyne: Cambridge Scholars Publishing, pp. XX–XX. Available at: </w:t>
      </w:r>
      <w:hyperlink r:id="rId11" w:history="1">
        <w:r w:rsidR="00A14192" w:rsidRPr="00BB5280">
          <w:rPr>
            <w:rStyle w:val="Hyperlink"/>
            <w:rFonts w:ascii="Arial" w:hAnsi="Arial" w:cs="Arial"/>
            <w:kern w:val="0"/>
            <w:sz w:val="22"/>
            <w:szCs w:val="22"/>
            <w:lang w:val="en-US" w:eastAsia="en-US"/>
            <w14:ligatures w14:val="none"/>
          </w:rPr>
          <w:t>https://www.cambridgescholars.com/resources/pdfs/978-1-4438-5416-0-sample.pdf</w:t>
        </w:r>
      </w:hyperlink>
      <w:r w:rsidRPr="00A363CC">
        <w:rPr>
          <w:rFonts w:ascii="Arial" w:hAnsi="Arial" w:cs="Arial"/>
          <w:kern w:val="0"/>
          <w:sz w:val="22"/>
          <w:szCs w:val="22"/>
          <w:lang w:val="en-US" w:eastAsia="en-US"/>
          <w14:ligatures w14:val="none"/>
        </w:rPr>
        <w:t xml:space="preserve"> </w:t>
      </w:r>
    </w:p>
    <w:p w14:paraId="6172AEF7" w14:textId="77777777" w:rsidR="00791B49" w:rsidRDefault="00791B49" w:rsidP="004E1AFA">
      <w:pPr>
        <w:spacing w:before="30" w:after="200" w:line="360" w:lineRule="auto"/>
        <w:rPr>
          <w:rFonts w:ascii="Arial" w:hAnsi="Arial" w:cs="Arial"/>
          <w:kern w:val="0"/>
          <w:sz w:val="22"/>
          <w:szCs w:val="22"/>
          <w:lang w:val="en-US" w:eastAsia="en-US"/>
          <w14:ligatures w14:val="none"/>
        </w:rPr>
      </w:pPr>
    </w:p>
    <w:p w14:paraId="23DFA5BC" w14:textId="3E453C3E" w:rsidR="002E117A" w:rsidRDefault="004D0AA5" w:rsidP="004E1AFA">
      <w:pPr>
        <w:spacing w:before="30" w:after="200" w:line="360" w:lineRule="auto"/>
        <w:rPr>
          <w:rFonts w:ascii="Arial" w:hAnsi="Arial" w:cs="Arial"/>
          <w:kern w:val="0"/>
          <w:sz w:val="22"/>
          <w:szCs w:val="22"/>
          <w:lang w:val="en-US" w:eastAsia="en-US"/>
          <w14:ligatures w14:val="none"/>
        </w:rPr>
      </w:pPr>
      <w:r w:rsidRPr="004D0AA5">
        <w:rPr>
          <w:rFonts w:ascii="Arial" w:hAnsi="Arial" w:cs="Arial"/>
          <w:kern w:val="0"/>
          <w:sz w:val="22"/>
          <w:szCs w:val="22"/>
          <w:lang w:val="en-US" w:eastAsia="en-US"/>
          <w14:ligatures w14:val="none"/>
        </w:rPr>
        <w:lastRenderedPageBreak/>
        <w:t xml:space="preserve">Herbst, C.T., 2023. Acoustical theory of vowel modification strategies in belting. Journal of Voice. [Online] Available at: </w:t>
      </w:r>
      <w:hyperlink r:id="rId12" w:history="1">
        <w:r w:rsidRPr="00BB5280">
          <w:rPr>
            <w:rStyle w:val="Hyperlink"/>
            <w:rFonts w:ascii="Arial" w:hAnsi="Arial" w:cs="Arial"/>
            <w:kern w:val="0"/>
            <w:sz w:val="22"/>
            <w:szCs w:val="22"/>
            <w:lang w:val="en-US" w:eastAsia="en-US"/>
            <w14:ligatures w14:val="none"/>
          </w:rPr>
          <w:t>https://www.jvoice.org/article/S0892-1997%2823%2900004-8/abstract</w:t>
        </w:r>
      </w:hyperlink>
    </w:p>
    <w:p w14:paraId="4FC20201" w14:textId="77777777" w:rsidR="009E7A9D" w:rsidRDefault="009E7A9D" w:rsidP="004E1AFA">
      <w:pPr>
        <w:spacing w:before="30" w:after="200" w:line="360" w:lineRule="auto"/>
        <w:rPr>
          <w:rFonts w:ascii="Arial" w:hAnsi="Arial" w:cs="Arial"/>
          <w:kern w:val="0"/>
          <w:sz w:val="22"/>
          <w:szCs w:val="22"/>
          <w:lang w:val="en-US" w:eastAsia="en-US"/>
          <w14:ligatures w14:val="none"/>
        </w:rPr>
      </w:pPr>
    </w:p>
    <w:p w14:paraId="36DFFFF3" w14:textId="07CCA89B" w:rsidR="009E7A9D" w:rsidRDefault="004F254E" w:rsidP="004E1AFA">
      <w:pPr>
        <w:spacing w:before="30" w:after="200" w:line="360" w:lineRule="auto"/>
        <w:rPr>
          <w:rFonts w:ascii="Arial" w:hAnsi="Arial" w:cs="Arial"/>
          <w:kern w:val="0"/>
          <w:sz w:val="22"/>
          <w:szCs w:val="22"/>
          <w:lang w:val="en-US" w:eastAsia="en-US"/>
          <w14:ligatures w14:val="none"/>
        </w:rPr>
      </w:pPr>
      <w:r w:rsidRPr="004F254E">
        <w:rPr>
          <w:rFonts w:ascii="Arial" w:hAnsi="Arial" w:cs="Arial"/>
          <w:kern w:val="0"/>
          <w:sz w:val="22"/>
          <w:szCs w:val="22"/>
          <w:lang w:val="en-US" w:eastAsia="en-US"/>
          <w14:ligatures w14:val="none"/>
        </w:rPr>
        <w:t>Finlay, L., 2002. “Outing” the researcher: The provenance, process, and practice of reflexivity. Qualitative Health Research, 12(4), pp.531–545.</w:t>
      </w:r>
      <w:r>
        <w:rPr>
          <w:rFonts w:ascii="Arial" w:hAnsi="Arial" w:cs="Arial"/>
          <w:kern w:val="0"/>
          <w:sz w:val="22"/>
          <w:szCs w:val="22"/>
          <w:lang w:val="en-US" w:eastAsia="en-US"/>
          <w14:ligatures w14:val="none"/>
        </w:rPr>
        <w:t xml:space="preserve"> </w:t>
      </w:r>
    </w:p>
    <w:p w14:paraId="6FABE963" w14:textId="77777777" w:rsidR="002E117A" w:rsidRDefault="002E117A" w:rsidP="004E1AFA">
      <w:pPr>
        <w:spacing w:before="30" w:after="200" w:line="360" w:lineRule="auto"/>
        <w:rPr>
          <w:rFonts w:ascii="Arial" w:hAnsi="Arial" w:cs="Arial"/>
          <w:kern w:val="0"/>
          <w:sz w:val="22"/>
          <w:szCs w:val="22"/>
          <w:lang w:val="en-US" w:eastAsia="en-US"/>
          <w14:ligatures w14:val="none"/>
        </w:rPr>
      </w:pPr>
    </w:p>
    <w:p w14:paraId="4F950D51" w14:textId="2A14276C" w:rsidR="000C14C7" w:rsidRDefault="00791B49" w:rsidP="004E1AFA">
      <w:pPr>
        <w:spacing w:before="30" w:after="200" w:line="360" w:lineRule="auto"/>
        <w:rPr>
          <w:rFonts w:ascii="Arial" w:hAnsi="Arial" w:cs="Arial"/>
          <w:kern w:val="0"/>
          <w:sz w:val="22"/>
          <w:szCs w:val="22"/>
          <w:lang w:val="en-US" w:eastAsia="en-US"/>
          <w14:ligatures w14:val="none"/>
        </w:rPr>
      </w:pPr>
      <w:proofErr w:type="spellStart"/>
      <w:r w:rsidRPr="00791B49">
        <w:rPr>
          <w:rFonts w:ascii="Arial" w:hAnsi="Arial" w:cs="Arial"/>
          <w:kern w:val="0"/>
          <w:sz w:val="22"/>
          <w:szCs w:val="22"/>
          <w:lang w:val="en-US" w:eastAsia="en-US"/>
          <w14:ligatures w14:val="none"/>
        </w:rPr>
        <w:t>Jick</w:t>
      </w:r>
      <w:proofErr w:type="spellEnd"/>
      <w:r w:rsidRPr="00791B49">
        <w:rPr>
          <w:rFonts w:ascii="Arial" w:hAnsi="Arial" w:cs="Arial"/>
          <w:kern w:val="0"/>
          <w:sz w:val="22"/>
          <w:szCs w:val="22"/>
          <w:lang w:val="en-US" w:eastAsia="en-US"/>
          <w14:ligatures w14:val="none"/>
        </w:rPr>
        <w:t xml:space="preserve">, T.D., 1979. Mixing qualitative and quantitative methods: Triangulation in action. Administrative Science Quarterly, 24(4), pp.602–611. https://doi.org/10.2307/2392366. [Online] Available at: </w:t>
      </w:r>
      <w:hyperlink r:id="rId13" w:history="1">
        <w:r w:rsidR="008F27DF" w:rsidRPr="00BB5280">
          <w:rPr>
            <w:rStyle w:val="Hyperlink"/>
            <w:rFonts w:ascii="Arial" w:hAnsi="Arial" w:cs="Arial"/>
            <w:kern w:val="0"/>
            <w:sz w:val="22"/>
            <w:szCs w:val="22"/>
            <w:lang w:val="en-US" w:eastAsia="en-US"/>
            <w14:ligatures w14:val="none"/>
          </w:rPr>
          <w:t>https://www.jstor.org/stable/2392366</w:t>
        </w:r>
      </w:hyperlink>
    </w:p>
    <w:p w14:paraId="3F9B294D" w14:textId="77777777" w:rsidR="008F27DF" w:rsidRDefault="008F27DF" w:rsidP="004E1AFA">
      <w:pPr>
        <w:spacing w:before="30" w:after="200" w:line="360" w:lineRule="auto"/>
        <w:rPr>
          <w:rFonts w:ascii="Arial" w:hAnsi="Arial" w:cs="Arial"/>
          <w:kern w:val="0"/>
          <w:sz w:val="22"/>
          <w:szCs w:val="22"/>
          <w:lang w:val="en-US" w:eastAsia="en-US"/>
          <w14:ligatures w14:val="none"/>
        </w:rPr>
      </w:pPr>
    </w:p>
    <w:p w14:paraId="428208C5" w14:textId="722AA1A6" w:rsidR="008F27DF" w:rsidRDefault="00E37636" w:rsidP="004E1AFA">
      <w:pPr>
        <w:spacing w:before="30" w:after="200" w:line="360" w:lineRule="auto"/>
        <w:rPr>
          <w:rFonts w:ascii="Arial" w:hAnsi="Arial" w:cs="Arial"/>
          <w:kern w:val="0"/>
          <w:sz w:val="22"/>
          <w:szCs w:val="22"/>
          <w:lang w:val="en-US" w:eastAsia="en-US"/>
          <w14:ligatures w14:val="none"/>
        </w:rPr>
      </w:pPr>
      <w:r w:rsidRPr="00E37636">
        <w:rPr>
          <w:rFonts w:ascii="Arial" w:hAnsi="Arial" w:cs="Arial"/>
          <w:kern w:val="0"/>
          <w:sz w:val="22"/>
          <w:szCs w:val="22"/>
          <w:lang w:val="en-US" w:eastAsia="en-US"/>
          <w14:ligatures w14:val="none"/>
        </w:rPr>
        <w:t>Kaiser, K., 2009. Protecting respondent confidentiality in qualitative research. Qualitative Health Research, 19(11), pp.1632–1641.</w:t>
      </w:r>
      <w:r w:rsidR="00814B46">
        <w:rPr>
          <w:rFonts w:ascii="Arial" w:hAnsi="Arial" w:cs="Arial"/>
          <w:kern w:val="0"/>
          <w:sz w:val="22"/>
          <w:szCs w:val="22"/>
          <w:lang w:val="en-US" w:eastAsia="en-US"/>
          <w14:ligatures w14:val="none"/>
        </w:rPr>
        <w:t xml:space="preserve"> </w:t>
      </w:r>
      <w:r w:rsidR="00981910" w:rsidRPr="00981910">
        <w:rPr>
          <w:rFonts w:ascii="Arial" w:hAnsi="Arial" w:cs="Arial"/>
          <w:kern w:val="0"/>
          <w:sz w:val="22"/>
          <w:szCs w:val="22"/>
          <w:lang w:val="en-US" w:eastAsia="en-US"/>
          <w14:ligatures w14:val="none"/>
        </w:rPr>
        <w:t>Available at:</w:t>
      </w:r>
      <w:r w:rsidR="00981910">
        <w:rPr>
          <w:rFonts w:ascii="Arial" w:hAnsi="Arial" w:cs="Arial"/>
          <w:kern w:val="0"/>
          <w:sz w:val="22"/>
          <w:szCs w:val="22"/>
          <w:lang w:val="en-US" w:eastAsia="en-US"/>
          <w14:ligatures w14:val="none"/>
        </w:rPr>
        <w:t xml:space="preserve"> </w:t>
      </w:r>
      <w:hyperlink r:id="rId14" w:history="1">
        <w:r w:rsidR="00981910" w:rsidRPr="00BB5280">
          <w:rPr>
            <w:rStyle w:val="Hyperlink"/>
            <w:rFonts w:ascii="Arial" w:hAnsi="Arial" w:cs="Arial"/>
            <w:kern w:val="0"/>
            <w:sz w:val="22"/>
            <w:szCs w:val="22"/>
            <w:lang w:val="en-US" w:eastAsia="en-US"/>
            <w14:ligatures w14:val="none"/>
          </w:rPr>
          <w:t>https://pubmed.ncbi.nlm.nih.gov/19843971/</w:t>
        </w:r>
      </w:hyperlink>
    </w:p>
    <w:p w14:paraId="2BA17969" w14:textId="77777777" w:rsidR="00BF529A" w:rsidRDefault="00BF529A" w:rsidP="004E1AFA">
      <w:pPr>
        <w:spacing w:before="30" w:after="200" w:line="360" w:lineRule="auto"/>
        <w:rPr>
          <w:rFonts w:ascii="Arial" w:hAnsi="Arial" w:cs="Arial"/>
          <w:kern w:val="0"/>
          <w:sz w:val="22"/>
          <w:szCs w:val="22"/>
          <w:lang w:val="en-US" w:eastAsia="en-US"/>
          <w14:ligatures w14:val="none"/>
        </w:rPr>
      </w:pPr>
    </w:p>
    <w:p w14:paraId="70B32405" w14:textId="26E988AB" w:rsidR="00BF529A" w:rsidRDefault="00B6145D" w:rsidP="004E1AFA">
      <w:pPr>
        <w:spacing w:before="30" w:after="200" w:line="360" w:lineRule="auto"/>
        <w:rPr>
          <w:rFonts w:ascii="Arial" w:hAnsi="Arial" w:cs="Arial"/>
          <w:kern w:val="0"/>
          <w:sz w:val="22"/>
          <w:szCs w:val="22"/>
          <w:lang w:val="en-US" w:eastAsia="en-US"/>
          <w14:ligatures w14:val="none"/>
        </w:rPr>
      </w:pPr>
      <w:r w:rsidRPr="00B6145D">
        <w:rPr>
          <w:rFonts w:ascii="Arial" w:hAnsi="Arial" w:cs="Arial"/>
          <w:kern w:val="0"/>
          <w:sz w:val="22"/>
          <w:szCs w:val="22"/>
          <w:lang w:val="en-US" w:eastAsia="en-US"/>
          <w14:ligatures w14:val="none"/>
        </w:rPr>
        <w:t xml:space="preserve">Kenny, D.T., 2011. The Psychology of Music Performance Anxiety. Oxford: Oxford University Press. Available at: </w:t>
      </w:r>
      <w:hyperlink r:id="rId15" w:history="1">
        <w:r w:rsidRPr="00BB5280">
          <w:rPr>
            <w:rStyle w:val="Hyperlink"/>
            <w:rFonts w:ascii="Arial" w:hAnsi="Arial" w:cs="Arial"/>
            <w:kern w:val="0"/>
            <w:sz w:val="22"/>
            <w:szCs w:val="22"/>
            <w:lang w:val="en-US" w:eastAsia="en-US"/>
            <w14:ligatures w14:val="none"/>
          </w:rPr>
          <w:t>https://global.oup.com/academic/product/the-psychology-of-music-performance-anxiety-9780199586141</w:t>
        </w:r>
      </w:hyperlink>
    </w:p>
    <w:p w14:paraId="4F302E43" w14:textId="77777777" w:rsidR="00B6145D" w:rsidRDefault="00B6145D" w:rsidP="004E1AFA">
      <w:pPr>
        <w:spacing w:before="30" w:after="200" w:line="360" w:lineRule="auto"/>
        <w:rPr>
          <w:rFonts w:ascii="Arial" w:hAnsi="Arial" w:cs="Arial"/>
          <w:kern w:val="0"/>
          <w:sz w:val="22"/>
          <w:szCs w:val="22"/>
          <w:lang w:val="en-US" w:eastAsia="en-US"/>
          <w14:ligatures w14:val="none"/>
        </w:rPr>
      </w:pPr>
    </w:p>
    <w:p w14:paraId="5013C618" w14:textId="2021574D" w:rsidR="00560389" w:rsidRDefault="00EC4CAB" w:rsidP="004E1AFA">
      <w:pPr>
        <w:spacing w:before="30" w:after="200" w:line="360" w:lineRule="auto"/>
        <w:rPr>
          <w:rFonts w:ascii="Arial" w:hAnsi="Arial" w:cs="Arial"/>
          <w:kern w:val="0"/>
          <w:sz w:val="22"/>
          <w:szCs w:val="22"/>
          <w:lang w:val="en-US" w:eastAsia="en-US"/>
          <w14:ligatures w14:val="none"/>
        </w:rPr>
      </w:pPr>
      <w:r w:rsidRPr="00EC4CAB">
        <w:rPr>
          <w:rFonts w:ascii="Arial" w:hAnsi="Arial" w:cs="Arial"/>
          <w:kern w:val="0"/>
          <w:sz w:val="22"/>
          <w:szCs w:val="22"/>
          <w:lang w:val="en-US" w:eastAsia="en-US"/>
          <w14:ligatures w14:val="none"/>
        </w:rPr>
        <w:t>Krueger, R.A. and Casey, M.A., 2014. Focus Groups: A Practical Guide for Applied Research. 5th ed. Thousand Oaks, CA: SAGE.</w:t>
      </w:r>
    </w:p>
    <w:p w14:paraId="2757D749" w14:textId="77777777" w:rsidR="00DA0055" w:rsidRDefault="00DA0055" w:rsidP="004E1AFA">
      <w:pPr>
        <w:spacing w:before="30" w:after="200" w:line="360" w:lineRule="auto"/>
        <w:rPr>
          <w:rFonts w:ascii="Arial" w:hAnsi="Arial" w:cs="Arial"/>
          <w:kern w:val="0"/>
          <w:sz w:val="22"/>
          <w:szCs w:val="22"/>
          <w:lang w:val="en-US" w:eastAsia="en-US"/>
          <w14:ligatures w14:val="none"/>
        </w:rPr>
      </w:pPr>
    </w:p>
    <w:p w14:paraId="1603A55F" w14:textId="22FA75C3" w:rsidR="00560389" w:rsidRDefault="00560389" w:rsidP="004E1AFA">
      <w:pPr>
        <w:spacing w:before="30" w:after="200" w:line="360" w:lineRule="auto"/>
        <w:rPr>
          <w:rFonts w:ascii="Arial" w:hAnsi="Arial" w:cs="Arial"/>
          <w:kern w:val="0"/>
          <w:sz w:val="22"/>
          <w:szCs w:val="22"/>
          <w:lang w:val="en-US" w:eastAsia="en-US"/>
          <w14:ligatures w14:val="none"/>
        </w:rPr>
      </w:pPr>
      <w:r w:rsidRPr="00560389">
        <w:rPr>
          <w:rFonts w:ascii="Arial" w:hAnsi="Arial" w:cs="Arial"/>
          <w:kern w:val="0"/>
          <w:sz w:val="22"/>
          <w:szCs w:val="22"/>
          <w:lang w:val="en-US" w:eastAsia="en-US"/>
          <w14:ligatures w14:val="none"/>
        </w:rPr>
        <w:t xml:space="preserve">Gaunt, H. and Westerlund, H. (eds.), 2013. Collaborative Learning in Higher Music Education. Farnham: Ashgate/Routledge. [Online] Available at: </w:t>
      </w:r>
      <w:hyperlink r:id="rId16" w:history="1">
        <w:r w:rsidRPr="00BB5280">
          <w:rPr>
            <w:rStyle w:val="Hyperlink"/>
            <w:rFonts w:ascii="Arial" w:hAnsi="Arial" w:cs="Arial"/>
            <w:kern w:val="0"/>
            <w:sz w:val="22"/>
            <w:szCs w:val="22"/>
            <w:lang w:val="en-US" w:eastAsia="en-US"/>
            <w14:ligatures w14:val="none"/>
          </w:rPr>
          <w:t>https://www.taylorfrancis.com/books/edit/10.4324/9781315572642/collaborative-learning-higher-music-education-helena-gaunt-heidi-westerlund</w:t>
        </w:r>
      </w:hyperlink>
    </w:p>
    <w:p w14:paraId="43FF2CFC" w14:textId="77777777" w:rsidR="005D536B" w:rsidRDefault="005D536B" w:rsidP="004E1AFA">
      <w:pPr>
        <w:spacing w:before="30" w:after="200" w:line="360" w:lineRule="auto"/>
        <w:rPr>
          <w:rFonts w:ascii="Arial" w:hAnsi="Arial" w:cs="Arial"/>
          <w:kern w:val="0"/>
          <w:sz w:val="22"/>
          <w:szCs w:val="22"/>
          <w:lang w:val="en-US" w:eastAsia="en-US"/>
          <w14:ligatures w14:val="none"/>
        </w:rPr>
      </w:pPr>
    </w:p>
    <w:p w14:paraId="1A7A09EA" w14:textId="66F4F6F8" w:rsidR="005D536B" w:rsidRDefault="005D536B" w:rsidP="004E1AFA">
      <w:pPr>
        <w:spacing w:before="30" w:after="200" w:line="360" w:lineRule="auto"/>
        <w:rPr>
          <w:rFonts w:ascii="Arial" w:hAnsi="Arial" w:cs="Arial"/>
          <w:kern w:val="0"/>
          <w:sz w:val="22"/>
          <w:szCs w:val="22"/>
          <w:lang w:val="en-US" w:eastAsia="en-US"/>
          <w14:ligatures w14:val="none"/>
        </w:rPr>
      </w:pPr>
      <w:r w:rsidRPr="005D536B">
        <w:rPr>
          <w:rFonts w:ascii="Arial" w:hAnsi="Arial" w:cs="Arial"/>
          <w:kern w:val="0"/>
          <w:sz w:val="22"/>
          <w:szCs w:val="22"/>
          <w:lang w:val="en-US" w:eastAsia="en-US"/>
          <w14:ligatures w14:val="none"/>
        </w:rPr>
        <w:lastRenderedPageBreak/>
        <w:t>Grady, M.L. and Cook-Cunningham, S.L., 2020. The effects of three physical and vocal warm-up procedures on acoustic and perceptual measures of choral sound: Study replication with younger populations. Journal of Voice, 34(4), pp.647.</w:t>
      </w:r>
    </w:p>
    <w:p w14:paraId="0AA5E3B6" w14:textId="77777777" w:rsidR="004E47C9"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br/>
        <w:t>Gray, D.E. (2004) Doing research in the real world. London: Sage.</w:t>
      </w:r>
      <w:r w:rsidRPr="004E1AFA">
        <w:rPr>
          <w:rFonts w:ascii="Arial" w:hAnsi="Arial" w:cs="Arial"/>
          <w:kern w:val="0"/>
          <w:sz w:val="22"/>
          <w:szCs w:val="22"/>
          <w:lang w:val="en-US" w:eastAsia="en-US"/>
          <w14:ligatures w14:val="none"/>
        </w:rPr>
        <w:br/>
      </w:r>
    </w:p>
    <w:p w14:paraId="1B2FF4FA" w14:textId="561609E1" w:rsidR="004E47C9" w:rsidRDefault="004E47C9" w:rsidP="004E1AFA">
      <w:pPr>
        <w:spacing w:before="30" w:after="200" w:line="360" w:lineRule="auto"/>
        <w:rPr>
          <w:rFonts w:ascii="Arial" w:hAnsi="Arial" w:cs="Arial"/>
          <w:kern w:val="0"/>
          <w:sz w:val="22"/>
          <w:szCs w:val="22"/>
          <w:lang w:val="en-US" w:eastAsia="en-US"/>
          <w14:ligatures w14:val="none"/>
        </w:rPr>
      </w:pPr>
      <w:r w:rsidRPr="004E47C9">
        <w:rPr>
          <w:rFonts w:ascii="Arial" w:hAnsi="Arial" w:cs="Arial"/>
          <w:kern w:val="0"/>
          <w:sz w:val="22"/>
          <w:szCs w:val="22"/>
          <w:lang w:val="en-US" w:eastAsia="en-US"/>
          <w14:ligatures w14:val="none"/>
        </w:rPr>
        <w:t>Likert, R., 1932. A Technique for the Measurement of Attitudes. Archives of Psychology, 140, pp.1–55.</w:t>
      </w:r>
    </w:p>
    <w:p w14:paraId="732F3908" w14:textId="191D7C22" w:rsidR="00E403B3"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br/>
        <w:t>McCoy, S. (2012) Your voice: an inside view. 2nd ed</w:t>
      </w:r>
      <w:r w:rsidR="00EE69BE">
        <w:rPr>
          <w:rFonts w:ascii="Arial" w:hAnsi="Arial" w:cs="Arial"/>
          <w:kern w:val="0"/>
          <w:sz w:val="22"/>
          <w:szCs w:val="22"/>
          <w:lang w:val="en-US" w:eastAsia="en-US"/>
          <w14:ligatures w14:val="none"/>
        </w:rPr>
        <w:t>itio</w:t>
      </w:r>
      <w:r w:rsidRPr="004E1AFA">
        <w:rPr>
          <w:rFonts w:ascii="Arial" w:hAnsi="Arial" w:cs="Arial"/>
          <w:kern w:val="0"/>
          <w:sz w:val="22"/>
          <w:szCs w:val="22"/>
          <w:lang w:val="en-US" w:eastAsia="en-US"/>
          <w14:ligatures w14:val="none"/>
        </w:rPr>
        <w:t>n. Princeton, NJ: Inside View Press.</w:t>
      </w:r>
      <w:r w:rsidRPr="004E1AFA">
        <w:rPr>
          <w:rFonts w:ascii="Arial" w:hAnsi="Arial" w:cs="Arial"/>
          <w:kern w:val="0"/>
          <w:sz w:val="22"/>
          <w:szCs w:val="22"/>
          <w:lang w:val="en-US" w:eastAsia="en-US"/>
          <w14:ligatures w14:val="none"/>
        </w:rPr>
        <w:br/>
      </w:r>
    </w:p>
    <w:p w14:paraId="64EC7C16" w14:textId="1F78C6CC" w:rsidR="0054697A" w:rsidRDefault="00E403B3" w:rsidP="004E1AFA">
      <w:pPr>
        <w:spacing w:before="30" w:after="200" w:line="360" w:lineRule="auto"/>
        <w:rPr>
          <w:rFonts w:ascii="Arial" w:hAnsi="Arial" w:cs="Arial"/>
          <w:kern w:val="0"/>
          <w:sz w:val="22"/>
          <w:szCs w:val="22"/>
          <w:lang w:val="en-US" w:eastAsia="en-US"/>
          <w14:ligatures w14:val="none"/>
        </w:rPr>
      </w:pPr>
      <w:r w:rsidRPr="00E403B3">
        <w:rPr>
          <w:rFonts w:ascii="Arial" w:hAnsi="Arial" w:cs="Arial"/>
          <w:kern w:val="0"/>
          <w:sz w:val="22"/>
          <w:szCs w:val="22"/>
          <w:lang w:val="en-US" w:eastAsia="en-US"/>
          <w14:ligatures w14:val="none"/>
        </w:rPr>
        <w:t xml:space="preserve">Menard, S., 2002. Longitudinal Research. 2nd ed. Thousand Oaks, CA: SAGE (Quantitative Applications in the Social Sciences). Available at: </w:t>
      </w:r>
      <w:hyperlink r:id="rId17" w:history="1">
        <w:r w:rsidR="0054697A" w:rsidRPr="00BB5280">
          <w:rPr>
            <w:rStyle w:val="Hyperlink"/>
            <w:rFonts w:ascii="Arial" w:hAnsi="Arial" w:cs="Arial"/>
            <w:kern w:val="0"/>
            <w:sz w:val="22"/>
            <w:szCs w:val="22"/>
            <w:lang w:val="en-US" w:eastAsia="en-US"/>
            <w14:ligatures w14:val="none"/>
          </w:rPr>
          <w:t>https://methods.sagepub.com/book/mono/longitudinal-research/toc</w:t>
        </w:r>
      </w:hyperlink>
    </w:p>
    <w:p w14:paraId="37FF96EE" w14:textId="1A3AF8C3" w:rsidR="00800924"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br/>
      </w:r>
      <w:r w:rsidR="00800924" w:rsidRPr="00800924">
        <w:rPr>
          <w:rFonts w:ascii="Arial" w:hAnsi="Arial" w:cs="Arial"/>
          <w:kern w:val="0"/>
          <w:sz w:val="22"/>
          <w:szCs w:val="22"/>
          <w:lang w:val="en-US" w:eastAsia="en-US"/>
          <w14:ligatures w14:val="none"/>
        </w:rPr>
        <w:t xml:space="preserve">Mercer, J., 2007. The challenges of insider research in educational institutions: Wielding a double-edged sword and resolving delicate dilemmas. Oxford Review of Education, 33(1), pp.1–17. Available at: </w:t>
      </w:r>
      <w:hyperlink r:id="rId18" w:history="1">
        <w:r w:rsidR="00400A58" w:rsidRPr="00BB5280">
          <w:rPr>
            <w:rStyle w:val="Hyperlink"/>
            <w:rFonts w:ascii="Arial" w:hAnsi="Arial" w:cs="Arial"/>
            <w:kern w:val="0"/>
            <w:sz w:val="22"/>
            <w:szCs w:val="22"/>
            <w:lang w:val="en-US" w:eastAsia="en-US"/>
            <w14:ligatures w14:val="none"/>
          </w:rPr>
          <w:t>https://warwick.ac.uk/fac/soc/ces/postgrads/teachfirst/induction/mercer_2007_insider_research.pdf</w:t>
        </w:r>
      </w:hyperlink>
    </w:p>
    <w:p w14:paraId="43B52A65" w14:textId="77777777" w:rsidR="00800924" w:rsidRDefault="00800924" w:rsidP="004E1AFA">
      <w:pPr>
        <w:spacing w:before="30" w:after="200" w:line="360" w:lineRule="auto"/>
        <w:rPr>
          <w:rFonts w:ascii="Arial" w:hAnsi="Arial" w:cs="Arial"/>
          <w:kern w:val="0"/>
          <w:sz w:val="22"/>
          <w:szCs w:val="22"/>
          <w:lang w:val="en-US" w:eastAsia="en-US"/>
          <w14:ligatures w14:val="none"/>
        </w:rPr>
      </w:pPr>
    </w:p>
    <w:p w14:paraId="0996CDE7" w14:textId="634E08D1" w:rsidR="00A03DDD"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t>Miller, R. (1996) On the art of singing. Oxford: Oxford University Press.</w:t>
      </w:r>
      <w:r w:rsidRPr="004E1AFA">
        <w:rPr>
          <w:rFonts w:ascii="Arial" w:hAnsi="Arial" w:cs="Arial"/>
          <w:kern w:val="0"/>
          <w:sz w:val="22"/>
          <w:szCs w:val="22"/>
          <w:lang w:val="en-US" w:eastAsia="en-US"/>
          <w14:ligatures w14:val="none"/>
        </w:rPr>
        <w:br/>
      </w:r>
      <w:r w:rsidRPr="004E1AFA">
        <w:rPr>
          <w:rFonts w:ascii="Arial" w:hAnsi="Arial" w:cs="Arial"/>
          <w:kern w:val="0"/>
          <w:sz w:val="22"/>
          <w:szCs w:val="22"/>
          <w:lang w:val="en-US" w:eastAsia="en-US"/>
          <w14:ligatures w14:val="none"/>
        </w:rPr>
        <w:br/>
        <w:t>Reason, P. and Bradbury, H. (eds.) (2001) Handbook of action research: participative inquiry and practice. London: Sage.</w:t>
      </w:r>
      <w:r w:rsidRPr="004E1AFA">
        <w:rPr>
          <w:rFonts w:ascii="Arial" w:hAnsi="Arial" w:cs="Arial"/>
          <w:kern w:val="0"/>
          <w:sz w:val="22"/>
          <w:szCs w:val="22"/>
          <w:lang w:val="en-US" w:eastAsia="en-US"/>
          <w14:ligatures w14:val="none"/>
        </w:rPr>
        <w:br/>
      </w:r>
      <w:r w:rsidRPr="004E1AFA">
        <w:rPr>
          <w:rFonts w:ascii="Arial" w:hAnsi="Arial" w:cs="Arial"/>
          <w:kern w:val="0"/>
          <w:sz w:val="22"/>
          <w:szCs w:val="22"/>
          <w:lang w:val="en-US" w:eastAsia="en-US"/>
          <w14:ligatures w14:val="none"/>
        </w:rPr>
        <w:br/>
        <w:t>Saunders, M., Lewis, P. and Thornhill, A. (2009) Research methods for business students. 5th ed</w:t>
      </w:r>
      <w:r w:rsidR="00EE69BE">
        <w:rPr>
          <w:rFonts w:ascii="Arial" w:hAnsi="Arial" w:cs="Arial"/>
          <w:kern w:val="0"/>
          <w:sz w:val="22"/>
          <w:szCs w:val="22"/>
          <w:lang w:val="en-US" w:eastAsia="en-US"/>
          <w14:ligatures w14:val="none"/>
        </w:rPr>
        <w:t>ition</w:t>
      </w:r>
      <w:r w:rsidRPr="004E1AFA">
        <w:rPr>
          <w:rFonts w:ascii="Arial" w:hAnsi="Arial" w:cs="Arial"/>
          <w:kern w:val="0"/>
          <w:sz w:val="22"/>
          <w:szCs w:val="22"/>
          <w:lang w:val="en-US" w:eastAsia="en-US"/>
          <w14:ligatures w14:val="none"/>
        </w:rPr>
        <w:t>. Harlow: Pearson Education.</w:t>
      </w:r>
      <w:r w:rsidRPr="004E1AFA">
        <w:rPr>
          <w:rFonts w:ascii="Arial" w:hAnsi="Arial" w:cs="Arial"/>
          <w:kern w:val="0"/>
          <w:sz w:val="22"/>
          <w:szCs w:val="22"/>
          <w:lang w:val="en-US" w:eastAsia="en-US"/>
          <w14:ligatures w14:val="none"/>
        </w:rPr>
        <w:br/>
      </w:r>
    </w:p>
    <w:p w14:paraId="50715D9B" w14:textId="2226E242" w:rsidR="00A03DDD" w:rsidRDefault="00F56A3F" w:rsidP="004E1AFA">
      <w:pPr>
        <w:spacing w:before="30" w:after="200" w:line="360" w:lineRule="auto"/>
        <w:rPr>
          <w:rFonts w:ascii="Arial" w:hAnsi="Arial" w:cs="Arial"/>
          <w:kern w:val="0"/>
          <w:sz w:val="22"/>
          <w:szCs w:val="22"/>
          <w:lang w:val="en-US" w:eastAsia="en-US"/>
          <w14:ligatures w14:val="none"/>
        </w:rPr>
      </w:pPr>
      <w:r w:rsidRPr="00F56A3F">
        <w:rPr>
          <w:rFonts w:ascii="Arial" w:hAnsi="Arial" w:cs="Arial"/>
          <w:kern w:val="0"/>
          <w:sz w:val="22"/>
          <w:szCs w:val="22"/>
          <w:lang w:val="en-US" w:eastAsia="en-US"/>
          <w14:ligatures w14:val="none"/>
        </w:rPr>
        <w:t>Sundberg, J., Salomão, G. L., &amp; Scherer, K. R. (2021)</w:t>
      </w:r>
      <w:r w:rsidR="00D76417">
        <w:rPr>
          <w:rFonts w:ascii="Arial" w:hAnsi="Arial" w:cs="Arial"/>
          <w:kern w:val="0"/>
          <w:sz w:val="22"/>
          <w:szCs w:val="22"/>
          <w:lang w:val="en-US" w:eastAsia="en-US"/>
          <w14:ligatures w14:val="none"/>
        </w:rPr>
        <w:t xml:space="preserve"> </w:t>
      </w:r>
      <w:r w:rsidRPr="00F56A3F">
        <w:rPr>
          <w:rFonts w:ascii="Arial" w:hAnsi="Arial" w:cs="Arial"/>
          <w:kern w:val="0"/>
          <w:sz w:val="22"/>
          <w:szCs w:val="22"/>
          <w:lang w:val="en-US" w:eastAsia="en-US"/>
          <w14:ligatures w14:val="none"/>
        </w:rPr>
        <w:t xml:space="preserve">Analyzing emotion expression in singing via flow </w:t>
      </w:r>
      <w:proofErr w:type="spellStart"/>
      <w:r w:rsidRPr="00F56A3F">
        <w:rPr>
          <w:rFonts w:ascii="Arial" w:hAnsi="Arial" w:cs="Arial"/>
          <w:kern w:val="0"/>
          <w:sz w:val="22"/>
          <w:szCs w:val="22"/>
          <w:lang w:val="en-US" w:eastAsia="en-US"/>
          <w14:ligatures w14:val="none"/>
        </w:rPr>
        <w:t>glottograms</w:t>
      </w:r>
      <w:proofErr w:type="spellEnd"/>
      <w:r w:rsidRPr="00F56A3F">
        <w:rPr>
          <w:rFonts w:ascii="Arial" w:hAnsi="Arial" w:cs="Arial"/>
          <w:kern w:val="0"/>
          <w:sz w:val="22"/>
          <w:szCs w:val="22"/>
          <w:lang w:val="en-US" w:eastAsia="en-US"/>
          <w14:ligatures w14:val="none"/>
        </w:rPr>
        <w:t xml:space="preserve">, long-term-average spectra, and expert listener evaluation. Journal of Voice, 35(1), 52–60.  </w:t>
      </w:r>
    </w:p>
    <w:p w14:paraId="2E3DA001" w14:textId="77777777" w:rsidR="00153433"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lastRenderedPageBreak/>
        <w:br/>
        <w:t>Sundberg, J. (1987) The science of the singing voice. DeKalb, IL: Northern Illinois University Press.</w:t>
      </w:r>
    </w:p>
    <w:p w14:paraId="0933A95F" w14:textId="77777777" w:rsidR="00153433" w:rsidRDefault="00153433" w:rsidP="004E1AFA">
      <w:pPr>
        <w:spacing w:before="30" w:after="200" w:line="360" w:lineRule="auto"/>
        <w:rPr>
          <w:rFonts w:ascii="Arial" w:hAnsi="Arial" w:cs="Arial"/>
          <w:kern w:val="0"/>
          <w:sz w:val="22"/>
          <w:szCs w:val="22"/>
          <w:lang w:val="en-US" w:eastAsia="en-US"/>
          <w14:ligatures w14:val="none"/>
        </w:rPr>
      </w:pPr>
    </w:p>
    <w:p w14:paraId="659F788A" w14:textId="06932A14" w:rsidR="00153433" w:rsidRDefault="00153433" w:rsidP="004E1AFA">
      <w:pPr>
        <w:spacing w:before="30" w:after="200" w:line="360" w:lineRule="auto"/>
        <w:rPr>
          <w:rFonts w:ascii="Arial" w:hAnsi="Arial" w:cs="Arial"/>
          <w:kern w:val="0"/>
          <w:sz w:val="22"/>
          <w:szCs w:val="22"/>
          <w:lang w:val="en-US" w:eastAsia="en-US"/>
          <w14:ligatures w14:val="none"/>
        </w:rPr>
      </w:pPr>
      <w:r w:rsidRPr="00153433">
        <w:rPr>
          <w:rFonts w:ascii="Arial" w:hAnsi="Arial" w:cs="Arial"/>
          <w:kern w:val="0"/>
          <w:sz w:val="22"/>
          <w:szCs w:val="22"/>
          <w:lang w:val="en-US" w:eastAsia="en-US"/>
          <w14:ligatures w14:val="none"/>
        </w:rPr>
        <w:t xml:space="preserve">University of Wales Trinity Saint David, 2022. Research Ethics &amp; Integrity Code of Practice. July 2022. [Online] Available at: </w:t>
      </w:r>
      <w:hyperlink r:id="rId19" w:history="1">
        <w:r w:rsidRPr="00BB5280">
          <w:rPr>
            <w:rStyle w:val="Hyperlink"/>
            <w:rFonts w:ascii="Arial" w:hAnsi="Arial" w:cs="Arial"/>
            <w:kern w:val="0"/>
            <w:sz w:val="22"/>
            <w:szCs w:val="22"/>
            <w:lang w:val="en-US" w:eastAsia="en-US"/>
            <w14:ligatures w14:val="none"/>
          </w:rPr>
          <w:t>https://www.uwtsd.ac.uk/media/2041/download?attachment=</w:t>
        </w:r>
      </w:hyperlink>
    </w:p>
    <w:p w14:paraId="2FE80650" w14:textId="1DF54687" w:rsidR="001946F7"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br/>
      </w:r>
      <w:r w:rsidRPr="004E1AFA">
        <w:rPr>
          <w:rFonts w:ascii="Arial" w:hAnsi="Arial" w:cs="Arial"/>
          <w:kern w:val="0"/>
          <w:sz w:val="22"/>
          <w:szCs w:val="22"/>
          <w:lang w:val="en-US" w:eastAsia="en-US"/>
          <w14:ligatures w14:val="none"/>
        </w:rPr>
        <w:br/>
      </w:r>
      <w:proofErr w:type="spellStart"/>
      <w:r w:rsidRPr="004E1AFA">
        <w:rPr>
          <w:rFonts w:ascii="Arial" w:hAnsi="Arial" w:cs="Arial"/>
          <w:kern w:val="0"/>
          <w:sz w:val="22"/>
          <w:szCs w:val="22"/>
          <w:lang w:val="en-US" w:eastAsia="en-US"/>
          <w14:ligatures w14:val="none"/>
        </w:rPr>
        <w:t>Walliman</w:t>
      </w:r>
      <w:proofErr w:type="spellEnd"/>
      <w:r w:rsidRPr="004E1AFA">
        <w:rPr>
          <w:rFonts w:ascii="Arial" w:hAnsi="Arial" w:cs="Arial"/>
          <w:kern w:val="0"/>
          <w:sz w:val="22"/>
          <w:szCs w:val="22"/>
          <w:lang w:val="en-US" w:eastAsia="en-US"/>
          <w14:ligatures w14:val="none"/>
        </w:rPr>
        <w:t>, N. (2001) Your research project: a step-by-step guide for the first-time researcher. London: Sage.</w:t>
      </w:r>
    </w:p>
    <w:p w14:paraId="72437786" w14:textId="77777777" w:rsidR="00153433" w:rsidRDefault="00153433" w:rsidP="004E1AFA">
      <w:pPr>
        <w:spacing w:before="30" w:after="200" w:line="360" w:lineRule="auto"/>
        <w:rPr>
          <w:rFonts w:ascii="Arial" w:hAnsi="Arial" w:cs="Arial"/>
          <w:kern w:val="0"/>
          <w:sz w:val="22"/>
          <w:szCs w:val="22"/>
          <w:lang w:val="en-US" w:eastAsia="en-US"/>
          <w14:ligatures w14:val="none"/>
        </w:rPr>
      </w:pPr>
    </w:p>
    <w:p w14:paraId="4965C5C4" w14:textId="77777777" w:rsidR="001946F7" w:rsidRDefault="001946F7" w:rsidP="004E1AFA">
      <w:pPr>
        <w:spacing w:before="30" w:after="200" w:line="360" w:lineRule="auto"/>
        <w:rPr>
          <w:rFonts w:ascii="Arial" w:hAnsi="Arial" w:cs="Arial"/>
          <w:kern w:val="0"/>
          <w:sz w:val="22"/>
          <w:szCs w:val="22"/>
          <w:lang w:val="en-US" w:eastAsia="en-US"/>
          <w14:ligatures w14:val="none"/>
        </w:rPr>
      </w:pPr>
      <w:r w:rsidRPr="001946F7">
        <w:rPr>
          <w:rFonts w:ascii="Arial" w:hAnsi="Arial" w:cs="Arial"/>
          <w:kern w:val="0"/>
          <w:sz w:val="22"/>
          <w:szCs w:val="22"/>
          <w:lang w:val="en-US" w:eastAsia="en-US"/>
          <w14:ligatures w14:val="none"/>
        </w:rPr>
        <w:t>Welch, G.F., Howard, D.M. and Nix, J. (eds.), 2019. The Oxford Handbook of Singing. Oxford: Oxford University Press.</w:t>
      </w:r>
    </w:p>
    <w:p w14:paraId="3999CC4A" w14:textId="411A03FA" w:rsidR="00844C0A" w:rsidRDefault="00844C0A" w:rsidP="004E1AFA">
      <w:pPr>
        <w:spacing w:before="30" w:after="200" w:line="360" w:lineRule="auto"/>
        <w:rPr>
          <w:rFonts w:ascii="Arial" w:hAnsi="Arial" w:cs="Arial"/>
          <w:kern w:val="0"/>
          <w:sz w:val="22"/>
          <w:szCs w:val="22"/>
          <w:lang w:val="en-US" w:eastAsia="en-US"/>
          <w14:ligatures w14:val="none"/>
        </w:rPr>
      </w:pPr>
      <w:r w:rsidRPr="004E1AFA">
        <w:rPr>
          <w:rFonts w:ascii="Arial" w:hAnsi="Arial" w:cs="Arial"/>
          <w:kern w:val="0"/>
          <w:sz w:val="22"/>
          <w:szCs w:val="22"/>
          <w:lang w:val="en-US" w:eastAsia="en-US"/>
          <w14:ligatures w14:val="none"/>
        </w:rPr>
        <w:br/>
        <w:t>Yin, R.K. (2018) Case study research and applications: design and methods. 6th ed</w:t>
      </w:r>
      <w:r w:rsidR="00EE69BE">
        <w:rPr>
          <w:rFonts w:ascii="Arial" w:hAnsi="Arial" w:cs="Arial"/>
          <w:kern w:val="0"/>
          <w:sz w:val="22"/>
          <w:szCs w:val="22"/>
          <w:lang w:val="en-US" w:eastAsia="en-US"/>
          <w14:ligatures w14:val="none"/>
        </w:rPr>
        <w:t>itio</w:t>
      </w:r>
      <w:r w:rsidRPr="004E1AFA">
        <w:rPr>
          <w:rFonts w:ascii="Arial" w:hAnsi="Arial" w:cs="Arial"/>
          <w:kern w:val="0"/>
          <w:sz w:val="22"/>
          <w:szCs w:val="22"/>
          <w:lang w:val="en-US" w:eastAsia="en-US"/>
          <w14:ligatures w14:val="none"/>
        </w:rPr>
        <w:t>n. Thousand Oaks, CA: Sage.</w:t>
      </w:r>
    </w:p>
    <w:p w14:paraId="77B1AD73" w14:textId="77777777" w:rsidR="00FB05C2" w:rsidRPr="004E1AFA" w:rsidRDefault="00FB05C2" w:rsidP="004E1AFA">
      <w:pPr>
        <w:spacing w:before="30" w:after="200" w:line="360" w:lineRule="auto"/>
        <w:rPr>
          <w:rFonts w:ascii="Arial" w:hAnsi="Arial" w:cs="Arial"/>
          <w:kern w:val="0"/>
          <w:sz w:val="22"/>
          <w:szCs w:val="22"/>
          <w:lang w:val="en-US" w:eastAsia="en-US"/>
          <w14:ligatures w14:val="none"/>
        </w:rPr>
      </w:pPr>
    </w:p>
    <w:sectPr w:rsidR="00FB05C2" w:rsidRPr="004E1AFA" w:rsidSect="006D573A">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8FD91" w14:textId="77777777" w:rsidR="00C50D06" w:rsidRDefault="00C50D06" w:rsidP="00AB2030">
      <w:pPr>
        <w:spacing w:after="0" w:line="240" w:lineRule="auto"/>
      </w:pPr>
      <w:r>
        <w:separator/>
      </w:r>
    </w:p>
  </w:endnote>
  <w:endnote w:type="continuationSeparator" w:id="0">
    <w:p w14:paraId="5A810BEF" w14:textId="77777777" w:rsidR="00C50D06" w:rsidRDefault="00C50D06" w:rsidP="00AB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9433293"/>
      <w:docPartObj>
        <w:docPartGallery w:val="Page Numbers (Bottom of Page)"/>
        <w:docPartUnique/>
      </w:docPartObj>
    </w:sdtPr>
    <w:sdtEndPr>
      <w:rPr>
        <w:noProof/>
      </w:rPr>
    </w:sdtEndPr>
    <w:sdtContent>
      <w:p w14:paraId="5B318F50" w14:textId="482D9D9E" w:rsidR="006D573A" w:rsidRDefault="006D5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B6384" w14:textId="39FA879E" w:rsidR="00AB2030" w:rsidRDefault="00AB2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C7040" w14:textId="77777777" w:rsidR="00C50D06" w:rsidRDefault="00C50D06" w:rsidP="00AB2030">
      <w:pPr>
        <w:spacing w:after="0" w:line="240" w:lineRule="auto"/>
      </w:pPr>
      <w:r>
        <w:separator/>
      </w:r>
    </w:p>
  </w:footnote>
  <w:footnote w:type="continuationSeparator" w:id="0">
    <w:p w14:paraId="6059BF88" w14:textId="77777777" w:rsidR="00C50D06" w:rsidRDefault="00C50D06" w:rsidP="00AB20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42E5"/>
    <w:multiLevelType w:val="hybridMultilevel"/>
    <w:tmpl w:val="3494607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32C57"/>
    <w:multiLevelType w:val="hybridMultilevel"/>
    <w:tmpl w:val="C5700486"/>
    <w:lvl w:ilvl="0" w:tplc="FFFFFFFF">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94300"/>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6A5366"/>
    <w:multiLevelType w:val="hybridMultilevel"/>
    <w:tmpl w:val="02A6F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0B0D0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296662">
    <w:abstractNumId w:val="4"/>
  </w:num>
  <w:num w:numId="2" w16cid:durableId="724110893">
    <w:abstractNumId w:val="2"/>
  </w:num>
  <w:num w:numId="3" w16cid:durableId="560411747">
    <w:abstractNumId w:val="3"/>
  </w:num>
  <w:num w:numId="4" w16cid:durableId="1540510739">
    <w:abstractNumId w:val="0"/>
  </w:num>
  <w:num w:numId="5" w16cid:durableId="1257398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E30"/>
    <w:rsid w:val="00016AB6"/>
    <w:rsid w:val="000200C4"/>
    <w:rsid w:val="00025162"/>
    <w:rsid w:val="00025FB4"/>
    <w:rsid w:val="00027B57"/>
    <w:rsid w:val="0003000A"/>
    <w:rsid w:val="0003120F"/>
    <w:rsid w:val="00031D9A"/>
    <w:rsid w:val="00037061"/>
    <w:rsid w:val="00040EEE"/>
    <w:rsid w:val="00047412"/>
    <w:rsid w:val="00051B07"/>
    <w:rsid w:val="000575C1"/>
    <w:rsid w:val="00063418"/>
    <w:rsid w:val="00065593"/>
    <w:rsid w:val="0008238C"/>
    <w:rsid w:val="00097B76"/>
    <w:rsid w:val="000A5A8B"/>
    <w:rsid w:val="000A7255"/>
    <w:rsid w:val="000B68C2"/>
    <w:rsid w:val="000C14C7"/>
    <w:rsid w:val="000D14B7"/>
    <w:rsid w:val="000D55F8"/>
    <w:rsid w:val="000E3691"/>
    <w:rsid w:val="000F2B71"/>
    <w:rsid w:val="000F686E"/>
    <w:rsid w:val="00103E83"/>
    <w:rsid w:val="00107918"/>
    <w:rsid w:val="001110E3"/>
    <w:rsid w:val="00114261"/>
    <w:rsid w:val="00123CA8"/>
    <w:rsid w:val="00123E63"/>
    <w:rsid w:val="00142936"/>
    <w:rsid w:val="00145E72"/>
    <w:rsid w:val="00153433"/>
    <w:rsid w:val="001640E5"/>
    <w:rsid w:val="00171760"/>
    <w:rsid w:val="00173DF2"/>
    <w:rsid w:val="00191FF6"/>
    <w:rsid w:val="001946F7"/>
    <w:rsid w:val="001978D9"/>
    <w:rsid w:val="001B27D1"/>
    <w:rsid w:val="001C211D"/>
    <w:rsid w:val="001C557B"/>
    <w:rsid w:val="001D1262"/>
    <w:rsid w:val="001D77C8"/>
    <w:rsid w:val="001E06DA"/>
    <w:rsid w:val="001E2B32"/>
    <w:rsid w:val="002010AC"/>
    <w:rsid w:val="00201D92"/>
    <w:rsid w:val="00204B03"/>
    <w:rsid w:val="00210974"/>
    <w:rsid w:val="0021777C"/>
    <w:rsid w:val="00225CB4"/>
    <w:rsid w:val="00233CF7"/>
    <w:rsid w:val="0023556A"/>
    <w:rsid w:val="002636E1"/>
    <w:rsid w:val="00271DCB"/>
    <w:rsid w:val="00275E79"/>
    <w:rsid w:val="00277478"/>
    <w:rsid w:val="00277AC6"/>
    <w:rsid w:val="00283B07"/>
    <w:rsid w:val="00283B8A"/>
    <w:rsid w:val="00294EA5"/>
    <w:rsid w:val="0029578C"/>
    <w:rsid w:val="002B0BD9"/>
    <w:rsid w:val="002C7215"/>
    <w:rsid w:val="002C773F"/>
    <w:rsid w:val="002D3095"/>
    <w:rsid w:val="002E1101"/>
    <w:rsid w:val="002E117A"/>
    <w:rsid w:val="002E44F6"/>
    <w:rsid w:val="002F4E55"/>
    <w:rsid w:val="00300BC7"/>
    <w:rsid w:val="003049C3"/>
    <w:rsid w:val="00311217"/>
    <w:rsid w:val="00313809"/>
    <w:rsid w:val="003208A4"/>
    <w:rsid w:val="0033043B"/>
    <w:rsid w:val="00332AEC"/>
    <w:rsid w:val="00357824"/>
    <w:rsid w:val="00361F6B"/>
    <w:rsid w:val="003715AC"/>
    <w:rsid w:val="0037359B"/>
    <w:rsid w:val="00380091"/>
    <w:rsid w:val="00381080"/>
    <w:rsid w:val="00385188"/>
    <w:rsid w:val="00394CF6"/>
    <w:rsid w:val="003A05C7"/>
    <w:rsid w:val="003A2B00"/>
    <w:rsid w:val="003A3345"/>
    <w:rsid w:val="003A6A7B"/>
    <w:rsid w:val="003C31D8"/>
    <w:rsid w:val="003C3CA0"/>
    <w:rsid w:val="003E6428"/>
    <w:rsid w:val="003F2441"/>
    <w:rsid w:val="00400A58"/>
    <w:rsid w:val="00401936"/>
    <w:rsid w:val="00404445"/>
    <w:rsid w:val="004053EA"/>
    <w:rsid w:val="00410499"/>
    <w:rsid w:val="004112BB"/>
    <w:rsid w:val="00417E33"/>
    <w:rsid w:val="004212D7"/>
    <w:rsid w:val="004215B9"/>
    <w:rsid w:val="0043412A"/>
    <w:rsid w:val="0043470E"/>
    <w:rsid w:val="0044038D"/>
    <w:rsid w:val="00440DC8"/>
    <w:rsid w:val="004428E4"/>
    <w:rsid w:val="004515C0"/>
    <w:rsid w:val="00453E19"/>
    <w:rsid w:val="004578D7"/>
    <w:rsid w:val="0046112C"/>
    <w:rsid w:val="004825EB"/>
    <w:rsid w:val="0049084D"/>
    <w:rsid w:val="00490FB4"/>
    <w:rsid w:val="00492D48"/>
    <w:rsid w:val="00496D47"/>
    <w:rsid w:val="004975BB"/>
    <w:rsid w:val="004A4EF7"/>
    <w:rsid w:val="004B1515"/>
    <w:rsid w:val="004B172B"/>
    <w:rsid w:val="004B6CD8"/>
    <w:rsid w:val="004C1634"/>
    <w:rsid w:val="004C2618"/>
    <w:rsid w:val="004C2C7A"/>
    <w:rsid w:val="004C5C5C"/>
    <w:rsid w:val="004C7954"/>
    <w:rsid w:val="004D0AA5"/>
    <w:rsid w:val="004D48E7"/>
    <w:rsid w:val="004E1AFA"/>
    <w:rsid w:val="004E47C9"/>
    <w:rsid w:val="004E5555"/>
    <w:rsid w:val="004F254E"/>
    <w:rsid w:val="004F68C8"/>
    <w:rsid w:val="004F7A9D"/>
    <w:rsid w:val="00504C4F"/>
    <w:rsid w:val="00506BA3"/>
    <w:rsid w:val="00506C6B"/>
    <w:rsid w:val="0050708A"/>
    <w:rsid w:val="00516B2F"/>
    <w:rsid w:val="0051731D"/>
    <w:rsid w:val="00520431"/>
    <w:rsid w:val="00521FF8"/>
    <w:rsid w:val="005227EF"/>
    <w:rsid w:val="005230F1"/>
    <w:rsid w:val="00523BCC"/>
    <w:rsid w:val="005270E8"/>
    <w:rsid w:val="00534BDA"/>
    <w:rsid w:val="0054076D"/>
    <w:rsid w:val="0054697A"/>
    <w:rsid w:val="00547FE3"/>
    <w:rsid w:val="00560389"/>
    <w:rsid w:val="00573C76"/>
    <w:rsid w:val="0057799F"/>
    <w:rsid w:val="00581006"/>
    <w:rsid w:val="00585179"/>
    <w:rsid w:val="00587C25"/>
    <w:rsid w:val="005969FF"/>
    <w:rsid w:val="005C6265"/>
    <w:rsid w:val="005D51C5"/>
    <w:rsid w:val="005D536B"/>
    <w:rsid w:val="005E6AD3"/>
    <w:rsid w:val="005E74FC"/>
    <w:rsid w:val="006000B1"/>
    <w:rsid w:val="006148E0"/>
    <w:rsid w:val="0061669D"/>
    <w:rsid w:val="0062158F"/>
    <w:rsid w:val="00626C18"/>
    <w:rsid w:val="006344AF"/>
    <w:rsid w:val="0063499D"/>
    <w:rsid w:val="0065244C"/>
    <w:rsid w:val="006601CE"/>
    <w:rsid w:val="00667FE3"/>
    <w:rsid w:val="0068167D"/>
    <w:rsid w:val="00683009"/>
    <w:rsid w:val="00691C64"/>
    <w:rsid w:val="00692208"/>
    <w:rsid w:val="006A14AB"/>
    <w:rsid w:val="006A69A1"/>
    <w:rsid w:val="006B37E5"/>
    <w:rsid w:val="006B4A8A"/>
    <w:rsid w:val="006C2D04"/>
    <w:rsid w:val="006C4DA9"/>
    <w:rsid w:val="006C5847"/>
    <w:rsid w:val="006C6C38"/>
    <w:rsid w:val="006D2A63"/>
    <w:rsid w:val="006D573A"/>
    <w:rsid w:val="006D58B9"/>
    <w:rsid w:val="006F3395"/>
    <w:rsid w:val="007049C9"/>
    <w:rsid w:val="00707332"/>
    <w:rsid w:val="00713BDC"/>
    <w:rsid w:val="007162C7"/>
    <w:rsid w:val="00717AA0"/>
    <w:rsid w:val="007265EB"/>
    <w:rsid w:val="00727FC5"/>
    <w:rsid w:val="00733E45"/>
    <w:rsid w:val="007523F9"/>
    <w:rsid w:val="00757AA5"/>
    <w:rsid w:val="007617DC"/>
    <w:rsid w:val="00766B04"/>
    <w:rsid w:val="0076751B"/>
    <w:rsid w:val="00791014"/>
    <w:rsid w:val="00791B49"/>
    <w:rsid w:val="007A02A0"/>
    <w:rsid w:val="007A3914"/>
    <w:rsid w:val="007A51C9"/>
    <w:rsid w:val="007B6C7F"/>
    <w:rsid w:val="007C313D"/>
    <w:rsid w:val="007D2D3C"/>
    <w:rsid w:val="007D5748"/>
    <w:rsid w:val="007D5D48"/>
    <w:rsid w:val="007E7283"/>
    <w:rsid w:val="007E7DB5"/>
    <w:rsid w:val="007F0244"/>
    <w:rsid w:val="007F3340"/>
    <w:rsid w:val="007F59AC"/>
    <w:rsid w:val="007F66C1"/>
    <w:rsid w:val="00800924"/>
    <w:rsid w:val="00801609"/>
    <w:rsid w:val="00803184"/>
    <w:rsid w:val="00814B46"/>
    <w:rsid w:val="00824EFA"/>
    <w:rsid w:val="00826D3A"/>
    <w:rsid w:val="00844C0A"/>
    <w:rsid w:val="0084626D"/>
    <w:rsid w:val="00850ED6"/>
    <w:rsid w:val="00853114"/>
    <w:rsid w:val="00863EDD"/>
    <w:rsid w:val="00864591"/>
    <w:rsid w:val="008671E8"/>
    <w:rsid w:val="008910AE"/>
    <w:rsid w:val="00893015"/>
    <w:rsid w:val="008957DB"/>
    <w:rsid w:val="008C12C9"/>
    <w:rsid w:val="008F14CA"/>
    <w:rsid w:val="008F1932"/>
    <w:rsid w:val="008F27DF"/>
    <w:rsid w:val="008F574F"/>
    <w:rsid w:val="00904324"/>
    <w:rsid w:val="009101D9"/>
    <w:rsid w:val="0091561B"/>
    <w:rsid w:val="00921FD3"/>
    <w:rsid w:val="0092204C"/>
    <w:rsid w:val="00926454"/>
    <w:rsid w:val="00930D7B"/>
    <w:rsid w:val="00937B19"/>
    <w:rsid w:val="0094245C"/>
    <w:rsid w:val="0094407A"/>
    <w:rsid w:val="009441E8"/>
    <w:rsid w:val="00953B3E"/>
    <w:rsid w:val="00954969"/>
    <w:rsid w:val="00954A8F"/>
    <w:rsid w:val="009568F9"/>
    <w:rsid w:val="009647B4"/>
    <w:rsid w:val="00981910"/>
    <w:rsid w:val="0099603F"/>
    <w:rsid w:val="009A1EC3"/>
    <w:rsid w:val="009A294B"/>
    <w:rsid w:val="009A4A9C"/>
    <w:rsid w:val="009D0F4A"/>
    <w:rsid w:val="009D5871"/>
    <w:rsid w:val="009E3B1F"/>
    <w:rsid w:val="009E7A9D"/>
    <w:rsid w:val="009F44F8"/>
    <w:rsid w:val="009F5241"/>
    <w:rsid w:val="00A03DDD"/>
    <w:rsid w:val="00A04DC0"/>
    <w:rsid w:val="00A14192"/>
    <w:rsid w:val="00A21324"/>
    <w:rsid w:val="00A22177"/>
    <w:rsid w:val="00A22404"/>
    <w:rsid w:val="00A26631"/>
    <w:rsid w:val="00A363CC"/>
    <w:rsid w:val="00A37854"/>
    <w:rsid w:val="00A40AD5"/>
    <w:rsid w:val="00A445D6"/>
    <w:rsid w:val="00A54FEE"/>
    <w:rsid w:val="00A554C3"/>
    <w:rsid w:val="00A72B19"/>
    <w:rsid w:val="00A73EA9"/>
    <w:rsid w:val="00A75865"/>
    <w:rsid w:val="00A82B48"/>
    <w:rsid w:val="00A84873"/>
    <w:rsid w:val="00A86BFA"/>
    <w:rsid w:val="00A87DF9"/>
    <w:rsid w:val="00AA2A97"/>
    <w:rsid w:val="00AA7434"/>
    <w:rsid w:val="00AB2030"/>
    <w:rsid w:val="00AC0EF4"/>
    <w:rsid w:val="00AC1CEE"/>
    <w:rsid w:val="00AD174F"/>
    <w:rsid w:val="00AD39B4"/>
    <w:rsid w:val="00AD652F"/>
    <w:rsid w:val="00AE24B6"/>
    <w:rsid w:val="00AE37E5"/>
    <w:rsid w:val="00AE579E"/>
    <w:rsid w:val="00AF37C9"/>
    <w:rsid w:val="00AF7F16"/>
    <w:rsid w:val="00B12651"/>
    <w:rsid w:val="00B176BA"/>
    <w:rsid w:val="00B20BC7"/>
    <w:rsid w:val="00B36A54"/>
    <w:rsid w:val="00B4664B"/>
    <w:rsid w:val="00B5222C"/>
    <w:rsid w:val="00B53ACF"/>
    <w:rsid w:val="00B6080E"/>
    <w:rsid w:val="00B6145D"/>
    <w:rsid w:val="00B66B8A"/>
    <w:rsid w:val="00B92889"/>
    <w:rsid w:val="00B969C3"/>
    <w:rsid w:val="00BB6F11"/>
    <w:rsid w:val="00BC5AB3"/>
    <w:rsid w:val="00BD26DA"/>
    <w:rsid w:val="00BE17CA"/>
    <w:rsid w:val="00BF23FC"/>
    <w:rsid w:val="00BF529A"/>
    <w:rsid w:val="00C14A71"/>
    <w:rsid w:val="00C20ACD"/>
    <w:rsid w:val="00C266DE"/>
    <w:rsid w:val="00C3669F"/>
    <w:rsid w:val="00C4148C"/>
    <w:rsid w:val="00C50D06"/>
    <w:rsid w:val="00C57B44"/>
    <w:rsid w:val="00C61059"/>
    <w:rsid w:val="00C659E2"/>
    <w:rsid w:val="00C751A4"/>
    <w:rsid w:val="00C80573"/>
    <w:rsid w:val="00C85B4A"/>
    <w:rsid w:val="00C85CCA"/>
    <w:rsid w:val="00C920D1"/>
    <w:rsid w:val="00C924FF"/>
    <w:rsid w:val="00C95F44"/>
    <w:rsid w:val="00CA420E"/>
    <w:rsid w:val="00CC0890"/>
    <w:rsid w:val="00CC3200"/>
    <w:rsid w:val="00CC7F90"/>
    <w:rsid w:val="00CD33FC"/>
    <w:rsid w:val="00CD730D"/>
    <w:rsid w:val="00CE6587"/>
    <w:rsid w:val="00CF12F8"/>
    <w:rsid w:val="00D00106"/>
    <w:rsid w:val="00D1151C"/>
    <w:rsid w:val="00D20BCD"/>
    <w:rsid w:val="00D30096"/>
    <w:rsid w:val="00D32D2D"/>
    <w:rsid w:val="00D346AD"/>
    <w:rsid w:val="00D40F4F"/>
    <w:rsid w:val="00D43789"/>
    <w:rsid w:val="00D46D57"/>
    <w:rsid w:val="00D53FF2"/>
    <w:rsid w:val="00D5534F"/>
    <w:rsid w:val="00D61EA6"/>
    <w:rsid w:val="00D64981"/>
    <w:rsid w:val="00D717D3"/>
    <w:rsid w:val="00D73A4F"/>
    <w:rsid w:val="00D76417"/>
    <w:rsid w:val="00D82F08"/>
    <w:rsid w:val="00D92E13"/>
    <w:rsid w:val="00D94C49"/>
    <w:rsid w:val="00DA0055"/>
    <w:rsid w:val="00DA244A"/>
    <w:rsid w:val="00DA35BA"/>
    <w:rsid w:val="00DA5281"/>
    <w:rsid w:val="00DB1E8D"/>
    <w:rsid w:val="00DB1FFA"/>
    <w:rsid w:val="00DB23F8"/>
    <w:rsid w:val="00DB3F21"/>
    <w:rsid w:val="00DC363C"/>
    <w:rsid w:val="00DE6A5A"/>
    <w:rsid w:val="00DF4D91"/>
    <w:rsid w:val="00E00391"/>
    <w:rsid w:val="00E04FFD"/>
    <w:rsid w:val="00E0748B"/>
    <w:rsid w:val="00E25202"/>
    <w:rsid w:val="00E32951"/>
    <w:rsid w:val="00E37636"/>
    <w:rsid w:val="00E403B3"/>
    <w:rsid w:val="00E4330E"/>
    <w:rsid w:val="00E44745"/>
    <w:rsid w:val="00E45856"/>
    <w:rsid w:val="00E460C1"/>
    <w:rsid w:val="00E55C11"/>
    <w:rsid w:val="00E75AF2"/>
    <w:rsid w:val="00E86BC0"/>
    <w:rsid w:val="00EB6216"/>
    <w:rsid w:val="00EC4CAB"/>
    <w:rsid w:val="00EC58ED"/>
    <w:rsid w:val="00ED4650"/>
    <w:rsid w:val="00ED64C2"/>
    <w:rsid w:val="00EE22C4"/>
    <w:rsid w:val="00EE69BE"/>
    <w:rsid w:val="00EE72F0"/>
    <w:rsid w:val="00EF0966"/>
    <w:rsid w:val="00EF0E30"/>
    <w:rsid w:val="00EF6210"/>
    <w:rsid w:val="00F02285"/>
    <w:rsid w:val="00F03C3F"/>
    <w:rsid w:val="00F10AC5"/>
    <w:rsid w:val="00F17375"/>
    <w:rsid w:val="00F30CFA"/>
    <w:rsid w:val="00F465AF"/>
    <w:rsid w:val="00F564AB"/>
    <w:rsid w:val="00F5674B"/>
    <w:rsid w:val="00F56A3F"/>
    <w:rsid w:val="00F57D33"/>
    <w:rsid w:val="00F7004F"/>
    <w:rsid w:val="00F70CDE"/>
    <w:rsid w:val="00F758FE"/>
    <w:rsid w:val="00F77CE8"/>
    <w:rsid w:val="00F87178"/>
    <w:rsid w:val="00F87A8D"/>
    <w:rsid w:val="00F94188"/>
    <w:rsid w:val="00FA3431"/>
    <w:rsid w:val="00FA7BE5"/>
    <w:rsid w:val="00FB05C2"/>
    <w:rsid w:val="00FB27BE"/>
    <w:rsid w:val="00FB28BB"/>
    <w:rsid w:val="00FB5638"/>
    <w:rsid w:val="00FD1AD8"/>
    <w:rsid w:val="00FD3E3A"/>
    <w:rsid w:val="00FF30F9"/>
    <w:rsid w:val="00FF4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167B2"/>
  <w15:chartTrackingRefBased/>
  <w15:docId w15:val="{0A268E1D-0128-B443-9C5F-A23ADECD0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E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0E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E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E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E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E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0E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E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E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E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E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E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E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E30"/>
    <w:rPr>
      <w:rFonts w:eastAsiaTheme="majorEastAsia" w:cstheme="majorBidi"/>
      <w:color w:val="272727" w:themeColor="text1" w:themeTint="D8"/>
    </w:rPr>
  </w:style>
  <w:style w:type="paragraph" w:styleId="Title">
    <w:name w:val="Title"/>
    <w:basedOn w:val="Normal"/>
    <w:next w:val="Normal"/>
    <w:link w:val="TitleChar"/>
    <w:uiPriority w:val="10"/>
    <w:qFormat/>
    <w:rsid w:val="00EF0E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E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E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E30"/>
    <w:pPr>
      <w:spacing w:before="160"/>
      <w:jc w:val="center"/>
    </w:pPr>
    <w:rPr>
      <w:i/>
      <w:iCs/>
      <w:color w:val="404040" w:themeColor="text1" w:themeTint="BF"/>
    </w:rPr>
  </w:style>
  <w:style w:type="character" w:customStyle="1" w:styleId="QuoteChar">
    <w:name w:val="Quote Char"/>
    <w:basedOn w:val="DefaultParagraphFont"/>
    <w:link w:val="Quote"/>
    <w:uiPriority w:val="29"/>
    <w:rsid w:val="00EF0E30"/>
    <w:rPr>
      <w:i/>
      <w:iCs/>
      <w:color w:val="404040" w:themeColor="text1" w:themeTint="BF"/>
    </w:rPr>
  </w:style>
  <w:style w:type="paragraph" w:styleId="ListParagraph">
    <w:name w:val="List Paragraph"/>
    <w:basedOn w:val="Normal"/>
    <w:uiPriority w:val="34"/>
    <w:qFormat/>
    <w:rsid w:val="00EF0E30"/>
    <w:pPr>
      <w:ind w:left="720"/>
      <w:contextualSpacing/>
    </w:pPr>
  </w:style>
  <w:style w:type="character" w:styleId="IntenseEmphasis">
    <w:name w:val="Intense Emphasis"/>
    <w:basedOn w:val="DefaultParagraphFont"/>
    <w:uiPriority w:val="21"/>
    <w:qFormat/>
    <w:rsid w:val="00EF0E30"/>
    <w:rPr>
      <w:i/>
      <w:iCs/>
      <w:color w:val="0F4761" w:themeColor="accent1" w:themeShade="BF"/>
    </w:rPr>
  </w:style>
  <w:style w:type="paragraph" w:styleId="IntenseQuote">
    <w:name w:val="Intense Quote"/>
    <w:basedOn w:val="Normal"/>
    <w:next w:val="Normal"/>
    <w:link w:val="IntenseQuoteChar"/>
    <w:uiPriority w:val="30"/>
    <w:qFormat/>
    <w:rsid w:val="00EF0E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E30"/>
    <w:rPr>
      <w:i/>
      <w:iCs/>
      <w:color w:val="0F4761" w:themeColor="accent1" w:themeShade="BF"/>
    </w:rPr>
  </w:style>
  <w:style w:type="character" w:styleId="IntenseReference">
    <w:name w:val="Intense Reference"/>
    <w:basedOn w:val="DefaultParagraphFont"/>
    <w:uiPriority w:val="32"/>
    <w:qFormat/>
    <w:rsid w:val="00EF0E30"/>
    <w:rPr>
      <w:b/>
      <w:bCs/>
      <w:smallCaps/>
      <w:color w:val="0F4761" w:themeColor="accent1" w:themeShade="BF"/>
      <w:spacing w:val="5"/>
    </w:rPr>
  </w:style>
  <w:style w:type="paragraph" w:customStyle="1" w:styleId="p1">
    <w:name w:val="p1"/>
    <w:basedOn w:val="Normal"/>
    <w:rsid w:val="00EF0E3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F0E30"/>
  </w:style>
  <w:style w:type="paragraph" w:customStyle="1" w:styleId="p2">
    <w:name w:val="p2"/>
    <w:basedOn w:val="Normal"/>
    <w:rsid w:val="00EF0E3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F0E30"/>
  </w:style>
  <w:style w:type="paragraph" w:customStyle="1" w:styleId="p3">
    <w:name w:val="p3"/>
    <w:basedOn w:val="Normal"/>
    <w:rsid w:val="00EF0E3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AB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030"/>
  </w:style>
  <w:style w:type="paragraph" w:styleId="Footer">
    <w:name w:val="footer"/>
    <w:basedOn w:val="Normal"/>
    <w:link w:val="FooterChar"/>
    <w:uiPriority w:val="99"/>
    <w:unhideWhenUsed/>
    <w:rsid w:val="00AB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030"/>
  </w:style>
  <w:style w:type="paragraph" w:styleId="NoSpacing">
    <w:name w:val="No Spacing"/>
    <w:link w:val="NoSpacingChar"/>
    <w:uiPriority w:val="1"/>
    <w:qFormat/>
    <w:rsid w:val="006D573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D573A"/>
    <w:rPr>
      <w:kern w:val="0"/>
      <w:sz w:val="22"/>
      <w:szCs w:val="22"/>
      <w:lang w:val="en-US" w:eastAsia="en-US"/>
      <w14:ligatures w14:val="none"/>
    </w:rPr>
  </w:style>
  <w:style w:type="paragraph" w:styleId="TOCHeading">
    <w:name w:val="TOC Heading"/>
    <w:basedOn w:val="Heading1"/>
    <w:next w:val="Normal"/>
    <w:uiPriority w:val="39"/>
    <w:unhideWhenUsed/>
    <w:qFormat/>
    <w:rsid w:val="00FF49F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F49F8"/>
    <w:pPr>
      <w:tabs>
        <w:tab w:val="right" w:leader="dot" w:pos="9016"/>
      </w:tabs>
      <w:spacing w:after="480"/>
    </w:pPr>
  </w:style>
  <w:style w:type="paragraph" w:styleId="TOC2">
    <w:name w:val="toc 2"/>
    <w:basedOn w:val="Normal"/>
    <w:next w:val="Normal"/>
    <w:autoRedefine/>
    <w:uiPriority w:val="39"/>
    <w:unhideWhenUsed/>
    <w:rsid w:val="00FF49F8"/>
    <w:pPr>
      <w:spacing w:after="100"/>
      <w:ind w:left="240"/>
    </w:pPr>
  </w:style>
  <w:style w:type="character" w:styleId="Hyperlink">
    <w:name w:val="Hyperlink"/>
    <w:basedOn w:val="DefaultParagraphFont"/>
    <w:uiPriority w:val="99"/>
    <w:unhideWhenUsed/>
    <w:rsid w:val="00FF49F8"/>
    <w:rPr>
      <w:color w:val="467886" w:themeColor="hyperlink"/>
      <w:u w:val="single"/>
    </w:rPr>
  </w:style>
  <w:style w:type="character" w:styleId="UnresolvedMention">
    <w:name w:val="Unresolved Mention"/>
    <w:basedOn w:val="DefaultParagraphFont"/>
    <w:uiPriority w:val="99"/>
    <w:semiHidden/>
    <w:unhideWhenUsed/>
    <w:rsid w:val="00A14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00147">
      <w:bodyDiv w:val="1"/>
      <w:marLeft w:val="0"/>
      <w:marRight w:val="0"/>
      <w:marTop w:val="0"/>
      <w:marBottom w:val="0"/>
      <w:divBdr>
        <w:top w:val="none" w:sz="0" w:space="0" w:color="auto"/>
        <w:left w:val="none" w:sz="0" w:space="0" w:color="auto"/>
        <w:bottom w:val="none" w:sz="0" w:space="0" w:color="auto"/>
        <w:right w:val="none" w:sz="0" w:space="0" w:color="auto"/>
      </w:divBdr>
    </w:div>
    <w:div w:id="53240403">
      <w:bodyDiv w:val="1"/>
      <w:marLeft w:val="0"/>
      <w:marRight w:val="0"/>
      <w:marTop w:val="0"/>
      <w:marBottom w:val="0"/>
      <w:divBdr>
        <w:top w:val="none" w:sz="0" w:space="0" w:color="auto"/>
        <w:left w:val="none" w:sz="0" w:space="0" w:color="auto"/>
        <w:bottom w:val="none" w:sz="0" w:space="0" w:color="auto"/>
        <w:right w:val="none" w:sz="0" w:space="0" w:color="auto"/>
      </w:divBdr>
    </w:div>
    <w:div w:id="116990692">
      <w:bodyDiv w:val="1"/>
      <w:marLeft w:val="0"/>
      <w:marRight w:val="0"/>
      <w:marTop w:val="0"/>
      <w:marBottom w:val="0"/>
      <w:divBdr>
        <w:top w:val="none" w:sz="0" w:space="0" w:color="auto"/>
        <w:left w:val="none" w:sz="0" w:space="0" w:color="auto"/>
        <w:bottom w:val="none" w:sz="0" w:space="0" w:color="auto"/>
        <w:right w:val="none" w:sz="0" w:space="0" w:color="auto"/>
      </w:divBdr>
    </w:div>
    <w:div w:id="167982277">
      <w:bodyDiv w:val="1"/>
      <w:marLeft w:val="0"/>
      <w:marRight w:val="0"/>
      <w:marTop w:val="0"/>
      <w:marBottom w:val="0"/>
      <w:divBdr>
        <w:top w:val="none" w:sz="0" w:space="0" w:color="auto"/>
        <w:left w:val="none" w:sz="0" w:space="0" w:color="auto"/>
        <w:bottom w:val="none" w:sz="0" w:space="0" w:color="auto"/>
        <w:right w:val="none" w:sz="0" w:space="0" w:color="auto"/>
      </w:divBdr>
    </w:div>
    <w:div w:id="185678024">
      <w:bodyDiv w:val="1"/>
      <w:marLeft w:val="0"/>
      <w:marRight w:val="0"/>
      <w:marTop w:val="0"/>
      <w:marBottom w:val="0"/>
      <w:divBdr>
        <w:top w:val="none" w:sz="0" w:space="0" w:color="auto"/>
        <w:left w:val="none" w:sz="0" w:space="0" w:color="auto"/>
        <w:bottom w:val="none" w:sz="0" w:space="0" w:color="auto"/>
        <w:right w:val="none" w:sz="0" w:space="0" w:color="auto"/>
      </w:divBdr>
    </w:div>
    <w:div w:id="258222280">
      <w:bodyDiv w:val="1"/>
      <w:marLeft w:val="0"/>
      <w:marRight w:val="0"/>
      <w:marTop w:val="0"/>
      <w:marBottom w:val="0"/>
      <w:divBdr>
        <w:top w:val="none" w:sz="0" w:space="0" w:color="auto"/>
        <w:left w:val="none" w:sz="0" w:space="0" w:color="auto"/>
        <w:bottom w:val="none" w:sz="0" w:space="0" w:color="auto"/>
        <w:right w:val="none" w:sz="0" w:space="0" w:color="auto"/>
      </w:divBdr>
    </w:div>
    <w:div w:id="276715681">
      <w:bodyDiv w:val="1"/>
      <w:marLeft w:val="0"/>
      <w:marRight w:val="0"/>
      <w:marTop w:val="0"/>
      <w:marBottom w:val="0"/>
      <w:divBdr>
        <w:top w:val="none" w:sz="0" w:space="0" w:color="auto"/>
        <w:left w:val="none" w:sz="0" w:space="0" w:color="auto"/>
        <w:bottom w:val="none" w:sz="0" w:space="0" w:color="auto"/>
        <w:right w:val="none" w:sz="0" w:space="0" w:color="auto"/>
      </w:divBdr>
    </w:div>
    <w:div w:id="286159440">
      <w:bodyDiv w:val="1"/>
      <w:marLeft w:val="0"/>
      <w:marRight w:val="0"/>
      <w:marTop w:val="0"/>
      <w:marBottom w:val="0"/>
      <w:divBdr>
        <w:top w:val="none" w:sz="0" w:space="0" w:color="auto"/>
        <w:left w:val="none" w:sz="0" w:space="0" w:color="auto"/>
        <w:bottom w:val="none" w:sz="0" w:space="0" w:color="auto"/>
        <w:right w:val="none" w:sz="0" w:space="0" w:color="auto"/>
      </w:divBdr>
    </w:div>
    <w:div w:id="340015018">
      <w:bodyDiv w:val="1"/>
      <w:marLeft w:val="0"/>
      <w:marRight w:val="0"/>
      <w:marTop w:val="0"/>
      <w:marBottom w:val="0"/>
      <w:divBdr>
        <w:top w:val="none" w:sz="0" w:space="0" w:color="auto"/>
        <w:left w:val="none" w:sz="0" w:space="0" w:color="auto"/>
        <w:bottom w:val="none" w:sz="0" w:space="0" w:color="auto"/>
        <w:right w:val="none" w:sz="0" w:space="0" w:color="auto"/>
      </w:divBdr>
    </w:div>
    <w:div w:id="432094906">
      <w:bodyDiv w:val="1"/>
      <w:marLeft w:val="0"/>
      <w:marRight w:val="0"/>
      <w:marTop w:val="0"/>
      <w:marBottom w:val="0"/>
      <w:divBdr>
        <w:top w:val="none" w:sz="0" w:space="0" w:color="auto"/>
        <w:left w:val="none" w:sz="0" w:space="0" w:color="auto"/>
        <w:bottom w:val="none" w:sz="0" w:space="0" w:color="auto"/>
        <w:right w:val="none" w:sz="0" w:space="0" w:color="auto"/>
      </w:divBdr>
    </w:div>
    <w:div w:id="448014541">
      <w:bodyDiv w:val="1"/>
      <w:marLeft w:val="0"/>
      <w:marRight w:val="0"/>
      <w:marTop w:val="0"/>
      <w:marBottom w:val="0"/>
      <w:divBdr>
        <w:top w:val="none" w:sz="0" w:space="0" w:color="auto"/>
        <w:left w:val="none" w:sz="0" w:space="0" w:color="auto"/>
        <w:bottom w:val="none" w:sz="0" w:space="0" w:color="auto"/>
        <w:right w:val="none" w:sz="0" w:space="0" w:color="auto"/>
      </w:divBdr>
    </w:div>
    <w:div w:id="495607278">
      <w:bodyDiv w:val="1"/>
      <w:marLeft w:val="0"/>
      <w:marRight w:val="0"/>
      <w:marTop w:val="0"/>
      <w:marBottom w:val="0"/>
      <w:divBdr>
        <w:top w:val="none" w:sz="0" w:space="0" w:color="auto"/>
        <w:left w:val="none" w:sz="0" w:space="0" w:color="auto"/>
        <w:bottom w:val="none" w:sz="0" w:space="0" w:color="auto"/>
        <w:right w:val="none" w:sz="0" w:space="0" w:color="auto"/>
      </w:divBdr>
      <w:divsChild>
        <w:div w:id="137846226">
          <w:marLeft w:val="0"/>
          <w:marRight w:val="0"/>
          <w:marTop w:val="0"/>
          <w:marBottom w:val="0"/>
          <w:divBdr>
            <w:top w:val="none" w:sz="0" w:space="0" w:color="auto"/>
            <w:left w:val="none" w:sz="0" w:space="0" w:color="auto"/>
            <w:bottom w:val="none" w:sz="0" w:space="0" w:color="auto"/>
            <w:right w:val="none" w:sz="0" w:space="0" w:color="auto"/>
          </w:divBdr>
          <w:divsChild>
            <w:div w:id="1390153278">
              <w:marLeft w:val="0"/>
              <w:marRight w:val="0"/>
              <w:marTop w:val="0"/>
              <w:marBottom w:val="0"/>
              <w:divBdr>
                <w:top w:val="none" w:sz="0" w:space="0" w:color="auto"/>
                <w:left w:val="none" w:sz="0" w:space="0" w:color="auto"/>
                <w:bottom w:val="none" w:sz="0" w:space="0" w:color="auto"/>
                <w:right w:val="none" w:sz="0" w:space="0" w:color="auto"/>
              </w:divBdr>
              <w:divsChild>
                <w:div w:id="1833596748">
                  <w:marLeft w:val="0"/>
                  <w:marRight w:val="0"/>
                  <w:marTop w:val="0"/>
                  <w:marBottom w:val="0"/>
                  <w:divBdr>
                    <w:top w:val="none" w:sz="0" w:space="0" w:color="auto"/>
                    <w:left w:val="none" w:sz="0" w:space="0" w:color="auto"/>
                    <w:bottom w:val="none" w:sz="0" w:space="0" w:color="auto"/>
                    <w:right w:val="none" w:sz="0" w:space="0" w:color="auto"/>
                  </w:divBdr>
                  <w:divsChild>
                    <w:div w:id="839396049">
                      <w:marLeft w:val="0"/>
                      <w:marRight w:val="0"/>
                      <w:marTop w:val="0"/>
                      <w:marBottom w:val="0"/>
                      <w:divBdr>
                        <w:top w:val="none" w:sz="0" w:space="0" w:color="auto"/>
                        <w:left w:val="none" w:sz="0" w:space="0" w:color="auto"/>
                        <w:bottom w:val="none" w:sz="0" w:space="0" w:color="auto"/>
                        <w:right w:val="none" w:sz="0" w:space="0" w:color="auto"/>
                      </w:divBdr>
                      <w:divsChild>
                        <w:div w:id="1860853311">
                          <w:marLeft w:val="0"/>
                          <w:marRight w:val="0"/>
                          <w:marTop w:val="0"/>
                          <w:marBottom w:val="0"/>
                          <w:divBdr>
                            <w:top w:val="none" w:sz="0" w:space="0" w:color="auto"/>
                            <w:left w:val="none" w:sz="0" w:space="0" w:color="auto"/>
                            <w:bottom w:val="none" w:sz="0" w:space="0" w:color="auto"/>
                            <w:right w:val="none" w:sz="0" w:space="0" w:color="auto"/>
                          </w:divBdr>
                        </w:div>
                        <w:div w:id="243612249">
                          <w:marLeft w:val="0"/>
                          <w:marRight w:val="0"/>
                          <w:marTop w:val="0"/>
                          <w:marBottom w:val="0"/>
                          <w:divBdr>
                            <w:top w:val="none" w:sz="0" w:space="0" w:color="auto"/>
                            <w:left w:val="none" w:sz="0" w:space="0" w:color="auto"/>
                            <w:bottom w:val="none" w:sz="0" w:space="0" w:color="auto"/>
                            <w:right w:val="none" w:sz="0" w:space="0" w:color="auto"/>
                          </w:divBdr>
                          <w:divsChild>
                            <w:div w:id="105316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524259">
      <w:bodyDiv w:val="1"/>
      <w:marLeft w:val="0"/>
      <w:marRight w:val="0"/>
      <w:marTop w:val="0"/>
      <w:marBottom w:val="0"/>
      <w:divBdr>
        <w:top w:val="none" w:sz="0" w:space="0" w:color="auto"/>
        <w:left w:val="none" w:sz="0" w:space="0" w:color="auto"/>
        <w:bottom w:val="none" w:sz="0" w:space="0" w:color="auto"/>
        <w:right w:val="none" w:sz="0" w:space="0" w:color="auto"/>
      </w:divBdr>
    </w:div>
    <w:div w:id="658846967">
      <w:bodyDiv w:val="1"/>
      <w:marLeft w:val="0"/>
      <w:marRight w:val="0"/>
      <w:marTop w:val="0"/>
      <w:marBottom w:val="0"/>
      <w:divBdr>
        <w:top w:val="none" w:sz="0" w:space="0" w:color="auto"/>
        <w:left w:val="none" w:sz="0" w:space="0" w:color="auto"/>
        <w:bottom w:val="none" w:sz="0" w:space="0" w:color="auto"/>
        <w:right w:val="none" w:sz="0" w:space="0" w:color="auto"/>
      </w:divBdr>
    </w:div>
    <w:div w:id="687025197">
      <w:bodyDiv w:val="1"/>
      <w:marLeft w:val="0"/>
      <w:marRight w:val="0"/>
      <w:marTop w:val="0"/>
      <w:marBottom w:val="0"/>
      <w:divBdr>
        <w:top w:val="none" w:sz="0" w:space="0" w:color="auto"/>
        <w:left w:val="none" w:sz="0" w:space="0" w:color="auto"/>
        <w:bottom w:val="none" w:sz="0" w:space="0" w:color="auto"/>
        <w:right w:val="none" w:sz="0" w:space="0" w:color="auto"/>
      </w:divBdr>
    </w:div>
    <w:div w:id="700789760">
      <w:bodyDiv w:val="1"/>
      <w:marLeft w:val="0"/>
      <w:marRight w:val="0"/>
      <w:marTop w:val="0"/>
      <w:marBottom w:val="0"/>
      <w:divBdr>
        <w:top w:val="none" w:sz="0" w:space="0" w:color="auto"/>
        <w:left w:val="none" w:sz="0" w:space="0" w:color="auto"/>
        <w:bottom w:val="none" w:sz="0" w:space="0" w:color="auto"/>
        <w:right w:val="none" w:sz="0" w:space="0" w:color="auto"/>
      </w:divBdr>
    </w:div>
    <w:div w:id="727849563">
      <w:bodyDiv w:val="1"/>
      <w:marLeft w:val="0"/>
      <w:marRight w:val="0"/>
      <w:marTop w:val="0"/>
      <w:marBottom w:val="0"/>
      <w:divBdr>
        <w:top w:val="none" w:sz="0" w:space="0" w:color="auto"/>
        <w:left w:val="none" w:sz="0" w:space="0" w:color="auto"/>
        <w:bottom w:val="none" w:sz="0" w:space="0" w:color="auto"/>
        <w:right w:val="none" w:sz="0" w:space="0" w:color="auto"/>
      </w:divBdr>
    </w:div>
    <w:div w:id="765418863">
      <w:bodyDiv w:val="1"/>
      <w:marLeft w:val="0"/>
      <w:marRight w:val="0"/>
      <w:marTop w:val="0"/>
      <w:marBottom w:val="0"/>
      <w:divBdr>
        <w:top w:val="none" w:sz="0" w:space="0" w:color="auto"/>
        <w:left w:val="none" w:sz="0" w:space="0" w:color="auto"/>
        <w:bottom w:val="none" w:sz="0" w:space="0" w:color="auto"/>
        <w:right w:val="none" w:sz="0" w:space="0" w:color="auto"/>
      </w:divBdr>
    </w:div>
    <w:div w:id="809905554">
      <w:bodyDiv w:val="1"/>
      <w:marLeft w:val="0"/>
      <w:marRight w:val="0"/>
      <w:marTop w:val="0"/>
      <w:marBottom w:val="0"/>
      <w:divBdr>
        <w:top w:val="none" w:sz="0" w:space="0" w:color="auto"/>
        <w:left w:val="none" w:sz="0" w:space="0" w:color="auto"/>
        <w:bottom w:val="none" w:sz="0" w:space="0" w:color="auto"/>
        <w:right w:val="none" w:sz="0" w:space="0" w:color="auto"/>
      </w:divBdr>
    </w:div>
    <w:div w:id="851576300">
      <w:bodyDiv w:val="1"/>
      <w:marLeft w:val="0"/>
      <w:marRight w:val="0"/>
      <w:marTop w:val="0"/>
      <w:marBottom w:val="0"/>
      <w:divBdr>
        <w:top w:val="none" w:sz="0" w:space="0" w:color="auto"/>
        <w:left w:val="none" w:sz="0" w:space="0" w:color="auto"/>
        <w:bottom w:val="none" w:sz="0" w:space="0" w:color="auto"/>
        <w:right w:val="none" w:sz="0" w:space="0" w:color="auto"/>
      </w:divBdr>
    </w:div>
    <w:div w:id="990913445">
      <w:bodyDiv w:val="1"/>
      <w:marLeft w:val="0"/>
      <w:marRight w:val="0"/>
      <w:marTop w:val="0"/>
      <w:marBottom w:val="0"/>
      <w:divBdr>
        <w:top w:val="none" w:sz="0" w:space="0" w:color="auto"/>
        <w:left w:val="none" w:sz="0" w:space="0" w:color="auto"/>
        <w:bottom w:val="none" w:sz="0" w:space="0" w:color="auto"/>
        <w:right w:val="none" w:sz="0" w:space="0" w:color="auto"/>
      </w:divBdr>
    </w:div>
    <w:div w:id="1171947069">
      <w:bodyDiv w:val="1"/>
      <w:marLeft w:val="0"/>
      <w:marRight w:val="0"/>
      <w:marTop w:val="0"/>
      <w:marBottom w:val="0"/>
      <w:divBdr>
        <w:top w:val="none" w:sz="0" w:space="0" w:color="auto"/>
        <w:left w:val="none" w:sz="0" w:space="0" w:color="auto"/>
        <w:bottom w:val="none" w:sz="0" w:space="0" w:color="auto"/>
        <w:right w:val="none" w:sz="0" w:space="0" w:color="auto"/>
      </w:divBdr>
    </w:div>
    <w:div w:id="1250313545">
      <w:bodyDiv w:val="1"/>
      <w:marLeft w:val="0"/>
      <w:marRight w:val="0"/>
      <w:marTop w:val="0"/>
      <w:marBottom w:val="0"/>
      <w:divBdr>
        <w:top w:val="none" w:sz="0" w:space="0" w:color="auto"/>
        <w:left w:val="none" w:sz="0" w:space="0" w:color="auto"/>
        <w:bottom w:val="none" w:sz="0" w:space="0" w:color="auto"/>
        <w:right w:val="none" w:sz="0" w:space="0" w:color="auto"/>
      </w:divBdr>
    </w:div>
    <w:div w:id="1321689339">
      <w:bodyDiv w:val="1"/>
      <w:marLeft w:val="0"/>
      <w:marRight w:val="0"/>
      <w:marTop w:val="0"/>
      <w:marBottom w:val="0"/>
      <w:divBdr>
        <w:top w:val="none" w:sz="0" w:space="0" w:color="auto"/>
        <w:left w:val="none" w:sz="0" w:space="0" w:color="auto"/>
        <w:bottom w:val="none" w:sz="0" w:space="0" w:color="auto"/>
        <w:right w:val="none" w:sz="0" w:space="0" w:color="auto"/>
      </w:divBdr>
    </w:div>
    <w:div w:id="1390571201">
      <w:bodyDiv w:val="1"/>
      <w:marLeft w:val="0"/>
      <w:marRight w:val="0"/>
      <w:marTop w:val="0"/>
      <w:marBottom w:val="0"/>
      <w:divBdr>
        <w:top w:val="none" w:sz="0" w:space="0" w:color="auto"/>
        <w:left w:val="none" w:sz="0" w:space="0" w:color="auto"/>
        <w:bottom w:val="none" w:sz="0" w:space="0" w:color="auto"/>
        <w:right w:val="none" w:sz="0" w:space="0" w:color="auto"/>
      </w:divBdr>
    </w:div>
    <w:div w:id="1447577510">
      <w:bodyDiv w:val="1"/>
      <w:marLeft w:val="0"/>
      <w:marRight w:val="0"/>
      <w:marTop w:val="0"/>
      <w:marBottom w:val="0"/>
      <w:divBdr>
        <w:top w:val="none" w:sz="0" w:space="0" w:color="auto"/>
        <w:left w:val="none" w:sz="0" w:space="0" w:color="auto"/>
        <w:bottom w:val="none" w:sz="0" w:space="0" w:color="auto"/>
        <w:right w:val="none" w:sz="0" w:space="0" w:color="auto"/>
      </w:divBdr>
    </w:div>
    <w:div w:id="1478063467">
      <w:bodyDiv w:val="1"/>
      <w:marLeft w:val="0"/>
      <w:marRight w:val="0"/>
      <w:marTop w:val="0"/>
      <w:marBottom w:val="0"/>
      <w:divBdr>
        <w:top w:val="none" w:sz="0" w:space="0" w:color="auto"/>
        <w:left w:val="none" w:sz="0" w:space="0" w:color="auto"/>
        <w:bottom w:val="none" w:sz="0" w:space="0" w:color="auto"/>
        <w:right w:val="none" w:sz="0" w:space="0" w:color="auto"/>
      </w:divBdr>
    </w:div>
    <w:div w:id="1739355733">
      <w:bodyDiv w:val="1"/>
      <w:marLeft w:val="0"/>
      <w:marRight w:val="0"/>
      <w:marTop w:val="0"/>
      <w:marBottom w:val="0"/>
      <w:divBdr>
        <w:top w:val="none" w:sz="0" w:space="0" w:color="auto"/>
        <w:left w:val="none" w:sz="0" w:space="0" w:color="auto"/>
        <w:bottom w:val="none" w:sz="0" w:space="0" w:color="auto"/>
        <w:right w:val="none" w:sz="0" w:space="0" w:color="auto"/>
      </w:divBdr>
    </w:div>
    <w:div w:id="1742361476">
      <w:bodyDiv w:val="1"/>
      <w:marLeft w:val="0"/>
      <w:marRight w:val="0"/>
      <w:marTop w:val="0"/>
      <w:marBottom w:val="0"/>
      <w:divBdr>
        <w:top w:val="none" w:sz="0" w:space="0" w:color="auto"/>
        <w:left w:val="none" w:sz="0" w:space="0" w:color="auto"/>
        <w:bottom w:val="none" w:sz="0" w:space="0" w:color="auto"/>
        <w:right w:val="none" w:sz="0" w:space="0" w:color="auto"/>
      </w:divBdr>
    </w:div>
    <w:div w:id="1813713150">
      <w:bodyDiv w:val="1"/>
      <w:marLeft w:val="0"/>
      <w:marRight w:val="0"/>
      <w:marTop w:val="0"/>
      <w:marBottom w:val="0"/>
      <w:divBdr>
        <w:top w:val="none" w:sz="0" w:space="0" w:color="auto"/>
        <w:left w:val="none" w:sz="0" w:space="0" w:color="auto"/>
        <w:bottom w:val="none" w:sz="0" w:space="0" w:color="auto"/>
        <w:right w:val="none" w:sz="0" w:space="0" w:color="auto"/>
      </w:divBdr>
    </w:div>
    <w:div w:id="1825314512">
      <w:bodyDiv w:val="1"/>
      <w:marLeft w:val="0"/>
      <w:marRight w:val="0"/>
      <w:marTop w:val="0"/>
      <w:marBottom w:val="0"/>
      <w:divBdr>
        <w:top w:val="none" w:sz="0" w:space="0" w:color="auto"/>
        <w:left w:val="none" w:sz="0" w:space="0" w:color="auto"/>
        <w:bottom w:val="none" w:sz="0" w:space="0" w:color="auto"/>
        <w:right w:val="none" w:sz="0" w:space="0" w:color="auto"/>
      </w:divBdr>
    </w:div>
    <w:div w:id="1842506992">
      <w:bodyDiv w:val="1"/>
      <w:marLeft w:val="0"/>
      <w:marRight w:val="0"/>
      <w:marTop w:val="0"/>
      <w:marBottom w:val="0"/>
      <w:divBdr>
        <w:top w:val="none" w:sz="0" w:space="0" w:color="auto"/>
        <w:left w:val="none" w:sz="0" w:space="0" w:color="auto"/>
        <w:bottom w:val="none" w:sz="0" w:space="0" w:color="auto"/>
        <w:right w:val="none" w:sz="0" w:space="0" w:color="auto"/>
      </w:divBdr>
    </w:div>
    <w:div w:id="1876498530">
      <w:bodyDiv w:val="1"/>
      <w:marLeft w:val="0"/>
      <w:marRight w:val="0"/>
      <w:marTop w:val="0"/>
      <w:marBottom w:val="0"/>
      <w:divBdr>
        <w:top w:val="none" w:sz="0" w:space="0" w:color="auto"/>
        <w:left w:val="none" w:sz="0" w:space="0" w:color="auto"/>
        <w:bottom w:val="none" w:sz="0" w:space="0" w:color="auto"/>
        <w:right w:val="none" w:sz="0" w:space="0" w:color="auto"/>
      </w:divBdr>
    </w:div>
    <w:div w:id="1889489659">
      <w:bodyDiv w:val="1"/>
      <w:marLeft w:val="0"/>
      <w:marRight w:val="0"/>
      <w:marTop w:val="0"/>
      <w:marBottom w:val="0"/>
      <w:divBdr>
        <w:top w:val="none" w:sz="0" w:space="0" w:color="auto"/>
        <w:left w:val="none" w:sz="0" w:space="0" w:color="auto"/>
        <w:bottom w:val="none" w:sz="0" w:space="0" w:color="auto"/>
        <w:right w:val="none" w:sz="0" w:space="0" w:color="auto"/>
      </w:divBdr>
    </w:div>
    <w:div w:id="1906529251">
      <w:bodyDiv w:val="1"/>
      <w:marLeft w:val="0"/>
      <w:marRight w:val="0"/>
      <w:marTop w:val="0"/>
      <w:marBottom w:val="0"/>
      <w:divBdr>
        <w:top w:val="none" w:sz="0" w:space="0" w:color="auto"/>
        <w:left w:val="none" w:sz="0" w:space="0" w:color="auto"/>
        <w:bottom w:val="none" w:sz="0" w:space="0" w:color="auto"/>
        <w:right w:val="none" w:sz="0" w:space="0" w:color="auto"/>
      </w:divBdr>
    </w:div>
    <w:div w:id="1927688523">
      <w:bodyDiv w:val="1"/>
      <w:marLeft w:val="0"/>
      <w:marRight w:val="0"/>
      <w:marTop w:val="0"/>
      <w:marBottom w:val="0"/>
      <w:divBdr>
        <w:top w:val="none" w:sz="0" w:space="0" w:color="auto"/>
        <w:left w:val="none" w:sz="0" w:space="0" w:color="auto"/>
        <w:bottom w:val="none" w:sz="0" w:space="0" w:color="auto"/>
        <w:right w:val="none" w:sz="0" w:space="0" w:color="auto"/>
      </w:divBdr>
    </w:div>
    <w:div w:id="1977056377">
      <w:bodyDiv w:val="1"/>
      <w:marLeft w:val="0"/>
      <w:marRight w:val="0"/>
      <w:marTop w:val="0"/>
      <w:marBottom w:val="0"/>
      <w:divBdr>
        <w:top w:val="none" w:sz="0" w:space="0" w:color="auto"/>
        <w:left w:val="none" w:sz="0" w:space="0" w:color="auto"/>
        <w:bottom w:val="none" w:sz="0" w:space="0" w:color="auto"/>
        <w:right w:val="none" w:sz="0" w:space="0" w:color="auto"/>
      </w:divBdr>
    </w:div>
    <w:div w:id="1988705391">
      <w:bodyDiv w:val="1"/>
      <w:marLeft w:val="0"/>
      <w:marRight w:val="0"/>
      <w:marTop w:val="0"/>
      <w:marBottom w:val="0"/>
      <w:divBdr>
        <w:top w:val="none" w:sz="0" w:space="0" w:color="auto"/>
        <w:left w:val="none" w:sz="0" w:space="0" w:color="auto"/>
        <w:bottom w:val="none" w:sz="0" w:space="0" w:color="auto"/>
        <w:right w:val="none" w:sz="0" w:space="0" w:color="auto"/>
      </w:divBdr>
    </w:div>
    <w:div w:id="2022707535">
      <w:bodyDiv w:val="1"/>
      <w:marLeft w:val="0"/>
      <w:marRight w:val="0"/>
      <w:marTop w:val="0"/>
      <w:marBottom w:val="0"/>
      <w:divBdr>
        <w:top w:val="none" w:sz="0" w:space="0" w:color="auto"/>
        <w:left w:val="none" w:sz="0" w:space="0" w:color="auto"/>
        <w:bottom w:val="none" w:sz="0" w:space="0" w:color="auto"/>
        <w:right w:val="none" w:sz="0" w:space="0" w:color="auto"/>
      </w:divBdr>
    </w:div>
    <w:div w:id="209382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345678906290531" TargetMode="External"/><Relationship Id="rId13" Type="http://schemas.openxmlformats.org/officeDocument/2006/relationships/hyperlink" Target="https://www.jstor.org/stable/2392366" TargetMode="External"/><Relationship Id="rId18" Type="http://schemas.openxmlformats.org/officeDocument/2006/relationships/hyperlink" Target="https://warwick.ac.uk/fac/soc/ces/postgrads/teachfirst/induction/mercer_2007_insider_research.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voice.org/article/S0892-1997%2823%2900004-8/abstract" TargetMode="External"/><Relationship Id="rId17" Type="http://schemas.openxmlformats.org/officeDocument/2006/relationships/hyperlink" Target="https://methods.sagepub.com/book/mono/longitudinal-research/toc" TargetMode="External"/><Relationship Id="rId2" Type="http://schemas.openxmlformats.org/officeDocument/2006/relationships/numbering" Target="numbering.xml"/><Relationship Id="rId16" Type="http://schemas.openxmlformats.org/officeDocument/2006/relationships/hyperlink" Target="https://www.taylorfrancis.com/books/edit/10.4324/9781315572642/collaborative-learning-higher-music-education-helena-gaunt-heidi-westerlun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scholars.com/resources/pdfs/978-1-4438-5416-0-sample.pdf" TargetMode="External"/><Relationship Id="rId5" Type="http://schemas.openxmlformats.org/officeDocument/2006/relationships/webSettings" Target="webSettings.xml"/><Relationship Id="rId15" Type="http://schemas.openxmlformats.org/officeDocument/2006/relationships/hyperlink" Target="https://global.oup.com/academic/product/the-psychology-of-music-performance-anxiety-9780199586141" TargetMode="External"/><Relationship Id="rId10" Type="http://schemas.openxmlformats.org/officeDocument/2006/relationships/hyperlink" Target="https://eur-lex.europa.eu/eli/reg/2016/679/oj/eng" TargetMode="External"/><Relationship Id="rId19" Type="http://schemas.openxmlformats.org/officeDocument/2006/relationships/hyperlink" Target="https://www.uwtsd.ac.uk/media/2041/download?attachment=" TargetMode="External"/><Relationship Id="rId4" Type="http://schemas.openxmlformats.org/officeDocument/2006/relationships/settings" Target="settings.xml"/><Relationship Id="rId9" Type="http://schemas.openxmlformats.org/officeDocument/2006/relationships/hyperlink" Target="https://study.sagepub.com/creswell3e" TargetMode="External"/><Relationship Id="rId14" Type="http://schemas.openxmlformats.org/officeDocument/2006/relationships/hyperlink" Target="https://pubmed.ncbi.nlm.nih.gov/1984397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E864B-4EE3-4FD7-B798-574A49FCD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6259</Words>
  <Characters>35678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Healey</dc:creator>
  <cp:keywords/>
  <dc:description/>
  <cp:lastModifiedBy>Christopher Healey</cp:lastModifiedBy>
  <cp:revision>6</cp:revision>
  <cp:lastPrinted>2025-08-14T17:07:00Z</cp:lastPrinted>
  <dcterms:created xsi:type="dcterms:W3CDTF">2025-08-14T16:30:00Z</dcterms:created>
  <dcterms:modified xsi:type="dcterms:W3CDTF">2025-08-14T17:07:00Z</dcterms:modified>
</cp:coreProperties>
</file>