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11D1" w:rsidRPr="006111D1" w:rsidRDefault="006111D1">
      <w:pPr>
        <w:rPr>
          <w:u w:val="single"/>
        </w:rPr>
      </w:pPr>
      <w:r w:rsidRPr="006111D1">
        <w:rPr>
          <w:u w:val="single"/>
        </w:rPr>
        <w:t>Analysis of Galli Worship Practices With Respect to Self-Castration and Gender Performance Highlights a Contradiction to the Roman Religious Ideology Regarding Hyper-Masculinity</w:t>
      </w:r>
    </w:p>
    <w:p w:rsidR="00BD635F" w:rsidRDefault="008C58EF">
      <w:r>
        <w:t xml:space="preserve">Priests </w:t>
      </w:r>
      <w:r w:rsidR="00777B89">
        <w:t>of the</w:t>
      </w:r>
      <w:r w:rsidR="00FE6F9C" w:rsidRPr="00FE6F9C">
        <w:t xml:space="preserve"> Magna Mater</w:t>
      </w:r>
      <w:r w:rsidR="00777B89">
        <w:t xml:space="preserve"> </w:t>
      </w:r>
      <w:r>
        <w:t xml:space="preserve">devoted to the goddess Cybele were referred to as </w:t>
      </w:r>
      <w:r w:rsidRPr="008C58EF">
        <w:rPr>
          <w:i/>
        </w:rPr>
        <w:t>galli</w:t>
      </w:r>
      <w:r>
        <w:t>, they were se</w:t>
      </w:r>
      <w:r w:rsidR="005723B2">
        <w:t>t apart from other priesthoods because of their practise of self-castration</w:t>
      </w:r>
      <w:r w:rsidR="00DE7648">
        <w:t>, which would take place</w:t>
      </w:r>
      <w:r w:rsidR="005723B2">
        <w:t xml:space="preserve"> on the 24</w:t>
      </w:r>
      <w:r w:rsidR="005723B2" w:rsidRPr="005723B2">
        <w:rPr>
          <w:vertAlign w:val="superscript"/>
        </w:rPr>
        <w:t>th</w:t>
      </w:r>
      <w:r w:rsidR="005723B2">
        <w:t xml:space="preserve"> of March</w:t>
      </w:r>
      <w:r w:rsidR="008D7E54">
        <w:t xml:space="preserve"> also known as the Day of Blood</w:t>
      </w:r>
      <w:r w:rsidR="005723B2">
        <w:rPr>
          <w:rStyle w:val="FootnoteReference"/>
        </w:rPr>
        <w:footnoteReference w:id="1"/>
      </w:r>
      <w:r w:rsidR="005723B2">
        <w:t xml:space="preserve">. </w:t>
      </w:r>
      <w:r w:rsidR="00EE5F70">
        <w:t xml:space="preserve">Though they were only a minority, the </w:t>
      </w:r>
      <w:r w:rsidR="00EE5F70">
        <w:rPr>
          <w:i/>
        </w:rPr>
        <w:t>galli,</w:t>
      </w:r>
      <w:r w:rsidR="00EE5F70">
        <w:t xml:space="preserve"> continued to exist throughout the </w:t>
      </w:r>
      <w:r w:rsidR="00DE7648">
        <w:t xml:space="preserve">history of ancient Rome </w:t>
      </w:r>
      <w:r w:rsidR="008567F1">
        <w:t>and</w:t>
      </w:r>
      <w:r w:rsidR="00EE5F70">
        <w:t xml:space="preserve"> the cult was active to the extent </w:t>
      </w:r>
      <w:r w:rsidR="00DE7648">
        <w:t xml:space="preserve">that </w:t>
      </w:r>
      <w:r w:rsidR="00EE5F70">
        <w:t>they even gained popularity in late</w:t>
      </w:r>
      <w:bookmarkStart w:id="0" w:name="_GoBack"/>
      <w:bookmarkEnd w:id="0"/>
      <w:r w:rsidR="00EE5F70">
        <w:t xml:space="preserve"> antiquity</w:t>
      </w:r>
      <w:r w:rsidR="00EE5F70">
        <w:rPr>
          <w:rStyle w:val="FootnoteReference"/>
        </w:rPr>
        <w:footnoteReference w:id="2"/>
      </w:r>
      <w:r w:rsidR="00EE5F70">
        <w:t>.</w:t>
      </w:r>
      <w:r w:rsidR="00D844A3">
        <w:t xml:space="preserve"> However during this time</w:t>
      </w:r>
      <w:r w:rsidR="006437A7">
        <w:t xml:space="preserve"> a great importance was placed on manliness.</w:t>
      </w:r>
      <w:r w:rsidR="00D844A3">
        <w:t xml:space="preserve"> </w:t>
      </w:r>
      <w:r w:rsidR="00DE7648">
        <w:t xml:space="preserve">Even </w:t>
      </w:r>
      <w:r w:rsidR="00D844A3">
        <w:t>the Judean practise of c</w:t>
      </w:r>
      <w:r w:rsidR="00D844A3" w:rsidRPr="00D844A3">
        <w:t>ircumcision</w:t>
      </w:r>
      <w:r w:rsidR="00D844A3">
        <w:t xml:space="preserve"> was considered genital mutilation and therefore condemned as superstition for being barbaric</w:t>
      </w:r>
      <w:r w:rsidR="00D844A3">
        <w:rPr>
          <w:rStyle w:val="FootnoteReference"/>
        </w:rPr>
        <w:footnoteReference w:id="3"/>
      </w:r>
      <w:r w:rsidR="006437A7">
        <w:t xml:space="preserve">, so already we have a contradiction in Roman religious ideology as they have priests who perform greater mutilation annually. The reason why this cult </w:t>
      </w:r>
      <w:r w:rsidR="009E3E15">
        <w:t>was even brought into</w:t>
      </w:r>
      <w:r w:rsidR="006437A7">
        <w:t xml:space="preserve"> the hyper-masculinised Roman world was because earlier in 205 B.C. it was prophesised that if they brought Cybele into Rome they would be able to drive Hannibal o</w:t>
      </w:r>
      <w:r w:rsidR="00DE7648">
        <w:t>ut of</w:t>
      </w:r>
      <w:r w:rsidR="006437A7">
        <w:t xml:space="preserve"> the peninsula</w:t>
      </w:r>
      <w:r w:rsidR="00DE7648">
        <w:t>.</w:t>
      </w:r>
      <w:r w:rsidR="006437A7">
        <w:t xml:space="preserve"> </w:t>
      </w:r>
      <w:r w:rsidR="00DE7648">
        <w:t>Thus,</w:t>
      </w:r>
      <w:r w:rsidR="006437A7">
        <w:t xml:space="preserve"> in 204 B.C. </w:t>
      </w:r>
      <w:r w:rsidR="00BD3F9C">
        <w:t xml:space="preserve">the statue of Cybele was brought from her eastern home into the temple of victory, apparently ensuring Rome </w:t>
      </w:r>
      <w:r w:rsidR="00DE7648">
        <w:t>was</w:t>
      </w:r>
      <w:r w:rsidR="00BD3F9C">
        <w:t xml:space="preserve"> victorious, and her eunuch priest</w:t>
      </w:r>
      <w:r w:rsidR="00DE7648">
        <w:t>s</w:t>
      </w:r>
      <w:r w:rsidR="00BD3F9C">
        <w:t xml:space="preserve"> </w:t>
      </w:r>
      <w:r w:rsidR="005F2D13">
        <w:t xml:space="preserve">as a result </w:t>
      </w:r>
      <w:r w:rsidR="00BD3F9C">
        <w:t>came with her</w:t>
      </w:r>
      <w:r w:rsidR="00BD3F9C">
        <w:rPr>
          <w:rStyle w:val="FootnoteReference"/>
        </w:rPr>
        <w:footnoteReference w:id="4"/>
      </w:r>
      <w:r w:rsidR="00DC6CC5">
        <w:t>. This paper though</w:t>
      </w:r>
      <w:r w:rsidR="00DE7648">
        <w:t>,</w:t>
      </w:r>
      <w:r w:rsidR="00DC6CC5">
        <w:t xml:space="preserve"> does</w:t>
      </w:r>
      <w:r w:rsidR="00BD3F9C">
        <w:t xml:space="preserve"> not focus on why the cult was continued to be allowed to practise, instead focusing on highlighting the contradictions and consequently the issues, ergo possible </w:t>
      </w:r>
      <w:r w:rsidR="004A2AD3">
        <w:t>frictions, which</w:t>
      </w:r>
      <w:r w:rsidR="00BD3F9C">
        <w:t xml:space="preserve"> are in play when considering how the </w:t>
      </w:r>
      <w:proofErr w:type="spellStart"/>
      <w:r w:rsidR="00BD3F9C">
        <w:rPr>
          <w:i/>
        </w:rPr>
        <w:t>galli’s</w:t>
      </w:r>
      <w:proofErr w:type="spellEnd"/>
      <w:r w:rsidR="00BD3F9C">
        <w:rPr>
          <w:i/>
        </w:rPr>
        <w:t xml:space="preserve"> </w:t>
      </w:r>
      <w:r w:rsidR="00BD3F9C">
        <w:t xml:space="preserve">self-castration and gender performance challenged the Roman </w:t>
      </w:r>
      <w:r w:rsidR="00BD635F">
        <w:t>view of masculinity.</w:t>
      </w:r>
    </w:p>
    <w:p w:rsidR="00F1315E" w:rsidRDefault="005F2D13">
      <w:r>
        <w:t xml:space="preserve">When it comes to ancient texts concerning the </w:t>
      </w:r>
      <w:r>
        <w:rPr>
          <w:i/>
        </w:rPr>
        <w:t>galli</w:t>
      </w:r>
      <w:r>
        <w:t xml:space="preserve"> there is a very biased view leaning towards the condemnation of the priests. Christian writers of the time, like </w:t>
      </w:r>
      <w:r w:rsidRPr="005F2D13">
        <w:t>Prudentius</w:t>
      </w:r>
      <w:r>
        <w:t xml:space="preserve">, use the </w:t>
      </w:r>
      <w:r>
        <w:rPr>
          <w:i/>
        </w:rPr>
        <w:t xml:space="preserve">galli </w:t>
      </w:r>
      <w:r>
        <w:t>to demonstrate the extreme violence of the pagan religion</w:t>
      </w:r>
      <w:r>
        <w:rPr>
          <w:rStyle w:val="FootnoteReference"/>
        </w:rPr>
        <w:footnoteReference w:id="5"/>
      </w:r>
      <w:r>
        <w:t xml:space="preserve"> and that the Christian religion is the </w:t>
      </w:r>
      <w:r w:rsidR="000C586A">
        <w:t xml:space="preserve">right way to worship. Interestingly Christian writers, as persuasion, insist that being a Christian is masculine in comparison but this will be discussed in detail </w:t>
      </w:r>
      <w:r w:rsidR="00DE7648">
        <w:t>further</w:t>
      </w:r>
      <w:r w:rsidR="000C586A">
        <w:t xml:space="preserve"> into the paper. The other times </w:t>
      </w:r>
      <w:r w:rsidR="000C586A">
        <w:rPr>
          <w:i/>
        </w:rPr>
        <w:t>galli</w:t>
      </w:r>
      <w:r w:rsidR="000C586A">
        <w:t xml:space="preserve"> are mentioned are normally in satire</w:t>
      </w:r>
      <w:r w:rsidR="00522470">
        <w:rPr>
          <w:rStyle w:val="FootnoteReference"/>
        </w:rPr>
        <w:footnoteReference w:id="6"/>
      </w:r>
      <w:r w:rsidR="000C586A">
        <w:t xml:space="preserve">, where details are exaggerated for humorous effect or in the case of more historical texts such as, </w:t>
      </w:r>
      <w:proofErr w:type="spellStart"/>
      <w:r w:rsidR="000C586A">
        <w:rPr>
          <w:i/>
        </w:rPr>
        <w:t>Historia</w:t>
      </w:r>
      <w:proofErr w:type="spellEnd"/>
      <w:r w:rsidR="000C586A">
        <w:rPr>
          <w:i/>
        </w:rPr>
        <w:t xml:space="preserve"> Augusta,</w:t>
      </w:r>
      <w:r w:rsidR="000C586A">
        <w:t xml:space="preserve"> </w:t>
      </w:r>
      <w:r w:rsidR="00DE7648">
        <w:t>E</w:t>
      </w:r>
      <w:r w:rsidR="000C586A">
        <w:t xml:space="preserve">mperors are compared to </w:t>
      </w:r>
      <w:r w:rsidR="000C586A">
        <w:rPr>
          <w:i/>
        </w:rPr>
        <w:t>galli</w:t>
      </w:r>
      <w:r w:rsidR="000C586A">
        <w:t xml:space="preserve"> in order to insult them</w:t>
      </w:r>
      <w:r w:rsidR="002D01EE">
        <w:t xml:space="preserve"> and/or their rule</w:t>
      </w:r>
      <w:r w:rsidR="002D01EE">
        <w:rPr>
          <w:rStyle w:val="FootnoteReference"/>
        </w:rPr>
        <w:footnoteReference w:id="7"/>
      </w:r>
      <w:r w:rsidR="002D01EE">
        <w:t>.</w:t>
      </w:r>
      <w:r w:rsidR="00F1315E">
        <w:t xml:space="preserve"> While this is problematic when it comes to exploring the practises of the </w:t>
      </w:r>
      <w:r w:rsidR="00F1315E">
        <w:rPr>
          <w:i/>
        </w:rPr>
        <w:t>galli</w:t>
      </w:r>
      <w:r w:rsidR="00F1315E">
        <w:t>, this does provide evidence for how the public, or at least some of them, felt about the eunuch priests and further shows the contradiction between their practice and societies’ ideology.</w:t>
      </w:r>
    </w:p>
    <w:p w:rsidR="00B13F59" w:rsidRDefault="00D6616E">
      <w:r>
        <w:t>Firstly, the act of self-castration could be said to be the most extreme contradiction that will be mentioned mainly because it is expressly forbidden in the Roman Empire</w:t>
      </w:r>
      <w:r>
        <w:rPr>
          <w:rStyle w:val="FootnoteReference"/>
        </w:rPr>
        <w:footnoteReference w:id="8"/>
      </w:r>
      <w:r w:rsidR="00CE0E1F">
        <w:t xml:space="preserve"> yet seem</w:t>
      </w:r>
      <w:r w:rsidR="00DE7648">
        <w:t>ing</w:t>
      </w:r>
      <w:r w:rsidR="00CE0E1F">
        <w:t xml:space="preserve">ly </w:t>
      </w:r>
      <w:r w:rsidR="00DE7648">
        <w:t>permitted</w:t>
      </w:r>
      <w:r w:rsidR="00CE0E1F">
        <w:t xml:space="preserve"> to be practised by the </w:t>
      </w:r>
      <w:r w:rsidR="00CE0E1F">
        <w:rPr>
          <w:i/>
        </w:rPr>
        <w:t>galli</w:t>
      </w:r>
      <w:r w:rsidR="00CE0E1F">
        <w:t xml:space="preserve">. </w:t>
      </w:r>
      <w:r w:rsidR="00712DB4">
        <w:t>This could be because the eunuch priests were recruited from outside of Rome</w:t>
      </w:r>
      <w:r w:rsidR="00712DB4">
        <w:rPr>
          <w:rStyle w:val="FootnoteReference"/>
        </w:rPr>
        <w:footnoteReference w:id="9"/>
      </w:r>
      <w:r w:rsidR="00712DB4">
        <w:t>, but this is a point of contention.</w:t>
      </w:r>
      <w:r w:rsidR="00C0302B">
        <w:t xml:space="preserve"> </w:t>
      </w:r>
      <w:proofErr w:type="spellStart"/>
      <w:r w:rsidR="00C0302B">
        <w:t>Turcan</w:t>
      </w:r>
      <w:proofErr w:type="spellEnd"/>
      <w:r w:rsidR="00C0302B">
        <w:t xml:space="preserve"> states that no Roman citizen could castrate themselves</w:t>
      </w:r>
      <w:r w:rsidR="00C0302B">
        <w:rPr>
          <w:rStyle w:val="FootnoteReference"/>
        </w:rPr>
        <w:footnoteReference w:id="10"/>
      </w:r>
      <w:r w:rsidR="00C0302B">
        <w:t>, Beard also explains that the Emperor Hadrian was amongst the rulers who expressly prohibited both forced and voluntary castration for free and slaved Romans</w:t>
      </w:r>
      <w:r w:rsidR="00C0302B">
        <w:rPr>
          <w:rStyle w:val="FootnoteReference"/>
        </w:rPr>
        <w:footnoteReference w:id="11"/>
      </w:r>
      <w:r w:rsidR="00C0302B">
        <w:t xml:space="preserve"> and </w:t>
      </w:r>
      <w:proofErr w:type="spellStart"/>
      <w:r w:rsidR="00C0302B" w:rsidRPr="00C0302B">
        <w:t>Valerius</w:t>
      </w:r>
      <w:proofErr w:type="spellEnd"/>
      <w:r w:rsidR="00C0302B" w:rsidRPr="00C0302B">
        <w:t xml:space="preserve"> Maximus</w:t>
      </w:r>
      <w:r w:rsidR="00C0302B">
        <w:t xml:space="preserve"> details how a </w:t>
      </w:r>
      <w:proofErr w:type="spellStart"/>
      <w:r w:rsidR="00C0302B">
        <w:rPr>
          <w:i/>
        </w:rPr>
        <w:t>gallus</w:t>
      </w:r>
      <w:proofErr w:type="spellEnd"/>
      <w:r w:rsidR="00C0302B">
        <w:rPr>
          <w:i/>
        </w:rPr>
        <w:t xml:space="preserve"> </w:t>
      </w:r>
      <w:r w:rsidR="00C0302B" w:rsidRPr="00C0302B">
        <w:t>Genucius</w:t>
      </w:r>
      <w:r w:rsidR="00C0302B">
        <w:t xml:space="preserve"> was refused their inheritance or to even present themselves in court </w:t>
      </w:r>
      <w:r w:rsidR="00C0302B">
        <w:lastRenderedPageBreak/>
        <w:t>for fear ‘</w:t>
      </w:r>
      <w:r w:rsidR="00C0302B" w:rsidRPr="00C0302B">
        <w:t>the magistrates should be polluted by his obscene presence and corrupt voice’</w:t>
      </w:r>
      <w:r w:rsidR="00C0302B">
        <w:rPr>
          <w:rStyle w:val="FootnoteReference"/>
        </w:rPr>
        <w:footnoteReference w:id="12"/>
      </w:r>
      <w:r w:rsidR="00C0302B">
        <w:t xml:space="preserve">. This is all evidence that the </w:t>
      </w:r>
      <w:r w:rsidR="00C0302B">
        <w:rPr>
          <w:i/>
        </w:rPr>
        <w:t>galli</w:t>
      </w:r>
      <w:r w:rsidR="00C0302B">
        <w:t xml:space="preserve"> were not Roman citizens and even considered alien, mainly because of their lack of masculinity </w:t>
      </w:r>
      <w:r w:rsidR="00680126">
        <w:t xml:space="preserve">as we see </w:t>
      </w:r>
      <w:r w:rsidR="00C0302B">
        <w:t>Virgil</w:t>
      </w:r>
      <w:r w:rsidR="000A31D1">
        <w:t xml:space="preserve"> </w:t>
      </w:r>
      <w:r w:rsidR="00680126">
        <w:t>describe</w:t>
      </w:r>
      <w:r w:rsidR="000A31D1">
        <w:t xml:space="preserve"> Phrygian people, which is where the statue of Cybele originated, as effeminate compared to the masculine people of Italy</w:t>
      </w:r>
      <w:r w:rsidR="000A31D1">
        <w:rPr>
          <w:rStyle w:val="FootnoteReference"/>
        </w:rPr>
        <w:footnoteReference w:id="13"/>
      </w:r>
      <w:r w:rsidR="000A31D1">
        <w:t>.</w:t>
      </w:r>
    </w:p>
    <w:p w:rsidR="00680126" w:rsidRDefault="00680126">
      <w:r>
        <w:t>Yet, as Kuefler states Roman law was sometimes ignored</w:t>
      </w:r>
      <w:r>
        <w:rPr>
          <w:rStyle w:val="FootnoteReference"/>
        </w:rPr>
        <w:footnoteReference w:id="14"/>
      </w:r>
      <w:r>
        <w:t xml:space="preserve"> and although </w:t>
      </w:r>
      <w:r w:rsidRPr="00680126">
        <w:t>Dionysius of Halicarnassus</w:t>
      </w:r>
      <w:r w:rsidR="001A15D9">
        <w:rPr>
          <w:rStyle w:val="FootnoteReference"/>
        </w:rPr>
        <w:footnoteReference w:id="15"/>
      </w:r>
      <w:r w:rsidR="001A15D9">
        <w:t xml:space="preserve"> and </w:t>
      </w:r>
      <w:r w:rsidR="001A15D9" w:rsidRPr="001A15D9">
        <w:t>Augustine</w:t>
      </w:r>
      <w:r w:rsidR="001A15D9">
        <w:rPr>
          <w:rStyle w:val="FootnoteReference"/>
        </w:rPr>
        <w:footnoteReference w:id="16"/>
      </w:r>
      <w:r w:rsidR="001A15D9">
        <w:t xml:space="preserve"> both state that no Roman citizen would be a part of the </w:t>
      </w:r>
      <w:r w:rsidR="001A15D9">
        <w:rPr>
          <w:i/>
        </w:rPr>
        <w:t>galli</w:t>
      </w:r>
      <w:r w:rsidR="001A15D9">
        <w:t xml:space="preserve"> and guarded themselves against them, Beard</w:t>
      </w:r>
      <w:r w:rsidR="00203BC4">
        <w:t xml:space="preserve"> debates that while there was the cultural exclusion and distancing between the </w:t>
      </w:r>
      <w:r w:rsidR="00203BC4">
        <w:rPr>
          <w:i/>
        </w:rPr>
        <w:t>galli</w:t>
      </w:r>
      <w:r w:rsidR="00203BC4">
        <w:t xml:space="preserve"> and Roman citizens there is act</w:t>
      </w:r>
      <w:r w:rsidR="009A7F87">
        <w:t xml:space="preserve">ually no way of knowing if there </w:t>
      </w:r>
      <w:r w:rsidR="00203BC4">
        <w:t>were</w:t>
      </w:r>
      <w:r w:rsidR="009A7F87">
        <w:t xml:space="preserve"> or were not</w:t>
      </w:r>
      <w:r w:rsidR="00203BC4">
        <w:t xml:space="preserve"> citizens </w:t>
      </w:r>
      <w:r w:rsidR="009A7F87">
        <w:t>that became</w:t>
      </w:r>
      <w:r w:rsidR="00203BC4">
        <w:t xml:space="preserve"> </w:t>
      </w:r>
      <w:r w:rsidR="00203BC4">
        <w:rPr>
          <w:i/>
        </w:rPr>
        <w:t>galli</w:t>
      </w:r>
      <w:r w:rsidR="00203BC4">
        <w:rPr>
          <w:rStyle w:val="FootnoteReference"/>
          <w:i/>
        </w:rPr>
        <w:footnoteReference w:id="17"/>
      </w:r>
      <w:r w:rsidR="00203BC4">
        <w:rPr>
          <w:i/>
        </w:rPr>
        <w:t xml:space="preserve">. </w:t>
      </w:r>
      <w:r w:rsidR="009D5886">
        <w:t xml:space="preserve">The main reason for this debate is the position of </w:t>
      </w:r>
      <w:r w:rsidR="009D5886" w:rsidRPr="009D5886">
        <w:rPr>
          <w:i/>
        </w:rPr>
        <w:t>archigallus</w:t>
      </w:r>
      <w:r w:rsidR="009D5886">
        <w:rPr>
          <w:i/>
        </w:rPr>
        <w:t xml:space="preserve">, </w:t>
      </w:r>
      <w:r w:rsidR="009D5886">
        <w:t xml:space="preserve">chief priest of the </w:t>
      </w:r>
      <w:r w:rsidR="009D5886">
        <w:rPr>
          <w:i/>
        </w:rPr>
        <w:t xml:space="preserve">galli, </w:t>
      </w:r>
      <w:r w:rsidR="009D5886">
        <w:t xml:space="preserve">which emerged with the reform of the cult under </w:t>
      </w:r>
      <w:proofErr w:type="spellStart"/>
      <w:r w:rsidR="009D5886" w:rsidRPr="009D5886">
        <w:t>Antoninus</w:t>
      </w:r>
      <w:proofErr w:type="spellEnd"/>
      <w:r w:rsidR="009D5886" w:rsidRPr="009D5886">
        <w:t xml:space="preserve"> Pius</w:t>
      </w:r>
      <w:r w:rsidR="009D5886">
        <w:rPr>
          <w:rStyle w:val="FootnoteReference"/>
        </w:rPr>
        <w:footnoteReference w:id="18"/>
      </w:r>
      <w:r w:rsidR="009D5886">
        <w:t xml:space="preserve">. </w:t>
      </w:r>
      <w:r w:rsidR="00BD00B6">
        <w:t xml:space="preserve">Some of these </w:t>
      </w:r>
      <w:r w:rsidR="00BD00B6" w:rsidRPr="009D5886">
        <w:rPr>
          <w:i/>
        </w:rPr>
        <w:t>archigallus</w:t>
      </w:r>
      <w:r w:rsidR="00BD00B6">
        <w:rPr>
          <w:i/>
        </w:rPr>
        <w:t xml:space="preserve"> </w:t>
      </w:r>
      <w:r w:rsidR="00BD00B6">
        <w:t>were Roman citizens and so we would assume to be uncastrated</w:t>
      </w:r>
      <w:r w:rsidR="00BD00B6">
        <w:rPr>
          <w:rStyle w:val="FootnoteReference"/>
        </w:rPr>
        <w:footnoteReference w:id="19"/>
      </w:r>
      <w:r w:rsidR="00AD7BB6">
        <w:t>,</w:t>
      </w:r>
      <w:r w:rsidR="00BD00B6">
        <w:t xml:space="preserve"> yet when we look at their funeral images</w:t>
      </w:r>
      <w:r w:rsidR="00BD00B6">
        <w:rPr>
          <w:rStyle w:val="FootnoteReference"/>
        </w:rPr>
        <w:footnoteReference w:id="20"/>
      </w:r>
      <w:r w:rsidR="00AD7BB6">
        <w:t xml:space="preserve"> they are presented as effeminate which while </w:t>
      </w:r>
      <w:r w:rsidR="00583496">
        <w:t xml:space="preserve">admittedly </w:t>
      </w:r>
      <w:r w:rsidR="00AD7BB6">
        <w:t xml:space="preserve">does not prove they are castrated does show they were at least following the same gender performance of the </w:t>
      </w:r>
      <w:r w:rsidR="00AD7BB6">
        <w:rPr>
          <w:i/>
        </w:rPr>
        <w:t>galli</w:t>
      </w:r>
      <w:r w:rsidR="00AD7BB6">
        <w:t xml:space="preserve">, which was similarly disapproved of. </w:t>
      </w:r>
      <w:r w:rsidR="00321634">
        <w:t xml:space="preserve">Even </w:t>
      </w:r>
      <w:proofErr w:type="spellStart"/>
      <w:r w:rsidR="00321634">
        <w:t>Alver</w:t>
      </w:r>
      <w:proofErr w:type="spellEnd"/>
      <w:r w:rsidR="00321634">
        <w:t xml:space="preserve"> who strongly argues that as full Roman citizens the </w:t>
      </w:r>
      <w:r w:rsidR="00321634" w:rsidRPr="009D5886">
        <w:rPr>
          <w:i/>
        </w:rPr>
        <w:t>archigallus</w:t>
      </w:r>
      <w:r w:rsidR="00321634">
        <w:rPr>
          <w:i/>
        </w:rPr>
        <w:t xml:space="preserve"> </w:t>
      </w:r>
      <w:r w:rsidR="00321634">
        <w:t>must have remained ungelded has to go back on their argument to acknowledge that this is not a strong statement as it is assuming these laws were vigorously enforced all the time and were not intended to just be an expressive force</w:t>
      </w:r>
      <w:r w:rsidR="00321634">
        <w:rPr>
          <w:rStyle w:val="FootnoteReference"/>
        </w:rPr>
        <w:footnoteReference w:id="21"/>
      </w:r>
      <w:r w:rsidR="00321634">
        <w:t xml:space="preserve">.  </w:t>
      </w:r>
    </w:p>
    <w:p w:rsidR="0022344D" w:rsidRDefault="004A12DE">
      <w:r>
        <w:t>When it comes to the act of self-castration</w:t>
      </w:r>
      <w:r w:rsidR="00A25489">
        <w:t xml:space="preserve"> it is arguably agreeable why the Romans would find it brutal and uncomfortable to witness, the self-castration was</w:t>
      </w:r>
      <w:r w:rsidR="00572720">
        <w:t xml:space="preserve"> only</w:t>
      </w:r>
      <w:r w:rsidR="00A25489">
        <w:t xml:space="preserve"> the climax of the </w:t>
      </w:r>
      <w:r w:rsidR="00771F19">
        <w:t xml:space="preserve">events on the Day of Blood. They would work themselves </w:t>
      </w:r>
      <w:r w:rsidR="005F1C73">
        <w:t>up into a frenzy,</w:t>
      </w:r>
      <w:r w:rsidR="00771F19">
        <w:t xml:space="preserve"> flagellating themselves with whips that have knucklebones attached and cutting their arms and shoulders</w:t>
      </w:r>
      <w:r w:rsidR="00771F19">
        <w:rPr>
          <w:rStyle w:val="FootnoteReference"/>
        </w:rPr>
        <w:footnoteReference w:id="22"/>
      </w:r>
      <w:r w:rsidR="00771F19">
        <w:t>.</w:t>
      </w:r>
      <w:r w:rsidR="002F4AB3">
        <w:t xml:space="preserve"> </w:t>
      </w:r>
      <w:r w:rsidR="009E711D">
        <w:t>Then with broken glass</w:t>
      </w:r>
      <w:r w:rsidR="009E711D">
        <w:rPr>
          <w:rStyle w:val="FootnoteReference"/>
        </w:rPr>
        <w:footnoteReference w:id="23"/>
      </w:r>
      <w:r w:rsidR="001A4E5B">
        <w:t>,</w:t>
      </w:r>
      <w:r w:rsidR="009E711D">
        <w:t xml:space="preserve"> flint</w:t>
      </w:r>
      <w:r w:rsidR="009E711D">
        <w:rPr>
          <w:rStyle w:val="FootnoteReference"/>
        </w:rPr>
        <w:footnoteReference w:id="24"/>
      </w:r>
      <w:r w:rsidR="00771F19">
        <w:t xml:space="preserve"> </w:t>
      </w:r>
      <w:r w:rsidR="001A4E5B">
        <w:t xml:space="preserve">or </w:t>
      </w:r>
      <w:r w:rsidR="009E711D">
        <w:t xml:space="preserve">according to some a </w:t>
      </w:r>
      <w:r w:rsidR="009E711D" w:rsidRPr="009E711D">
        <w:t>sickle or sharpened stone</w:t>
      </w:r>
      <w:r w:rsidR="009E711D">
        <w:rPr>
          <w:rStyle w:val="FootnoteReference"/>
        </w:rPr>
        <w:footnoteReference w:id="25"/>
      </w:r>
      <w:r w:rsidR="00492240">
        <w:t xml:space="preserve"> the </w:t>
      </w:r>
      <w:r w:rsidR="00F065ED" w:rsidRPr="00F065ED">
        <w:t>initiates</w:t>
      </w:r>
      <w:r w:rsidR="00F065ED">
        <w:t xml:space="preserve"> would castrate themselves, however while most agree with </w:t>
      </w:r>
      <w:proofErr w:type="spellStart"/>
      <w:r w:rsidR="00F065ED">
        <w:t>Turcan</w:t>
      </w:r>
      <w:proofErr w:type="spellEnd"/>
      <w:r w:rsidR="00F065ED">
        <w:t xml:space="preserve"> that it was only the testicles that were severed</w:t>
      </w:r>
      <w:r w:rsidR="00F065ED">
        <w:rPr>
          <w:rStyle w:val="FootnoteReference"/>
        </w:rPr>
        <w:footnoteReference w:id="26"/>
      </w:r>
      <w:r w:rsidR="00F065ED">
        <w:t xml:space="preserve"> Beard considers that it was in fact a full castration including the penis</w:t>
      </w:r>
      <w:r w:rsidR="00F065ED">
        <w:rPr>
          <w:rStyle w:val="FootnoteReference"/>
        </w:rPr>
        <w:footnoteReference w:id="27"/>
      </w:r>
      <w:r w:rsidR="009F032C">
        <w:t xml:space="preserve">. </w:t>
      </w:r>
    </w:p>
    <w:p w:rsidR="00EB0862" w:rsidRDefault="00EB0476">
      <w:r>
        <w:t>This brings up several contradictions to Roman ideology. For one, there was the notion that those who held religious office</w:t>
      </w:r>
      <w:r w:rsidR="009D6A0C">
        <w:t xml:space="preserve"> should have</w:t>
      </w:r>
      <w:r>
        <w:t xml:space="preserve"> bodily ‘wholeness’</w:t>
      </w:r>
      <w:r>
        <w:rPr>
          <w:rStyle w:val="FootnoteReference"/>
        </w:rPr>
        <w:footnoteReference w:id="28"/>
      </w:r>
      <w:r w:rsidR="009D6A0C">
        <w:t xml:space="preserve"> that these priests would not have and for another</w:t>
      </w:r>
      <w:r w:rsidR="00DB1CB9">
        <w:t>,</w:t>
      </w:r>
      <w:r w:rsidR="009D6A0C">
        <w:t xml:space="preserve"> castration had a sense of scandal around it so much so that even Emperor </w:t>
      </w:r>
      <w:r w:rsidR="009D6A0C" w:rsidRPr="009D6A0C">
        <w:t>Elagabal</w:t>
      </w:r>
      <w:r w:rsidR="00DB1CB9">
        <w:t>u</w:t>
      </w:r>
      <w:r w:rsidR="009D6A0C" w:rsidRPr="009D6A0C">
        <w:t>s</w:t>
      </w:r>
      <w:r w:rsidR="009D6A0C">
        <w:t>’ alleged symbolic castration of tying his genitals caused him to be disgraced</w:t>
      </w:r>
      <w:r w:rsidR="009D6A0C">
        <w:rPr>
          <w:rStyle w:val="FootnoteReference"/>
        </w:rPr>
        <w:footnoteReference w:id="29"/>
      </w:r>
      <w:r w:rsidR="00AE10A8">
        <w:t xml:space="preserve">. </w:t>
      </w:r>
      <w:r w:rsidR="002733A6">
        <w:t>Also b</w:t>
      </w:r>
      <w:r w:rsidR="00AE10A8">
        <w:t xml:space="preserve">y being castrated </w:t>
      </w:r>
      <w:r w:rsidR="00AE10A8">
        <w:rPr>
          <w:i/>
        </w:rPr>
        <w:t xml:space="preserve">galli </w:t>
      </w:r>
      <w:r w:rsidR="00AE10A8">
        <w:t>were considered effeminate something Christians such as A</w:t>
      </w:r>
      <w:r w:rsidR="00AE10A8" w:rsidRPr="00AE10A8">
        <w:t>ugustine of Hippo</w:t>
      </w:r>
      <w:r w:rsidR="00AE10A8">
        <w:t xml:space="preserve"> describes as a </w:t>
      </w:r>
      <w:r w:rsidR="00AE10A8">
        <w:lastRenderedPageBreak/>
        <w:t>violation and against nature</w:t>
      </w:r>
      <w:r w:rsidR="00AE10A8">
        <w:rPr>
          <w:rStyle w:val="FootnoteReference"/>
        </w:rPr>
        <w:footnoteReference w:id="30"/>
      </w:r>
      <w:r w:rsidR="00AE10A8">
        <w:t xml:space="preserve">  and even Catullus shows confusion and distaste for the </w:t>
      </w:r>
      <w:r w:rsidR="00AE10A8">
        <w:rPr>
          <w:i/>
        </w:rPr>
        <w:t>galli</w:t>
      </w:r>
      <w:r w:rsidR="00AE10A8">
        <w:t xml:space="preserve"> practise</w:t>
      </w:r>
      <w:r w:rsidR="00AE10A8">
        <w:rPr>
          <w:rStyle w:val="FootnoteReference"/>
        </w:rPr>
        <w:footnoteReference w:id="31"/>
      </w:r>
      <w:r w:rsidR="00AE10A8">
        <w:t xml:space="preserve"> writing about a </w:t>
      </w:r>
      <w:r w:rsidR="00AE10A8">
        <w:rPr>
          <w:i/>
        </w:rPr>
        <w:t xml:space="preserve">galli </w:t>
      </w:r>
      <w:r w:rsidR="008438D3">
        <w:t xml:space="preserve">being </w:t>
      </w:r>
      <w:r w:rsidR="000E22CD">
        <w:t>appalled, now out of their frenzy,</w:t>
      </w:r>
      <w:r w:rsidR="008438D3">
        <w:t xml:space="preserve"> by their actions</w:t>
      </w:r>
      <w:r w:rsidR="008438D3">
        <w:rPr>
          <w:rStyle w:val="FootnoteReference"/>
        </w:rPr>
        <w:footnoteReference w:id="32"/>
      </w:r>
      <w:r w:rsidR="008438D3">
        <w:t>.</w:t>
      </w:r>
      <w:r w:rsidR="0022344D">
        <w:t xml:space="preserve"> Roman </w:t>
      </w:r>
      <w:r w:rsidR="002733A6">
        <w:t xml:space="preserve">Christians </w:t>
      </w:r>
      <w:r w:rsidR="0022344D">
        <w:t xml:space="preserve">distanced their acts of martyrdom from this practise, by arguing that martyrdom, while also acts of self-sacrifice often in a bloody way, was manly and the </w:t>
      </w:r>
      <w:r w:rsidR="0022344D">
        <w:rPr>
          <w:i/>
        </w:rPr>
        <w:t>galli</w:t>
      </w:r>
      <w:r w:rsidR="0022344D">
        <w:t xml:space="preserve"> self-castration was </w:t>
      </w:r>
      <w:r w:rsidR="002733A6">
        <w:t xml:space="preserve">an </w:t>
      </w:r>
      <w:r w:rsidR="0022344D">
        <w:t>unmanly sacrifice</w:t>
      </w:r>
      <w:r w:rsidR="002733A6">
        <w:rPr>
          <w:rStyle w:val="FootnoteReference"/>
        </w:rPr>
        <w:footnoteReference w:id="33"/>
      </w:r>
      <w:r w:rsidR="00544DCA">
        <w:t xml:space="preserve">. Another way in which Christians could be compared to the </w:t>
      </w:r>
      <w:r w:rsidR="00544DCA">
        <w:rPr>
          <w:i/>
        </w:rPr>
        <w:t>galli</w:t>
      </w:r>
      <w:r w:rsidR="00544DCA">
        <w:t xml:space="preserve"> is with their monks who were considered spiritual eunuchs, however once again the Christians masculinise their practises while further effeminising the </w:t>
      </w:r>
      <w:r w:rsidR="00544DCA">
        <w:rPr>
          <w:i/>
        </w:rPr>
        <w:t>galli</w:t>
      </w:r>
      <w:r w:rsidR="00544DCA">
        <w:t>. Cassin, a Christian monk, writes that he is manlier</w:t>
      </w:r>
      <w:r w:rsidR="00941CC0">
        <w:t xml:space="preserve"> than the </w:t>
      </w:r>
      <w:r w:rsidR="00941CC0">
        <w:rPr>
          <w:i/>
        </w:rPr>
        <w:t>galli</w:t>
      </w:r>
      <w:r w:rsidR="00544DCA">
        <w:t xml:space="preserve"> by continuously struggling against his sexual desires and therefore Christianity is seen to be more favourable to the hyper-masculine Romans as the </w:t>
      </w:r>
      <w:r w:rsidR="00544DCA" w:rsidRPr="00544DCA">
        <w:t>celibacy</w:t>
      </w:r>
      <w:r w:rsidR="00544DCA">
        <w:t xml:space="preserve"> is argued to enhance masculinity</w:t>
      </w:r>
      <w:r w:rsidR="00544DCA">
        <w:rPr>
          <w:rStyle w:val="FootnoteReference"/>
        </w:rPr>
        <w:footnoteReference w:id="34"/>
      </w:r>
      <w:r w:rsidR="00544DCA">
        <w:t>.</w:t>
      </w:r>
    </w:p>
    <w:p w:rsidR="006A6C8E" w:rsidRDefault="0070452E">
      <w:r>
        <w:t xml:space="preserve">Not that the </w:t>
      </w:r>
      <w:r>
        <w:rPr>
          <w:i/>
        </w:rPr>
        <w:t>galli</w:t>
      </w:r>
      <w:r>
        <w:t xml:space="preserve"> needed the Christians to effeminise</w:t>
      </w:r>
      <w:r w:rsidR="009F7CEF">
        <w:t xml:space="preserve"> them, the way they present</w:t>
      </w:r>
      <w:r>
        <w:t xml:space="preserve"> themselves already did that. </w:t>
      </w:r>
      <w:r w:rsidR="00A12A19">
        <w:t xml:space="preserve">The </w:t>
      </w:r>
      <w:r w:rsidR="00A12A19">
        <w:rPr>
          <w:i/>
        </w:rPr>
        <w:t xml:space="preserve">galli </w:t>
      </w:r>
      <w:r w:rsidR="00A12A19">
        <w:t>seemingly renounces their masculine identity; assuming female clothing</w:t>
      </w:r>
      <w:r w:rsidR="006B5456">
        <w:t xml:space="preserve"> in bright colours</w:t>
      </w:r>
      <w:r w:rsidR="00A12A19">
        <w:t>, growing their hair long, wearing a veil and jewellery</w:t>
      </w:r>
      <w:r w:rsidR="00A12A19">
        <w:rPr>
          <w:rStyle w:val="FootnoteReference"/>
        </w:rPr>
        <w:footnoteReference w:id="35"/>
      </w:r>
      <w:r w:rsidR="00A12A19">
        <w:t xml:space="preserve"> and putting on </w:t>
      </w:r>
      <w:r w:rsidR="006B5456">
        <w:t>makeup</w:t>
      </w:r>
      <w:r w:rsidR="00A12A19">
        <w:rPr>
          <w:rStyle w:val="FootnoteReference"/>
        </w:rPr>
        <w:footnoteReference w:id="36"/>
      </w:r>
      <w:r w:rsidR="00A12A19">
        <w:t>.</w:t>
      </w:r>
      <w:r w:rsidR="0002666A">
        <w:t xml:space="preserve"> Roman male fashion was rigorously controlled to be masculine, even the slightest detail could put </w:t>
      </w:r>
      <w:r w:rsidR="00DB1CB9">
        <w:t>one</w:t>
      </w:r>
      <w:r w:rsidR="0002666A">
        <w:t>self up for accusations of effeminacy. Clothing was simple and short-sleeved, only sober colours were considered to be masculine</w:t>
      </w:r>
      <w:r w:rsidR="0002666A">
        <w:rPr>
          <w:rStyle w:val="FootnoteReference"/>
        </w:rPr>
        <w:footnoteReference w:id="37"/>
      </w:r>
      <w:r w:rsidR="0002666A">
        <w:t xml:space="preserve"> and anything brightly coloured or long sleeved</w:t>
      </w:r>
      <w:r w:rsidR="007A4FB1">
        <w:t xml:space="preserve"> was</w:t>
      </w:r>
      <w:r w:rsidR="0002666A">
        <w:t xml:space="preserve"> considered too feminine</w:t>
      </w:r>
      <w:r w:rsidR="0002666A">
        <w:rPr>
          <w:rStyle w:val="FootnoteReference"/>
        </w:rPr>
        <w:footnoteReference w:id="38"/>
      </w:r>
      <w:r w:rsidR="0002666A">
        <w:t>, if your tunic was too short, worn loose or with no belt then you would also be accused of being effeminate</w:t>
      </w:r>
      <w:r w:rsidR="0002666A">
        <w:rPr>
          <w:rStyle w:val="FootnoteReference"/>
        </w:rPr>
        <w:footnoteReference w:id="39"/>
      </w:r>
      <w:r w:rsidR="0002666A">
        <w:t>. There was a real fear of giving away signs of softness (</w:t>
      </w:r>
      <w:r w:rsidR="0002666A" w:rsidRPr="0002666A">
        <w:rPr>
          <w:i/>
        </w:rPr>
        <w:t>mollitia</w:t>
      </w:r>
      <w:r w:rsidR="0002666A">
        <w:t xml:space="preserve">) </w:t>
      </w:r>
      <w:r w:rsidR="00916731">
        <w:t>that even the amount of jewellery a man wore was limited only to one ring, Olson quips that even what shoes you chose to wear could betray your masculinity</w:t>
      </w:r>
      <w:r w:rsidR="00916731">
        <w:rPr>
          <w:rStyle w:val="FootnoteReference"/>
        </w:rPr>
        <w:footnoteReference w:id="40"/>
      </w:r>
      <w:r w:rsidR="006A6C8E">
        <w:t xml:space="preserve">. So for the </w:t>
      </w:r>
      <w:r w:rsidR="006A6C8E">
        <w:rPr>
          <w:i/>
        </w:rPr>
        <w:t>galli</w:t>
      </w:r>
      <w:r w:rsidR="006A6C8E">
        <w:t xml:space="preserve"> to so openly go against the social expectations of dress it is expected for the average Roman citizen to be shocked even appalled, the confusion that we saw Catullus express can understandably be considered the normal reaction of society. </w:t>
      </w:r>
    </w:p>
    <w:p w:rsidR="006A6C8E" w:rsidRPr="00115850" w:rsidRDefault="006A6C8E">
      <w:r>
        <w:t xml:space="preserve">As there are apparently no surviving texts from the </w:t>
      </w:r>
      <w:r>
        <w:rPr>
          <w:i/>
        </w:rPr>
        <w:t>galli</w:t>
      </w:r>
      <w:r>
        <w:t xml:space="preserve"> themselves we cannot know how they personally identified their own gender. </w:t>
      </w:r>
      <w:r w:rsidR="00115850">
        <w:t xml:space="preserve">In Firmicus </w:t>
      </w:r>
      <w:proofErr w:type="spellStart"/>
      <w:r w:rsidR="00115850">
        <w:t>Maternus</w:t>
      </w:r>
      <w:proofErr w:type="spellEnd"/>
      <w:r w:rsidR="00115850">
        <w:t>’</w:t>
      </w:r>
      <w:r w:rsidR="00115850" w:rsidRPr="00115850">
        <w:t xml:space="preserve"> </w:t>
      </w:r>
      <w:r w:rsidR="00115850" w:rsidRPr="00115850">
        <w:rPr>
          <w:i/>
        </w:rPr>
        <w:t xml:space="preserve">De </w:t>
      </w:r>
      <w:proofErr w:type="spellStart"/>
      <w:r w:rsidR="00115850" w:rsidRPr="00115850">
        <w:rPr>
          <w:i/>
        </w:rPr>
        <w:t>Errore</w:t>
      </w:r>
      <w:proofErr w:type="spellEnd"/>
      <w:r w:rsidR="00115850" w:rsidRPr="00115850">
        <w:rPr>
          <w:i/>
        </w:rPr>
        <w:t xml:space="preserve"> </w:t>
      </w:r>
      <w:proofErr w:type="spellStart"/>
      <w:r w:rsidR="00115850" w:rsidRPr="00115850">
        <w:rPr>
          <w:i/>
        </w:rPr>
        <w:t>Profanarum</w:t>
      </w:r>
      <w:proofErr w:type="spellEnd"/>
      <w:r w:rsidR="00115850" w:rsidRPr="00115850">
        <w:rPr>
          <w:i/>
        </w:rPr>
        <w:t xml:space="preserve"> </w:t>
      </w:r>
      <w:proofErr w:type="spellStart"/>
      <w:r w:rsidR="00115850" w:rsidRPr="00115850">
        <w:rPr>
          <w:i/>
        </w:rPr>
        <w:t>Religionum</w:t>
      </w:r>
      <w:proofErr w:type="spellEnd"/>
      <w:r w:rsidR="00115850">
        <w:rPr>
          <w:i/>
        </w:rPr>
        <w:t xml:space="preserve"> </w:t>
      </w:r>
      <w:r w:rsidR="00115850">
        <w:t>he says they have ‘disgraced their manly sex…they say they are not men, and indeed they are not’</w:t>
      </w:r>
      <w:r w:rsidR="00115850">
        <w:rPr>
          <w:rStyle w:val="FootnoteReference"/>
        </w:rPr>
        <w:footnoteReference w:id="41"/>
      </w:r>
      <w:r w:rsidR="00115850">
        <w:t xml:space="preserve">, </w:t>
      </w:r>
      <w:r w:rsidR="00115850" w:rsidRPr="00115850">
        <w:t>Augustine of Hippo</w:t>
      </w:r>
      <w:r w:rsidR="00115850">
        <w:t xml:space="preserve"> writes that they speak in womanish tongue and call each other ‘</w:t>
      </w:r>
      <w:r w:rsidR="00115850" w:rsidRPr="00115850">
        <w:rPr>
          <w:i/>
        </w:rPr>
        <w:t>puellae</w:t>
      </w:r>
      <w:r w:rsidR="00115850">
        <w:rPr>
          <w:i/>
        </w:rPr>
        <w:t xml:space="preserve">’ </w:t>
      </w:r>
      <w:r w:rsidR="00115850">
        <w:t>(girls)</w:t>
      </w:r>
      <w:r w:rsidR="00115850">
        <w:rPr>
          <w:rStyle w:val="FootnoteReference"/>
        </w:rPr>
        <w:footnoteReference w:id="42"/>
      </w:r>
      <w:r w:rsidR="00115850">
        <w:t>. Yet they are st</w:t>
      </w:r>
      <w:r w:rsidR="00385D7C">
        <w:t>ill viewed as some kind of man to society, an</w:t>
      </w:r>
      <w:r w:rsidR="00115850">
        <w:t xml:space="preserve"> </w:t>
      </w:r>
      <w:r w:rsidR="00835183">
        <w:t>‘unmanned’ man</w:t>
      </w:r>
      <w:r w:rsidR="00835183">
        <w:rPr>
          <w:rStyle w:val="FootnoteReference"/>
        </w:rPr>
        <w:footnoteReference w:id="43"/>
      </w:r>
      <w:r w:rsidR="00385D7C">
        <w:t xml:space="preserve">, but whether people joined the </w:t>
      </w:r>
      <w:r w:rsidR="00385D7C">
        <w:rPr>
          <w:i/>
        </w:rPr>
        <w:t>galli</w:t>
      </w:r>
      <w:r w:rsidR="00115850">
        <w:t xml:space="preserve"> </w:t>
      </w:r>
      <w:r w:rsidR="00385D7C">
        <w:t xml:space="preserve">because they identified as and wanted to express themselves as females or if they saw themselves still as male or something neither one or the other there is no way of knowing.  </w:t>
      </w:r>
    </w:p>
    <w:p w:rsidR="002D2B14" w:rsidRDefault="004E5FC4">
      <w:r>
        <w:t xml:space="preserve">The way the Roman Empire identifies gender makes this complicated as well, they categorised </w:t>
      </w:r>
      <w:r w:rsidR="00A05F27">
        <w:t xml:space="preserve">your gender based on whether you took the active or passive role in sex, women were passive and men were active so it did not matter who they were having sex with as long as they were the active party </w:t>
      </w:r>
      <w:r w:rsidR="00A05F27">
        <w:lastRenderedPageBreak/>
        <w:t>they were masculine</w:t>
      </w:r>
      <w:r w:rsidR="00A05F27">
        <w:rPr>
          <w:rStyle w:val="FootnoteReference"/>
        </w:rPr>
        <w:footnoteReference w:id="44"/>
      </w:r>
      <w:r w:rsidR="00A05F27">
        <w:t>.</w:t>
      </w:r>
      <w:r>
        <w:t xml:space="preserve"> </w:t>
      </w:r>
      <w:r w:rsidR="00B909E1">
        <w:t xml:space="preserve">Some sources maintain that the </w:t>
      </w:r>
      <w:r w:rsidR="00B909E1">
        <w:rPr>
          <w:i/>
        </w:rPr>
        <w:t>galli</w:t>
      </w:r>
      <w:r w:rsidR="00B909E1">
        <w:t xml:space="preserve"> were sacred prostitutes, </w:t>
      </w:r>
      <w:r w:rsidR="00B909E1" w:rsidRPr="00B909E1">
        <w:t>Apuleius</w:t>
      </w:r>
      <w:r w:rsidR="00B909E1">
        <w:t xml:space="preserve"> in his </w:t>
      </w:r>
      <w:r w:rsidR="00B909E1">
        <w:rPr>
          <w:i/>
        </w:rPr>
        <w:t xml:space="preserve">Metamorphoses </w:t>
      </w:r>
      <w:r w:rsidR="00B909E1">
        <w:t xml:space="preserve">and </w:t>
      </w:r>
      <w:proofErr w:type="spellStart"/>
      <w:r w:rsidR="00B909E1" w:rsidRPr="00B909E1">
        <w:t>Paulinus</w:t>
      </w:r>
      <w:proofErr w:type="spellEnd"/>
      <w:r w:rsidR="00B909E1" w:rsidRPr="00B909E1">
        <w:t xml:space="preserve"> of Nola</w:t>
      </w:r>
      <w:r w:rsidR="00B909E1">
        <w:t xml:space="preserve"> is adamant too of their prostitution</w:t>
      </w:r>
      <w:r w:rsidR="00B909E1">
        <w:rPr>
          <w:rStyle w:val="FootnoteReference"/>
        </w:rPr>
        <w:footnoteReference w:id="45"/>
      </w:r>
      <w:r w:rsidR="00B909E1">
        <w:t xml:space="preserve">. As the </w:t>
      </w:r>
      <w:r w:rsidR="00B909E1">
        <w:rPr>
          <w:i/>
        </w:rPr>
        <w:t>galli</w:t>
      </w:r>
      <w:r w:rsidR="00B909E1">
        <w:t xml:space="preserve"> were castrated if they were sacred prostitutes then </w:t>
      </w:r>
      <w:r w:rsidR="00D21F68">
        <w:t>it is assumed they would be passive or as the Romans would call them, and do in satire</w:t>
      </w:r>
      <w:r w:rsidR="00D21F68">
        <w:rPr>
          <w:rStyle w:val="FootnoteReference"/>
        </w:rPr>
        <w:footnoteReference w:id="46"/>
      </w:r>
      <w:r w:rsidR="00D21F68">
        <w:t xml:space="preserve">, </w:t>
      </w:r>
      <w:r w:rsidR="00D21F68">
        <w:rPr>
          <w:i/>
        </w:rPr>
        <w:t>cinaedi.</w:t>
      </w:r>
      <w:r w:rsidR="00D21F68">
        <w:t xml:space="preserve"> </w:t>
      </w:r>
      <w:r w:rsidR="00D21F68">
        <w:rPr>
          <w:i/>
        </w:rPr>
        <w:t>Cinaedi</w:t>
      </w:r>
      <w:r w:rsidR="00D21F68">
        <w:t xml:space="preserve"> was denounced in Roman society to the point some argue, like </w:t>
      </w:r>
      <w:r w:rsidR="00D21F68" w:rsidRPr="00D21F68">
        <w:t>Kuefler</w:t>
      </w:r>
      <w:r w:rsidR="00DB1CB9">
        <w:t xml:space="preserve"> </w:t>
      </w:r>
      <w:r w:rsidR="00D21F68">
        <w:t>for example, it was more or less prohibited and considered unmanly</w:t>
      </w:r>
      <w:r w:rsidR="00D21F68">
        <w:rPr>
          <w:rStyle w:val="FootnoteReference"/>
        </w:rPr>
        <w:footnoteReference w:id="47"/>
      </w:r>
      <w:r w:rsidR="00D21F68">
        <w:t>.</w:t>
      </w:r>
      <w:r w:rsidR="00B909E1">
        <w:rPr>
          <w:i/>
        </w:rPr>
        <w:t xml:space="preserve"> </w:t>
      </w:r>
      <w:r w:rsidR="006C5D85">
        <w:t>Even if the eunuch priests were not sacred prostitutes the Roman populace could make the assumption they were sexually active based on them wearing makeup and growing their hair long. As well as being associated with women</w:t>
      </w:r>
      <w:r w:rsidR="009B524E">
        <w:t>,</w:t>
      </w:r>
      <w:r w:rsidR="006C5D85">
        <w:t xml:space="preserve"> m</w:t>
      </w:r>
      <w:r w:rsidR="006A6C8E">
        <w:t xml:space="preserve">akeup </w:t>
      </w:r>
      <w:r w:rsidR="0002666A">
        <w:t xml:space="preserve">was considered </w:t>
      </w:r>
      <w:r w:rsidR="006C5D85">
        <w:t xml:space="preserve">for </w:t>
      </w:r>
      <w:r w:rsidR="0002666A">
        <w:t>male sex slaves</w:t>
      </w:r>
      <w:r w:rsidR="009B524E">
        <w:t xml:space="preserve"> and</w:t>
      </w:r>
      <w:r w:rsidR="0002666A">
        <w:t xml:space="preserve"> long hair too was associated </w:t>
      </w:r>
      <w:r w:rsidR="006A6C8E">
        <w:t>with sexual availability</w:t>
      </w:r>
      <w:r w:rsidR="006C5D85">
        <w:rPr>
          <w:rStyle w:val="FootnoteReference"/>
        </w:rPr>
        <w:footnoteReference w:id="48"/>
      </w:r>
      <w:r w:rsidR="006C5D85">
        <w:t>.</w:t>
      </w:r>
      <w:r w:rsidR="0002666A">
        <w:t xml:space="preserve"> </w:t>
      </w:r>
    </w:p>
    <w:p w:rsidR="008E2000" w:rsidRPr="002D2B14" w:rsidRDefault="00794C03">
      <w:r>
        <w:t xml:space="preserve">Taylor argues that Roman men </w:t>
      </w:r>
      <w:r w:rsidR="002D2B14">
        <w:t>who</w:t>
      </w:r>
      <w:r w:rsidR="00DB1CB9">
        <w:t>m</w:t>
      </w:r>
      <w:r w:rsidR="002D2B14">
        <w:t xml:space="preserve"> were </w:t>
      </w:r>
      <w:r w:rsidR="002D2B14" w:rsidRPr="002D2B14">
        <w:rPr>
          <w:i/>
        </w:rPr>
        <w:t>cinaedi</w:t>
      </w:r>
      <w:r w:rsidR="002D2B14">
        <w:rPr>
          <w:i/>
        </w:rPr>
        <w:t xml:space="preserve"> </w:t>
      </w:r>
      <w:r>
        <w:t xml:space="preserve">did disobey the law to become a part of the </w:t>
      </w:r>
      <w:r>
        <w:rPr>
          <w:i/>
        </w:rPr>
        <w:t>galli</w:t>
      </w:r>
      <w:r w:rsidR="002D2B14">
        <w:t xml:space="preserve"> in order to be in an environment they could practise their sexual orientation without judgment, however as Williams’ counter-argues </w:t>
      </w:r>
      <w:r w:rsidR="002D2B14" w:rsidRPr="002D2B14">
        <w:rPr>
          <w:i/>
        </w:rPr>
        <w:t>cinaedi</w:t>
      </w:r>
      <w:r w:rsidR="002D2B14">
        <w:rPr>
          <w:i/>
        </w:rPr>
        <w:t xml:space="preserve"> </w:t>
      </w:r>
      <w:r w:rsidR="002D2B14">
        <w:t xml:space="preserve">were subject to ridicule in satire but they were not treated with the same fear or distaste as the </w:t>
      </w:r>
      <w:r w:rsidR="002D2B14">
        <w:rPr>
          <w:i/>
        </w:rPr>
        <w:t>galli</w:t>
      </w:r>
      <w:r w:rsidR="002D2B14">
        <w:t xml:space="preserve"> were</w:t>
      </w:r>
      <w:r w:rsidR="002D2B14">
        <w:rPr>
          <w:rStyle w:val="FootnoteReference"/>
        </w:rPr>
        <w:footnoteReference w:id="49"/>
      </w:r>
      <w:r w:rsidR="002D2B14">
        <w:t xml:space="preserve">. Therefore while if the </w:t>
      </w:r>
      <w:r w:rsidR="002D2B14">
        <w:rPr>
          <w:i/>
        </w:rPr>
        <w:t>galli</w:t>
      </w:r>
      <w:r w:rsidR="002D2B14">
        <w:t xml:space="preserve"> did engage in passive sexual acts it would </w:t>
      </w:r>
      <w:r w:rsidR="00DB1CB9">
        <w:t xml:space="preserve">lead to </w:t>
      </w:r>
      <w:r w:rsidR="002D2B14">
        <w:t>them be</w:t>
      </w:r>
      <w:r w:rsidR="00DB1CB9">
        <w:t>ing</w:t>
      </w:r>
      <w:r w:rsidR="002D2B14">
        <w:t xml:space="preserve"> accused of not being masculine, it is only with the rest of their behaviour and actions that </w:t>
      </w:r>
      <w:r w:rsidR="008D63A7">
        <w:t>they become what Williams calls the “</w:t>
      </w:r>
      <w:r w:rsidR="008D63A7" w:rsidRPr="008D63A7">
        <w:t>ultimate scare-figure of Roman masculinity</w:t>
      </w:r>
      <w:r w:rsidR="008D63A7">
        <w:t>”</w:t>
      </w:r>
      <w:r w:rsidR="008D63A7">
        <w:rPr>
          <w:rStyle w:val="FootnoteReference"/>
        </w:rPr>
        <w:footnoteReference w:id="50"/>
      </w:r>
      <w:r w:rsidR="008D63A7">
        <w:t>.</w:t>
      </w:r>
    </w:p>
    <w:p w:rsidR="007B3223" w:rsidRDefault="00A35E08">
      <w:r>
        <w:t xml:space="preserve">The gender performance of the </w:t>
      </w:r>
      <w:r>
        <w:rPr>
          <w:i/>
        </w:rPr>
        <w:t>galli</w:t>
      </w:r>
      <w:r>
        <w:t xml:space="preserve"> is further complicated when we look at </w:t>
      </w:r>
      <w:r w:rsidRPr="00A35E08">
        <w:t>Martial</w:t>
      </w:r>
      <w:r>
        <w:t xml:space="preserve">. </w:t>
      </w:r>
      <w:r w:rsidR="00D32B46">
        <w:t>M</w:t>
      </w:r>
      <w:r w:rsidR="00716A4A">
        <w:t>artial writes that will they would be</w:t>
      </w:r>
      <w:r w:rsidR="00D32B46">
        <w:t xml:space="preserve"> the perfect lover for a man, </w:t>
      </w:r>
      <w:r w:rsidR="00716A4A">
        <w:t xml:space="preserve">however </w:t>
      </w:r>
      <w:r w:rsidR="00D32B46">
        <w:t>they in fact are the lovers of women</w:t>
      </w:r>
      <w:r w:rsidR="00D32B46">
        <w:rPr>
          <w:rStyle w:val="FootnoteReference"/>
        </w:rPr>
        <w:footnoteReference w:id="51"/>
      </w:r>
      <w:r w:rsidR="00716A4A">
        <w:t>. T</w:t>
      </w:r>
      <w:r w:rsidR="00D32B46">
        <w:t>herefore are both in keeping with the male norms of being the active participa</w:t>
      </w:r>
      <w:r w:rsidR="00DB1CB9">
        <w:t>nt</w:t>
      </w:r>
      <w:r w:rsidR="00D32B46">
        <w:t xml:space="preserve"> but also breaking because they are not doing what is the only acceptable form of heterosexual penetration, to the Romans, which is phallic</w:t>
      </w:r>
      <w:r w:rsidR="00D32B46">
        <w:rPr>
          <w:rStyle w:val="FootnoteReference"/>
        </w:rPr>
        <w:footnoteReference w:id="52"/>
      </w:r>
      <w:r w:rsidR="00D32B46">
        <w:t>.</w:t>
      </w:r>
      <w:r w:rsidR="00156AAB">
        <w:t xml:space="preserve"> Beard explains that according to Martial the </w:t>
      </w:r>
      <w:r w:rsidR="00156AAB">
        <w:rPr>
          <w:i/>
        </w:rPr>
        <w:t>galli</w:t>
      </w:r>
      <w:r w:rsidR="00156AAB">
        <w:t xml:space="preserve"> are not abiding by the rules set out for either male or female expectations in Rome</w:t>
      </w:r>
      <w:r w:rsidR="00EB7A09">
        <w:t>, they are both not-male and yet also male breaking the rules of appropriate Roman male behaviour</w:t>
      </w:r>
      <w:r w:rsidR="00EB7A09">
        <w:rPr>
          <w:rStyle w:val="FootnoteReference"/>
        </w:rPr>
        <w:footnoteReference w:id="53"/>
      </w:r>
      <w:r w:rsidR="00EB7A09">
        <w:t>.</w:t>
      </w:r>
      <w:r w:rsidR="007B3223">
        <w:t xml:space="preserve"> Perhaps this is why the Romans, as William</w:t>
      </w:r>
      <w:r w:rsidR="00DB1CB9">
        <w:t>s</w:t>
      </w:r>
      <w:r w:rsidR="007B3223">
        <w:t xml:space="preserve"> puts forward, fear the </w:t>
      </w:r>
      <w:r w:rsidR="007B3223">
        <w:rPr>
          <w:i/>
        </w:rPr>
        <w:t>galli</w:t>
      </w:r>
      <w:r w:rsidR="007B3223">
        <w:t xml:space="preserve"> because every part of their identity imagined or factual contradicts their ideology when it comes to gender especially masculinity.</w:t>
      </w:r>
    </w:p>
    <w:p w:rsidR="00385043" w:rsidRDefault="00B059EC">
      <w:r>
        <w:t xml:space="preserve">Sawyer claims that the </w:t>
      </w:r>
      <w:r>
        <w:rPr>
          <w:i/>
        </w:rPr>
        <w:t>galli</w:t>
      </w:r>
      <w:r>
        <w:t xml:space="preserve"> never saw themselves as anything but men and did not desire to become women nor did they castrate themselves because they are transsexuals, instead they actively wanted to challenge the hyper-masculine ideology</w:t>
      </w:r>
      <w:r>
        <w:rPr>
          <w:rStyle w:val="FootnoteReference"/>
        </w:rPr>
        <w:footnoteReference w:id="54"/>
      </w:r>
      <w:r>
        <w:t xml:space="preserve">. </w:t>
      </w:r>
      <w:r w:rsidR="009C0E4E">
        <w:t>Gordon and Sawyer both share the opinion</w:t>
      </w:r>
      <w:r w:rsidR="005D7FB0">
        <w:rPr>
          <w:rStyle w:val="FootnoteReference"/>
        </w:rPr>
        <w:footnoteReference w:id="55"/>
      </w:r>
      <w:r w:rsidR="009C0E4E">
        <w:t xml:space="preserve"> that </w:t>
      </w:r>
      <w:r w:rsidR="005D7FB0">
        <w:t xml:space="preserve">the </w:t>
      </w:r>
      <w:r w:rsidR="005D7FB0">
        <w:rPr>
          <w:i/>
        </w:rPr>
        <w:t>galli</w:t>
      </w:r>
      <w:r w:rsidR="005D7FB0">
        <w:t xml:space="preserve"> was popular amongst those who were not part of the elite, </w:t>
      </w:r>
      <w:r w:rsidR="00A8337C">
        <w:t xml:space="preserve">as it was the elite who rigorously upheld the gender norms and the </w:t>
      </w:r>
      <w:r w:rsidR="00A8337C">
        <w:rPr>
          <w:i/>
        </w:rPr>
        <w:t>galli</w:t>
      </w:r>
      <w:r w:rsidR="00A8337C">
        <w:t xml:space="preserve"> provided a way to defy the elite by publicly going against the Roman</w:t>
      </w:r>
      <w:r w:rsidR="00CF158E">
        <w:t>’s</w:t>
      </w:r>
      <w:r w:rsidR="00A8337C">
        <w:t xml:space="preserve"> social gender expectations</w:t>
      </w:r>
      <w:r w:rsidR="00A8337C">
        <w:rPr>
          <w:rStyle w:val="FootnoteReference"/>
        </w:rPr>
        <w:footnoteReference w:id="56"/>
      </w:r>
      <w:r w:rsidR="00A8337C">
        <w:t xml:space="preserve">. Further on Sawyer aligns with Beard agreeing with, what they say is a convincing argument, that by creating another option that is not binary to just male or female norms the </w:t>
      </w:r>
      <w:r w:rsidR="00A8337C">
        <w:rPr>
          <w:i/>
        </w:rPr>
        <w:t>galli</w:t>
      </w:r>
      <w:r w:rsidR="00A8337C">
        <w:t xml:space="preserve"> thus created a ‘necessary and vital measuring rod’ </w:t>
      </w:r>
      <w:r w:rsidR="00385043">
        <w:lastRenderedPageBreak/>
        <w:t>which the state could use to identify individuals’ gender identity</w:t>
      </w:r>
      <w:r w:rsidR="00385043">
        <w:rPr>
          <w:rStyle w:val="FootnoteReference"/>
        </w:rPr>
        <w:footnoteReference w:id="57"/>
      </w:r>
      <w:r w:rsidR="00385043">
        <w:t xml:space="preserve">. However this is simply not true, as argued throughout this paper there was a massive confusion as to what gender the </w:t>
      </w:r>
      <w:r w:rsidR="00385043">
        <w:rPr>
          <w:i/>
        </w:rPr>
        <w:t>galli</w:t>
      </w:r>
      <w:r w:rsidR="00385043">
        <w:t xml:space="preserve"> identified as both personally and what the populace should call their gender. While it is true that the </w:t>
      </w:r>
      <w:r w:rsidR="00385043">
        <w:rPr>
          <w:i/>
        </w:rPr>
        <w:t>galli</w:t>
      </w:r>
      <w:r w:rsidR="00385043">
        <w:t xml:space="preserve"> did have a lifestyle that showed there is more to gender expression than the rigid ideology set in place</w:t>
      </w:r>
      <w:r w:rsidR="00385043" w:rsidRPr="00385043">
        <w:t xml:space="preserve"> </w:t>
      </w:r>
      <w:r w:rsidR="00385043">
        <w:t xml:space="preserve">by the Roman elite, what Sawyer refers to as the </w:t>
      </w:r>
      <w:r w:rsidR="00385043">
        <w:rPr>
          <w:i/>
        </w:rPr>
        <w:t>galli</w:t>
      </w:r>
      <w:r w:rsidR="00385043">
        <w:t xml:space="preserve"> creating the ‘other’</w:t>
      </w:r>
      <w:r w:rsidR="00385043">
        <w:rPr>
          <w:rStyle w:val="FootnoteReference"/>
        </w:rPr>
        <w:footnoteReference w:id="58"/>
      </w:r>
      <w:r w:rsidR="00385043">
        <w:t xml:space="preserve">, there is no evidence that because of this there was now a more fluid opinion of gender or even the option for this ‘other’ to be widely understood, accepted and adopted into both Roman society and gender ideology. </w:t>
      </w:r>
    </w:p>
    <w:p w:rsidR="004746A0" w:rsidRDefault="00ED2DD8">
      <w:r>
        <w:t>However, Sawyer does create an interesting comparison</w:t>
      </w:r>
      <w:r w:rsidR="001E52B6">
        <w:t xml:space="preserve"> between the Vestal Virgins and the </w:t>
      </w:r>
      <w:r w:rsidR="001E52B6">
        <w:rPr>
          <w:i/>
        </w:rPr>
        <w:t>galli</w:t>
      </w:r>
      <w:r w:rsidR="001E52B6">
        <w:t>. The Vestal Virgins can be said to also be challenging the expected gender norms, the only major priesthood to be composed of females in Rome who held unique privileges such as the right to compose a will without a guardian and who</w:t>
      </w:r>
      <w:r w:rsidR="00922C8B">
        <w:t>, threated with the punishment of death,</w:t>
      </w:r>
      <w:r w:rsidR="001E52B6">
        <w:t xml:space="preserve"> remained chaste</w:t>
      </w:r>
      <w:r w:rsidR="001E52B6">
        <w:rPr>
          <w:rStyle w:val="FootnoteReference"/>
        </w:rPr>
        <w:footnoteReference w:id="59"/>
      </w:r>
      <w:r w:rsidR="00922C8B">
        <w:t xml:space="preserve">. </w:t>
      </w:r>
      <w:r w:rsidR="005C76EF">
        <w:t xml:space="preserve">By remaining chaste you could say they, like the Christian monks, were also spiritual eunuchs which creates another comparison to the </w:t>
      </w:r>
      <w:r w:rsidR="005C76EF">
        <w:rPr>
          <w:i/>
        </w:rPr>
        <w:t>galli</w:t>
      </w:r>
      <w:r w:rsidR="005C76EF">
        <w:t xml:space="preserve">. Yet Sawyer brings attention to the fact that Vestal Virgins actually reinforce the gender ideology whereas the </w:t>
      </w:r>
      <w:r w:rsidR="005C76EF">
        <w:rPr>
          <w:i/>
        </w:rPr>
        <w:t xml:space="preserve">galli </w:t>
      </w:r>
      <w:r w:rsidR="005C76EF">
        <w:t>only challenged it</w:t>
      </w:r>
      <w:r w:rsidR="005C76EF">
        <w:rPr>
          <w:rStyle w:val="FootnoteReference"/>
        </w:rPr>
        <w:footnoteReference w:id="60"/>
      </w:r>
      <w:r w:rsidR="005C76EF">
        <w:t>. This idea is reached by the fact that the Vestal Virgins demonstrate the idealised womanhood according to Roman male values, they are granted their privileges and e</w:t>
      </w:r>
      <w:r w:rsidR="00C547DC">
        <w:t>r</w:t>
      </w:r>
      <w:r w:rsidR="005C76EF">
        <w:t>go power because they have had their sexuality taken away</w:t>
      </w:r>
      <w:r w:rsidR="007445F0">
        <w:t>, by fear of death,</w:t>
      </w:r>
      <w:r w:rsidR="005C76EF">
        <w:t xml:space="preserve"> from them and are therefore Sawyer claims now regarded as ‘safe’ by the male Roman elite</w:t>
      </w:r>
      <w:r w:rsidR="005C76EF">
        <w:rPr>
          <w:rStyle w:val="FootnoteReference"/>
        </w:rPr>
        <w:footnoteReference w:id="61"/>
      </w:r>
      <w:r w:rsidR="005C76EF">
        <w:t>.</w:t>
      </w:r>
      <w:r w:rsidR="00653F11">
        <w:t xml:space="preserve"> </w:t>
      </w:r>
      <w:r w:rsidR="004746A0">
        <w:t>Sawyer also states that these women essentially become men, which is the more privileged out of the two</w:t>
      </w:r>
      <w:r w:rsidR="005C76EF">
        <w:t xml:space="preserve"> </w:t>
      </w:r>
      <w:r w:rsidR="004746A0">
        <w:t>Roman accepted genders</w:t>
      </w:r>
      <w:r w:rsidR="004746A0">
        <w:rPr>
          <w:rStyle w:val="FootnoteReference"/>
        </w:rPr>
        <w:footnoteReference w:id="62"/>
      </w:r>
      <w:r w:rsidR="004746A0">
        <w:t xml:space="preserve"> in this hyper-masculinised society, whereas the </w:t>
      </w:r>
      <w:r w:rsidR="004746A0">
        <w:rPr>
          <w:i/>
        </w:rPr>
        <w:t>galli</w:t>
      </w:r>
      <w:r w:rsidR="004746A0">
        <w:t xml:space="preserve"> are seen to be abandoning their masculinity therefore the Vestal Virgins do conform to Roman norms while the </w:t>
      </w:r>
      <w:r w:rsidR="004746A0">
        <w:rPr>
          <w:i/>
        </w:rPr>
        <w:t xml:space="preserve">galli </w:t>
      </w:r>
      <w:r w:rsidR="004746A0">
        <w:t>do not. This is why despite the similarities that can be drawn by the two groups, it is understandable when looking at it through the ideology of Romans why one is deemed acceptable and the other is not.</w:t>
      </w:r>
    </w:p>
    <w:p w:rsidR="003A77BC" w:rsidRDefault="0043578F">
      <w:r>
        <w:t xml:space="preserve">Lastly, there is one aspect of the </w:t>
      </w:r>
      <w:r>
        <w:rPr>
          <w:i/>
        </w:rPr>
        <w:t xml:space="preserve">galli </w:t>
      </w:r>
      <w:r>
        <w:t>that can be considered an oddity</w:t>
      </w:r>
      <w:r w:rsidR="00F7771B">
        <w:t xml:space="preserve">. Throughout the paper there are </w:t>
      </w:r>
      <w:r>
        <w:t xml:space="preserve">examples of why the </w:t>
      </w:r>
      <w:r>
        <w:rPr>
          <w:i/>
        </w:rPr>
        <w:t>galli</w:t>
      </w:r>
      <w:r>
        <w:t xml:space="preserve"> and the rest of the Roman society, especially the male elite, would have friction due to the contradiction between what Roman ideology dictates and what the </w:t>
      </w:r>
      <w:r>
        <w:rPr>
          <w:i/>
        </w:rPr>
        <w:t>galli</w:t>
      </w:r>
      <w:r>
        <w:t xml:space="preserve"> are allowed to do. So one would assume that there would be an attempt to separate the populace from the eunuch priests, they were only a minority cult after all, but instead the temple for the Cybele statue was built on the </w:t>
      </w:r>
      <w:r w:rsidRPr="0043578F">
        <w:t>Palatine Hill</w:t>
      </w:r>
      <w:r w:rsidR="00100D28">
        <w:t xml:space="preserve"> </w:t>
      </w:r>
      <w:r>
        <w:t>surrounded</w:t>
      </w:r>
      <w:r w:rsidR="00C5094C">
        <w:t xml:space="preserve"> by</w:t>
      </w:r>
      <w:r>
        <w:t xml:space="preserve"> the elite and later neighbour to the Imperial Palace</w:t>
      </w:r>
      <w:r w:rsidR="00100D28">
        <w:rPr>
          <w:rStyle w:val="FootnoteReference"/>
        </w:rPr>
        <w:footnoteReference w:id="63"/>
      </w:r>
      <w:r w:rsidR="00690E75">
        <w:t xml:space="preserve">. </w:t>
      </w:r>
      <w:r w:rsidR="00522470">
        <w:t xml:space="preserve">As previously mentioned there was a danger of great scandal when </w:t>
      </w:r>
      <w:r w:rsidR="00C547DC">
        <w:t>e</w:t>
      </w:r>
      <w:r w:rsidR="00522470">
        <w:t xml:space="preserve">mperors and the </w:t>
      </w:r>
      <w:r w:rsidR="00522470">
        <w:rPr>
          <w:i/>
        </w:rPr>
        <w:t xml:space="preserve">galli </w:t>
      </w:r>
      <w:r w:rsidR="00522470">
        <w:t>were closely associated with one another</w:t>
      </w:r>
      <w:r w:rsidR="00522470">
        <w:rPr>
          <w:rStyle w:val="FootnoteReference"/>
        </w:rPr>
        <w:footnoteReference w:id="64"/>
      </w:r>
      <w:r w:rsidR="00522470">
        <w:t xml:space="preserve">, the elite had distaste for the </w:t>
      </w:r>
      <w:r w:rsidR="00522470">
        <w:rPr>
          <w:i/>
        </w:rPr>
        <w:t>galli</w:t>
      </w:r>
      <w:r w:rsidR="00522470">
        <w:t xml:space="preserve"> and yet they are all closely </w:t>
      </w:r>
      <w:r w:rsidR="00C547DC">
        <w:t xml:space="preserve">living together. Perhaps this is just so they could keep close watch on these eunuch priests that defied the Roman norms, still it is reasonable to see this as a contradiction as the </w:t>
      </w:r>
      <w:r w:rsidR="00C547DC">
        <w:rPr>
          <w:i/>
        </w:rPr>
        <w:t>galli</w:t>
      </w:r>
      <w:r w:rsidR="00C547DC">
        <w:t xml:space="preserve"> are apparently both feared and condemned yet still privileged enough to be in such close proximity to the elite and the emperor.</w:t>
      </w:r>
    </w:p>
    <w:p w:rsidR="00F7771B" w:rsidRPr="00F75375" w:rsidRDefault="00F7771B">
      <w:r>
        <w:t xml:space="preserve">To conclude the worship practises of the </w:t>
      </w:r>
      <w:r>
        <w:rPr>
          <w:i/>
        </w:rPr>
        <w:t>galli</w:t>
      </w:r>
      <w:r>
        <w:t xml:space="preserve"> contradicts Roman ideology regarding hyper-masculinity because they defy what is regarded as gender norms in their religious practice, particularly when it comes to their </w:t>
      </w:r>
      <w:r w:rsidR="00F0370A">
        <w:t>gender performance and their annual religious rite of self-</w:t>
      </w:r>
      <w:r w:rsidR="00F0370A">
        <w:lastRenderedPageBreak/>
        <w:t>castration of new members. This created friction because the Roman hyper-masculine identity was of great importance</w:t>
      </w:r>
      <w:r w:rsidR="00D130CC">
        <w:t xml:space="preserve"> to Romans</w:t>
      </w:r>
      <w:r w:rsidR="00F0370A">
        <w:t>, especially in late antiquity, as Kuefler explains, because the declining militarism and political importance of the male elite called into question what they considered to be what made them manly</w:t>
      </w:r>
      <w:r w:rsidR="00F0370A">
        <w:rPr>
          <w:rStyle w:val="FootnoteReference"/>
        </w:rPr>
        <w:footnoteReference w:id="65"/>
      </w:r>
      <w:r w:rsidR="00F0370A">
        <w:t xml:space="preserve">. So they fiercely defended their masculinity and would therefore, particularly in this time period, attack those who publicly defied and challenged their masculine normality which the </w:t>
      </w:r>
      <w:r w:rsidR="00F0370A">
        <w:rPr>
          <w:i/>
        </w:rPr>
        <w:t>galli</w:t>
      </w:r>
      <w:r w:rsidR="00F0370A">
        <w:t xml:space="preserve"> as part of their religious practise did daily. This is also why Christians of the time would emphasise the effeminate nature of the </w:t>
      </w:r>
      <w:r w:rsidR="00F0370A">
        <w:rPr>
          <w:i/>
        </w:rPr>
        <w:t>galli</w:t>
      </w:r>
      <w:r w:rsidR="00F0370A">
        <w:t xml:space="preserve"> and overemphasis the apparent ‘manliness’ of Christianity</w:t>
      </w:r>
      <w:r w:rsidR="00B54472">
        <w:t xml:space="preserve"> i</w:t>
      </w:r>
      <w:r w:rsidR="00F75375">
        <w:t xml:space="preserve">n order to convert elite males. </w:t>
      </w:r>
      <w:r w:rsidR="00F75375">
        <w:rPr>
          <w:i/>
        </w:rPr>
        <w:t>Galli</w:t>
      </w:r>
      <w:r w:rsidR="00F75375">
        <w:t xml:space="preserve"> worship practises contradicts the Roman religious ideology largely because they go against set laws, therefore it seems odd that they would be allowed to continue practise and even odder than they grow in popularity especially when you now have both Roman elite and Christianity attacking them. Importantly though this engages a discussion about how different cults interacted both with each other and with the population.       </w:t>
      </w:r>
    </w:p>
    <w:p w:rsidR="00EF4BF9" w:rsidRDefault="005C76EF">
      <w:r>
        <w:t xml:space="preserve">  </w:t>
      </w:r>
      <w:r w:rsidR="001E52B6">
        <w:t xml:space="preserve">   </w:t>
      </w:r>
      <w:r w:rsidR="00385043">
        <w:t xml:space="preserve"> </w:t>
      </w:r>
      <w:r w:rsidR="00A8337C">
        <w:t xml:space="preserve">     </w:t>
      </w:r>
      <w:r w:rsidR="005D7FB0">
        <w:t xml:space="preserve"> </w:t>
      </w:r>
      <w:r w:rsidR="00B059EC">
        <w:t xml:space="preserve"> </w:t>
      </w:r>
    </w:p>
    <w:p w:rsidR="00EF4BF9" w:rsidRDefault="00EF4BF9">
      <w:r>
        <w:br w:type="page"/>
      </w:r>
    </w:p>
    <w:p w:rsidR="00EF4BF9" w:rsidRPr="00F643CE" w:rsidRDefault="00EF4BF9" w:rsidP="00EF4BF9">
      <w:r w:rsidRPr="008D3919">
        <w:rPr>
          <w:u w:val="single"/>
        </w:rPr>
        <w:lastRenderedPageBreak/>
        <w:t>Bibliography:-</w:t>
      </w:r>
      <w:r w:rsidRPr="008D3919">
        <w:rPr>
          <w:u w:val="single"/>
        </w:rPr>
        <w:br/>
        <w:t>Primary Sources</w:t>
      </w:r>
      <w:proofErr w:type="gramStart"/>
      <w:r w:rsidRPr="008D3919">
        <w:rPr>
          <w:u w:val="single"/>
        </w:rPr>
        <w:t>:</w:t>
      </w:r>
      <w:proofErr w:type="gramEnd"/>
      <w:r>
        <w:br/>
        <w:t xml:space="preserve">Catullus, </w:t>
      </w:r>
      <w:r>
        <w:rPr>
          <w:i/>
        </w:rPr>
        <w:t xml:space="preserve">The Complete Poems. </w:t>
      </w:r>
      <w:r>
        <w:t>Guy Lee (</w:t>
      </w:r>
      <w:proofErr w:type="gramStart"/>
      <w:r>
        <w:t>trans</w:t>
      </w:r>
      <w:proofErr w:type="gramEnd"/>
      <w:r>
        <w:t>.). 1990. Oxford: Oxford University Press</w:t>
      </w:r>
      <w:r>
        <w:br/>
      </w:r>
      <w:r w:rsidRPr="00954A23">
        <w:t>Dionysius of Halicarnassus</w:t>
      </w:r>
      <w:r>
        <w:t xml:space="preserve">, </w:t>
      </w:r>
      <w:r w:rsidRPr="00954A23">
        <w:rPr>
          <w:i/>
        </w:rPr>
        <w:t>Roman Antiquities, Volume I</w:t>
      </w:r>
      <w:r>
        <w:t xml:space="preserve">, </w:t>
      </w:r>
      <w:r w:rsidRPr="00954A23">
        <w:t>Earnest Cary</w:t>
      </w:r>
      <w:r>
        <w:t xml:space="preserve"> (</w:t>
      </w:r>
      <w:proofErr w:type="gramStart"/>
      <w:r>
        <w:t>trans</w:t>
      </w:r>
      <w:proofErr w:type="gramEnd"/>
      <w:r>
        <w:t xml:space="preserve">.). </w:t>
      </w:r>
      <w:r w:rsidRPr="00954A23">
        <w:t>1937</w:t>
      </w:r>
      <w:r>
        <w:t>. Loeb</w:t>
      </w:r>
      <w:r>
        <w:br/>
        <w:t xml:space="preserve">Martial, </w:t>
      </w:r>
      <w:r w:rsidRPr="0035113F">
        <w:rPr>
          <w:i/>
        </w:rPr>
        <w:t>Epigrams</w:t>
      </w:r>
      <w:r>
        <w:rPr>
          <w:i/>
        </w:rPr>
        <w:t xml:space="preserve">. </w:t>
      </w:r>
      <w:r w:rsidRPr="006D2D63">
        <w:t>D. R. Shackleton Bailey</w:t>
      </w:r>
      <w:r>
        <w:t xml:space="preserve"> (</w:t>
      </w:r>
      <w:proofErr w:type="gramStart"/>
      <w:r>
        <w:t>trans</w:t>
      </w:r>
      <w:proofErr w:type="gramEnd"/>
      <w:r>
        <w:t>.). 1993. Loeb</w:t>
      </w:r>
      <w:r>
        <w:br/>
      </w:r>
      <w:proofErr w:type="spellStart"/>
      <w:r w:rsidRPr="005272D3">
        <w:t>Valerius</w:t>
      </w:r>
      <w:proofErr w:type="spellEnd"/>
      <w:r w:rsidRPr="005272D3">
        <w:t xml:space="preserve"> Maximus</w:t>
      </w:r>
      <w:r>
        <w:t xml:space="preserve">, </w:t>
      </w:r>
      <w:r w:rsidRPr="005272D3">
        <w:rPr>
          <w:i/>
        </w:rPr>
        <w:t>Memorable Doings and Sayings, Volume I</w:t>
      </w:r>
      <w:r>
        <w:t xml:space="preserve">, </w:t>
      </w:r>
      <w:r w:rsidRPr="005272D3">
        <w:t>D. R. Shackleton Bailey</w:t>
      </w:r>
      <w:r>
        <w:t xml:space="preserve"> (</w:t>
      </w:r>
      <w:proofErr w:type="gramStart"/>
      <w:r>
        <w:t>trans</w:t>
      </w:r>
      <w:proofErr w:type="gramEnd"/>
      <w:r>
        <w:t xml:space="preserve">.). </w:t>
      </w:r>
      <w:r w:rsidRPr="005272D3">
        <w:t>2000</w:t>
      </w:r>
      <w:r>
        <w:t>. Loeb</w:t>
      </w:r>
      <w:r>
        <w:br/>
        <w:t xml:space="preserve">Virgil, </w:t>
      </w:r>
      <w:r>
        <w:rPr>
          <w:i/>
        </w:rPr>
        <w:t>Aeneid,</w:t>
      </w:r>
      <w:r>
        <w:t xml:space="preserve"> Frederick </w:t>
      </w:r>
      <w:proofErr w:type="spellStart"/>
      <w:r>
        <w:t>Ahl</w:t>
      </w:r>
      <w:proofErr w:type="spellEnd"/>
      <w:r>
        <w:t xml:space="preserve"> (</w:t>
      </w:r>
      <w:proofErr w:type="gramStart"/>
      <w:r>
        <w:t>trans</w:t>
      </w:r>
      <w:proofErr w:type="gramEnd"/>
      <w:r>
        <w:t>.). 2007. Oxford: Oxford University Press</w:t>
      </w:r>
    </w:p>
    <w:p w:rsidR="00EF4BF9" w:rsidRPr="00F32DE1" w:rsidRDefault="00EF4BF9" w:rsidP="00EF4BF9">
      <w:r w:rsidRPr="008D3919">
        <w:rPr>
          <w:u w:val="single"/>
        </w:rPr>
        <w:t xml:space="preserve">Modern Sources: </w:t>
      </w:r>
      <w:r>
        <w:rPr>
          <w:u w:val="single"/>
        </w:rPr>
        <w:br/>
      </w:r>
      <w:proofErr w:type="spellStart"/>
      <w:r>
        <w:t>Alvar</w:t>
      </w:r>
      <w:proofErr w:type="spellEnd"/>
      <w:r>
        <w:t xml:space="preserve">, J. </w:t>
      </w:r>
      <w:r w:rsidRPr="00C82452">
        <w:t>2008</w:t>
      </w:r>
      <w:r>
        <w:t xml:space="preserve">, </w:t>
      </w:r>
      <w:r w:rsidRPr="00C82452">
        <w:rPr>
          <w:i/>
        </w:rPr>
        <w:t>Romanising Oriental Gods Myth, Salvation and Ethics in the Cults of Cybele, Isis and Mithras</w:t>
      </w:r>
      <w:r>
        <w:rPr>
          <w:i/>
        </w:rPr>
        <w:t xml:space="preserve">, </w:t>
      </w:r>
      <w:r>
        <w:t>Brill</w:t>
      </w:r>
      <w:r>
        <w:br/>
      </w:r>
      <w:r w:rsidRPr="004E4B86">
        <w:t>Beard, M., North, J. and Price, S. 1998</w:t>
      </w:r>
      <w:r>
        <w:t xml:space="preserve">, </w:t>
      </w:r>
      <w:r w:rsidRPr="00FC6E2E">
        <w:rPr>
          <w:i/>
        </w:rPr>
        <w:t>Religion</w:t>
      </w:r>
      <w:r>
        <w:rPr>
          <w:i/>
        </w:rPr>
        <w:t xml:space="preserve">s of Rome Volume 1: A History, </w:t>
      </w:r>
      <w:r w:rsidRPr="004E4B86">
        <w:t>Cambridge: Cambridge University Press</w:t>
      </w:r>
      <w:r>
        <w:rPr>
          <w:u w:val="single"/>
        </w:rPr>
        <w:br/>
      </w:r>
      <w:r w:rsidRPr="004E4B86">
        <w:t xml:space="preserve">Beard, M., North, J. and Price, S. 1998, </w:t>
      </w:r>
      <w:r w:rsidRPr="004E4B86">
        <w:rPr>
          <w:i/>
        </w:rPr>
        <w:t xml:space="preserve">Religions of Rome Volume 2: A Sourcebook, </w:t>
      </w:r>
      <w:r w:rsidRPr="004E4B86">
        <w:t>Cambridge: Cambridge University Press</w:t>
      </w:r>
      <w:r>
        <w:rPr>
          <w:u w:val="single"/>
        </w:rPr>
        <w:br/>
      </w:r>
      <w:r>
        <w:t xml:space="preserve">Kuefler, M. 2001, </w:t>
      </w:r>
      <w:r>
        <w:rPr>
          <w:i/>
        </w:rPr>
        <w:t>The Manly Eunuch Masculinity, Gender Ambiguity, and Christian Ideology in Late Antiquity,</w:t>
      </w:r>
      <w:r>
        <w:t xml:space="preserve"> Chicago: University of Chicago Press</w:t>
      </w:r>
      <w:r>
        <w:br/>
      </w:r>
      <w:r w:rsidRPr="00DC59C3">
        <w:t>Olson, K. 2014, ‘Masculinity, Appearance, and Sexuality: Dandies in Roman Antiquity’, Journal of the History of Sexuality, May, 182-205</w:t>
      </w:r>
      <w:r>
        <w:br/>
      </w:r>
      <w:r w:rsidRPr="004E4B86">
        <w:t xml:space="preserve">Rives, J. B. 2007, </w:t>
      </w:r>
      <w:r w:rsidRPr="004E4B86">
        <w:rPr>
          <w:i/>
        </w:rPr>
        <w:t xml:space="preserve">Religion in the Roman Empire, </w:t>
      </w:r>
      <w:r w:rsidRPr="004E4B86">
        <w:t>Oxford: Blackwell Publishing</w:t>
      </w:r>
      <w:r>
        <w:br/>
        <w:t xml:space="preserve">Sawyer, D. F. 1996, </w:t>
      </w:r>
      <w:r>
        <w:rPr>
          <w:i/>
        </w:rPr>
        <w:t>Women and Religion in the First Christian Centuries</w:t>
      </w:r>
      <w:r>
        <w:t>, London: Routledge</w:t>
      </w:r>
      <w:r>
        <w:rPr>
          <w:i/>
        </w:rPr>
        <w:t xml:space="preserve"> </w:t>
      </w:r>
      <w:r>
        <w:br/>
      </w:r>
      <w:proofErr w:type="spellStart"/>
      <w:r w:rsidRPr="004E4B86">
        <w:t>Turcan</w:t>
      </w:r>
      <w:proofErr w:type="spellEnd"/>
      <w:r w:rsidRPr="004E4B86">
        <w:t xml:space="preserve">, R. 1996, </w:t>
      </w:r>
      <w:r w:rsidRPr="004E4B86">
        <w:rPr>
          <w:i/>
        </w:rPr>
        <w:t>The Cults of the Roman Empire,</w:t>
      </w:r>
      <w:r w:rsidRPr="004E4B86">
        <w:t xml:space="preserve"> Oxford: Blackwell Publishers Ltd</w:t>
      </w:r>
      <w:r>
        <w:br/>
      </w:r>
      <w:r>
        <w:rPr>
          <w:rStyle w:val="authors"/>
          <w:lang w:val="en"/>
        </w:rPr>
        <w:t>Williams, C. A. 1990,</w:t>
      </w:r>
      <w:r>
        <w:rPr>
          <w:rStyle w:val="authors"/>
          <w:i/>
          <w:lang w:val="en"/>
        </w:rPr>
        <w:t xml:space="preserve"> </w:t>
      </w:r>
      <w:r w:rsidRPr="00F32DE1">
        <w:rPr>
          <w:i/>
          <w:lang w:val="en"/>
        </w:rPr>
        <w:t>Roman homosexuality: ideologies of masculinity in classical antiquity</w:t>
      </w:r>
      <w:r>
        <w:rPr>
          <w:lang w:val="en"/>
        </w:rPr>
        <w:t>, Oxford: Oxford University Press</w:t>
      </w:r>
    </w:p>
    <w:p w:rsidR="00EF4BF9" w:rsidRPr="00682C37" w:rsidRDefault="00EF4BF9" w:rsidP="00EF4BF9">
      <w:pPr>
        <w:rPr>
          <w:u w:val="single"/>
        </w:rPr>
      </w:pPr>
      <w:r w:rsidRPr="005F098B">
        <w:rPr>
          <w:u w:val="single"/>
        </w:rPr>
        <w:t>Images</w:t>
      </w:r>
      <w:proofErr w:type="gramStart"/>
      <w:r w:rsidRPr="005F098B">
        <w:rPr>
          <w:u w:val="single"/>
        </w:rPr>
        <w:t>:</w:t>
      </w:r>
      <w:proofErr w:type="gramEnd"/>
      <w:r w:rsidR="00682C37">
        <w:rPr>
          <w:u w:val="single"/>
        </w:rPr>
        <w:br/>
      </w:r>
      <w:r w:rsidRPr="00EF4BF9">
        <w:rPr>
          <w:u w:val="single"/>
        </w:rPr>
        <w:t>Figure 1:</w:t>
      </w:r>
      <w:r>
        <w:t xml:space="preserve"> </w:t>
      </w:r>
      <w:r w:rsidRPr="004F4347">
        <w:t>funerary image of a priest of Magna Mater from Ostia; third century AD</w:t>
      </w:r>
      <w:r>
        <w:t>. Beard 2012: 341</w:t>
      </w:r>
    </w:p>
    <w:p w:rsidR="00AC7DDA" w:rsidRPr="0022344D" w:rsidRDefault="00EF4BF9">
      <w:r>
        <w:rPr>
          <w:noProof/>
          <w:lang w:eastAsia="en-GB"/>
        </w:rPr>
        <w:drawing>
          <wp:inline distT="0" distB="0" distL="0" distR="0" wp14:anchorId="5CC9D528" wp14:editId="46033613">
            <wp:extent cx="2292819" cy="3412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6333" t="21858" r="28703" b="38547"/>
                    <a:stretch/>
                  </pic:blipFill>
                  <pic:spPr bwMode="auto">
                    <a:xfrm>
                      <a:off x="0" y="0"/>
                      <a:ext cx="2305117" cy="3430793"/>
                    </a:xfrm>
                    <a:prstGeom prst="rect">
                      <a:avLst/>
                    </a:prstGeom>
                    <a:ln>
                      <a:noFill/>
                    </a:ln>
                    <a:extLst>
                      <a:ext uri="{53640926-AAD7-44D8-BBD7-CCE9431645EC}">
                        <a14:shadowObscured xmlns:a14="http://schemas.microsoft.com/office/drawing/2010/main"/>
                      </a:ext>
                    </a:extLst>
                  </pic:spPr>
                </pic:pic>
              </a:graphicData>
            </a:graphic>
          </wp:inline>
        </w:drawing>
      </w:r>
      <w:r w:rsidR="00D32B46">
        <w:t xml:space="preserve">  </w:t>
      </w:r>
      <w:r w:rsidR="0070452E">
        <w:t xml:space="preserve">   </w:t>
      </w:r>
    </w:p>
    <w:sectPr w:rsidR="00AC7DDA" w:rsidRPr="002234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15C0" w:rsidRDefault="003E15C0" w:rsidP="00415C53">
      <w:pPr>
        <w:spacing w:after="0" w:line="240" w:lineRule="auto"/>
      </w:pPr>
      <w:r>
        <w:separator/>
      </w:r>
    </w:p>
  </w:endnote>
  <w:endnote w:type="continuationSeparator" w:id="0">
    <w:p w:rsidR="003E15C0" w:rsidRDefault="003E15C0" w:rsidP="00415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15C0" w:rsidRDefault="003E15C0" w:rsidP="00415C53">
      <w:pPr>
        <w:spacing w:after="0" w:line="240" w:lineRule="auto"/>
      </w:pPr>
      <w:r>
        <w:separator/>
      </w:r>
    </w:p>
  </w:footnote>
  <w:footnote w:type="continuationSeparator" w:id="0">
    <w:p w:rsidR="003E15C0" w:rsidRDefault="003E15C0" w:rsidP="00415C53">
      <w:pPr>
        <w:spacing w:after="0" w:line="240" w:lineRule="auto"/>
      </w:pPr>
      <w:r>
        <w:continuationSeparator/>
      </w:r>
    </w:p>
  </w:footnote>
  <w:footnote w:id="1">
    <w:p w:rsidR="00D32B46" w:rsidRDefault="00D32B46">
      <w:pPr>
        <w:pStyle w:val="FootnoteText"/>
      </w:pPr>
      <w:r>
        <w:rPr>
          <w:rStyle w:val="FootnoteReference"/>
        </w:rPr>
        <w:footnoteRef/>
      </w:r>
      <w:r>
        <w:t xml:space="preserve"> Kuefler</w:t>
      </w:r>
      <w:r w:rsidRPr="005723B2">
        <w:t xml:space="preserve"> 2001</w:t>
      </w:r>
      <w:r>
        <w:t>: 248</w:t>
      </w:r>
    </w:p>
  </w:footnote>
  <w:footnote w:id="2">
    <w:p w:rsidR="00D32B46" w:rsidRDefault="00D32B46">
      <w:pPr>
        <w:pStyle w:val="FootnoteText"/>
      </w:pPr>
      <w:r>
        <w:rPr>
          <w:rStyle w:val="FootnoteReference"/>
        </w:rPr>
        <w:footnoteRef/>
      </w:r>
      <w:r>
        <w:t xml:space="preserve"> Kuefler 2001: 247-248</w:t>
      </w:r>
    </w:p>
  </w:footnote>
  <w:footnote w:id="3">
    <w:p w:rsidR="00D32B46" w:rsidRDefault="00D32B46">
      <w:pPr>
        <w:pStyle w:val="FootnoteText"/>
      </w:pPr>
      <w:r>
        <w:rPr>
          <w:rStyle w:val="FootnoteReference"/>
        </w:rPr>
        <w:footnoteRef/>
      </w:r>
      <w:r>
        <w:t xml:space="preserve"> Rives </w:t>
      </w:r>
      <w:r w:rsidRPr="00D844A3">
        <w:t>2007</w:t>
      </w:r>
      <w:r>
        <w:t>: 194</w:t>
      </w:r>
    </w:p>
  </w:footnote>
  <w:footnote w:id="4">
    <w:p w:rsidR="00D32B46" w:rsidRDefault="00D32B46">
      <w:pPr>
        <w:pStyle w:val="FootnoteText"/>
      </w:pPr>
      <w:r>
        <w:rPr>
          <w:rStyle w:val="FootnoteReference"/>
        </w:rPr>
        <w:footnoteRef/>
      </w:r>
      <w:r>
        <w:t xml:space="preserve"> </w:t>
      </w:r>
      <w:proofErr w:type="spellStart"/>
      <w:r>
        <w:t>Turcan</w:t>
      </w:r>
      <w:proofErr w:type="spellEnd"/>
      <w:r w:rsidRPr="00BD3F9C">
        <w:t xml:space="preserve"> 1996</w:t>
      </w:r>
      <w:r>
        <w:t>: 35-37</w:t>
      </w:r>
    </w:p>
  </w:footnote>
  <w:footnote w:id="5">
    <w:p w:rsidR="00D32B46" w:rsidRDefault="00D32B46">
      <w:pPr>
        <w:pStyle w:val="FootnoteText"/>
      </w:pPr>
      <w:r>
        <w:rPr>
          <w:rStyle w:val="FootnoteReference"/>
        </w:rPr>
        <w:footnoteRef/>
      </w:r>
      <w:r>
        <w:t xml:space="preserve"> </w:t>
      </w:r>
      <w:r w:rsidRPr="000C586A">
        <w:t>Kuefler 2001:</w:t>
      </w:r>
      <w:r>
        <w:t xml:space="preserve"> 249</w:t>
      </w:r>
    </w:p>
  </w:footnote>
  <w:footnote w:id="6">
    <w:p w:rsidR="00522470" w:rsidRDefault="00522470">
      <w:pPr>
        <w:pStyle w:val="FootnoteText"/>
      </w:pPr>
      <w:r>
        <w:rPr>
          <w:rStyle w:val="FootnoteReference"/>
        </w:rPr>
        <w:footnoteRef/>
      </w:r>
      <w:r w:rsidR="00276C4F">
        <w:t xml:space="preserve"> Juvenal, </w:t>
      </w:r>
      <w:r w:rsidR="00276C4F">
        <w:rPr>
          <w:i/>
        </w:rPr>
        <w:t>Satires.</w:t>
      </w:r>
      <w:r w:rsidR="00276C4F">
        <w:t xml:space="preserve"> 6.511-21 in </w:t>
      </w:r>
      <w:r w:rsidR="00276C4F" w:rsidRPr="00276C4F">
        <w:t>Beard, North and Price 1998</w:t>
      </w:r>
      <w:r w:rsidR="00276C4F">
        <w:t>: 210</w:t>
      </w:r>
    </w:p>
  </w:footnote>
  <w:footnote w:id="7">
    <w:p w:rsidR="00D32B46" w:rsidRDefault="00D32B46">
      <w:pPr>
        <w:pStyle w:val="FootnoteText"/>
      </w:pPr>
      <w:r>
        <w:rPr>
          <w:rStyle w:val="FootnoteReference"/>
        </w:rPr>
        <w:footnoteRef/>
      </w:r>
      <w:r>
        <w:t xml:space="preserve"> </w:t>
      </w:r>
      <w:r w:rsidRPr="002D01EE">
        <w:t>Kuefler 2001:</w:t>
      </w:r>
      <w:r>
        <w:t xml:space="preserve"> 254</w:t>
      </w:r>
    </w:p>
  </w:footnote>
  <w:footnote w:id="8">
    <w:p w:rsidR="00D32B46" w:rsidRDefault="00D32B46">
      <w:pPr>
        <w:pStyle w:val="FootnoteText"/>
      </w:pPr>
      <w:r>
        <w:rPr>
          <w:rStyle w:val="FootnoteReference"/>
        </w:rPr>
        <w:footnoteRef/>
      </w:r>
      <w:r>
        <w:t xml:space="preserve"> </w:t>
      </w:r>
      <w:r w:rsidRPr="00D6616E">
        <w:t>Kuefler 2001:</w:t>
      </w:r>
      <w:r>
        <w:t xml:space="preserve"> 260</w:t>
      </w:r>
    </w:p>
  </w:footnote>
  <w:footnote w:id="9">
    <w:p w:rsidR="00D32B46" w:rsidRDefault="00D32B46">
      <w:pPr>
        <w:pStyle w:val="FootnoteText"/>
      </w:pPr>
      <w:r>
        <w:rPr>
          <w:rStyle w:val="FootnoteReference"/>
        </w:rPr>
        <w:footnoteRef/>
      </w:r>
      <w:r>
        <w:t xml:space="preserve"> </w:t>
      </w:r>
      <w:proofErr w:type="spellStart"/>
      <w:r w:rsidRPr="00712DB4">
        <w:t>Turcan</w:t>
      </w:r>
      <w:proofErr w:type="spellEnd"/>
      <w:r w:rsidRPr="00712DB4">
        <w:t xml:space="preserve"> 1996</w:t>
      </w:r>
      <w:r>
        <w:t>: 37</w:t>
      </w:r>
    </w:p>
  </w:footnote>
  <w:footnote w:id="10">
    <w:p w:rsidR="00D32B46" w:rsidRDefault="00D32B46">
      <w:pPr>
        <w:pStyle w:val="FootnoteText"/>
      </w:pPr>
      <w:r>
        <w:rPr>
          <w:rStyle w:val="FootnoteReference"/>
        </w:rPr>
        <w:footnoteRef/>
      </w:r>
      <w:r>
        <w:t xml:space="preserve"> </w:t>
      </w:r>
      <w:proofErr w:type="spellStart"/>
      <w:r w:rsidRPr="00C0302B">
        <w:t>Turcan</w:t>
      </w:r>
      <w:proofErr w:type="spellEnd"/>
      <w:r w:rsidRPr="00C0302B">
        <w:t xml:space="preserve"> 1996: 37</w:t>
      </w:r>
    </w:p>
  </w:footnote>
  <w:footnote w:id="11">
    <w:p w:rsidR="00D32B46" w:rsidRDefault="00D32B46">
      <w:pPr>
        <w:pStyle w:val="FootnoteText"/>
      </w:pPr>
      <w:r>
        <w:rPr>
          <w:rStyle w:val="FootnoteReference"/>
        </w:rPr>
        <w:footnoteRef/>
      </w:r>
      <w:r>
        <w:t xml:space="preserve"> Beard 2012- 345</w:t>
      </w:r>
    </w:p>
  </w:footnote>
  <w:footnote w:id="12">
    <w:p w:rsidR="00D32B46" w:rsidRDefault="00D32B46">
      <w:pPr>
        <w:pStyle w:val="FootnoteText"/>
      </w:pPr>
      <w:r>
        <w:rPr>
          <w:rStyle w:val="FootnoteReference"/>
        </w:rPr>
        <w:footnoteRef/>
      </w:r>
      <w:r>
        <w:t xml:space="preserve"> </w:t>
      </w:r>
      <w:r w:rsidRPr="00C0302B">
        <w:t>Val. Max. 7.6.</w:t>
      </w:r>
    </w:p>
  </w:footnote>
  <w:footnote w:id="13">
    <w:p w:rsidR="00D32B46" w:rsidRDefault="00D32B46">
      <w:pPr>
        <w:pStyle w:val="FootnoteText"/>
      </w:pPr>
      <w:r>
        <w:rPr>
          <w:rStyle w:val="FootnoteReference"/>
        </w:rPr>
        <w:footnoteRef/>
      </w:r>
      <w:r>
        <w:t xml:space="preserve"> </w:t>
      </w:r>
      <w:proofErr w:type="spellStart"/>
      <w:r w:rsidRPr="000A31D1">
        <w:t>Verg</w:t>
      </w:r>
      <w:proofErr w:type="spellEnd"/>
      <w:r w:rsidRPr="000A31D1">
        <w:t xml:space="preserve">. </w:t>
      </w:r>
      <w:r w:rsidRPr="000A31D1">
        <w:rPr>
          <w:i/>
        </w:rPr>
        <w:t>A.</w:t>
      </w:r>
      <w:r>
        <w:t xml:space="preserve"> </w:t>
      </w:r>
      <w:r w:rsidRPr="000A31D1">
        <w:t>9.614-20</w:t>
      </w:r>
    </w:p>
  </w:footnote>
  <w:footnote w:id="14">
    <w:p w:rsidR="00D32B46" w:rsidRDefault="00D32B46">
      <w:pPr>
        <w:pStyle w:val="FootnoteText"/>
      </w:pPr>
      <w:r>
        <w:rPr>
          <w:rStyle w:val="FootnoteReference"/>
        </w:rPr>
        <w:footnoteRef/>
      </w:r>
      <w:r>
        <w:t xml:space="preserve"> </w:t>
      </w:r>
      <w:r w:rsidRPr="00680126">
        <w:t>Kuefler 2001: 248</w:t>
      </w:r>
    </w:p>
  </w:footnote>
  <w:footnote w:id="15">
    <w:p w:rsidR="00D32B46" w:rsidRDefault="00D32B46">
      <w:pPr>
        <w:pStyle w:val="FootnoteText"/>
      </w:pPr>
      <w:r>
        <w:rPr>
          <w:rStyle w:val="FootnoteReference"/>
        </w:rPr>
        <w:footnoteRef/>
      </w:r>
      <w:r>
        <w:t xml:space="preserve"> </w:t>
      </w:r>
      <w:r w:rsidRPr="001A15D9">
        <w:t>D.H. 11.19.3</w:t>
      </w:r>
      <w:r>
        <w:t>-5</w:t>
      </w:r>
    </w:p>
  </w:footnote>
  <w:footnote w:id="16">
    <w:p w:rsidR="00D32B46" w:rsidRDefault="00D32B46">
      <w:pPr>
        <w:pStyle w:val="FootnoteText"/>
      </w:pPr>
      <w:r>
        <w:rPr>
          <w:rStyle w:val="FootnoteReference"/>
        </w:rPr>
        <w:footnoteRef/>
      </w:r>
      <w:r>
        <w:t xml:space="preserve"> </w:t>
      </w:r>
      <w:r w:rsidRPr="001A15D9">
        <w:t>August. De Civ. D. 6.10</w:t>
      </w:r>
      <w:r>
        <w:t xml:space="preserve"> in </w:t>
      </w:r>
      <w:r w:rsidRPr="001A15D9">
        <w:t>Kuefler 2001</w:t>
      </w:r>
      <w:r>
        <w:t>: 253</w:t>
      </w:r>
    </w:p>
  </w:footnote>
  <w:footnote w:id="17">
    <w:p w:rsidR="00D32B46" w:rsidRDefault="00D32B46">
      <w:pPr>
        <w:pStyle w:val="FootnoteText"/>
      </w:pPr>
      <w:r>
        <w:rPr>
          <w:rStyle w:val="FootnoteReference"/>
        </w:rPr>
        <w:footnoteRef/>
      </w:r>
      <w:r>
        <w:t xml:space="preserve"> Beard 2012: 345-251</w:t>
      </w:r>
    </w:p>
  </w:footnote>
  <w:footnote w:id="18">
    <w:p w:rsidR="00D32B46" w:rsidRDefault="00D32B46">
      <w:pPr>
        <w:pStyle w:val="FootnoteText"/>
      </w:pPr>
      <w:r>
        <w:rPr>
          <w:rStyle w:val="FootnoteReference"/>
        </w:rPr>
        <w:footnoteRef/>
      </w:r>
      <w:r>
        <w:t xml:space="preserve"> </w:t>
      </w:r>
      <w:proofErr w:type="spellStart"/>
      <w:r w:rsidRPr="009D5886">
        <w:t>Alvar</w:t>
      </w:r>
      <w:proofErr w:type="spellEnd"/>
      <w:r w:rsidRPr="009D5886">
        <w:t xml:space="preserve"> 2008: 274</w:t>
      </w:r>
    </w:p>
  </w:footnote>
  <w:footnote w:id="19">
    <w:p w:rsidR="00D32B46" w:rsidRDefault="00D32B46">
      <w:pPr>
        <w:pStyle w:val="FootnoteText"/>
      </w:pPr>
      <w:r>
        <w:rPr>
          <w:rStyle w:val="FootnoteReference"/>
        </w:rPr>
        <w:footnoteRef/>
      </w:r>
      <w:r>
        <w:t xml:space="preserve"> Beard 2012: 341</w:t>
      </w:r>
    </w:p>
  </w:footnote>
  <w:footnote w:id="20">
    <w:p w:rsidR="00D32B46" w:rsidRDefault="00D32B46">
      <w:pPr>
        <w:pStyle w:val="FootnoteText"/>
      </w:pPr>
      <w:r>
        <w:rPr>
          <w:rStyle w:val="FootnoteReference"/>
        </w:rPr>
        <w:footnoteRef/>
      </w:r>
      <w:r>
        <w:t xml:space="preserve"> See Figure 1</w:t>
      </w:r>
    </w:p>
  </w:footnote>
  <w:footnote w:id="21">
    <w:p w:rsidR="00D32B46" w:rsidRDefault="00D32B46">
      <w:pPr>
        <w:pStyle w:val="FootnoteText"/>
      </w:pPr>
      <w:r>
        <w:rPr>
          <w:rStyle w:val="FootnoteReference"/>
        </w:rPr>
        <w:footnoteRef/>
      </w:r>
      <w:r>
        <w:t xml:space="preserve"> </w:t>
      </w:r>
      <w:proofErr w:type="spellStart"/>
      <w:r>
        <w:t>Alver</w:t>
      </w:r>
      <w:proofErr w:type="spellEnd"/>
      <w:r>
        <w:t xml:space="preserve"> 2008: 274</w:t>
      </w:r>
    </w:p>
  </w:footnote>
  <w:footnote w:id="22">
    <w:p w:rsidR="00D32B46" w:rsidRDefault="00D32B46">
      <w:pPr>
        <w:pStyle w:val="FootnoteText"/>
      </w:pPr>
      <w:r>
        <w:rPr>
          <w:rStyle w:val="FootnoteReference"/>
        </w:rPr>
        <w:footnoteRef/>
      </w:r>
      <w:r>
        <w:t xml:space="preserve"> </w:t>
      </w:r>
      <w:proofErr w:type="spellStart"/>
      <w:r>
        <w:t>Turcan</w:t>
      </w:r>
      <w:proofErr w:type="spellEnd"/>
      <w:r>
        <w:t xml:space="preserve"> 1996: 45</w:t>
      </w:r>
    </w:p>
  </w:footnote>
  <w:footnote w:id="23">
    <w:p w:rsidR="00D32B46" w:rsidRDefault="00D32B46">
      <w:pPr>
        <w:pStyle w:val="FootnoteText"/>
      </w:pPr>
      <w:r>
        <w:rPr>
          <w:rStyle w:val="FootnoteReference"/>
        </w:rPr>
        <w:footnoteRef/>
      </w:r>
      <w:r>
        <w:t xml:space="preserve"> </w:t>
      </w:r>
      <w:proofErr w:type="spellStart"/>
      <w:r w:rsidRPr="009E711D">
        <w:t>Turcan</w:t>
      </w:r>
      <w:proofErr w:type="spellEnd"/>
      <w:r w:rsidRPr="009E711D">
        <w:t xml:space="preserve"> 1996: 45</w:t>
      </w:r>
    </w:p>
  </w:footnote>
  <w:footnote w:id="24">
    <w:p w:rsidR="00D32B46" w:rsidRDefault="00D32B46">
      <w:pPr>
        <w:pStyle w:val="FootnoteText"/>
      </w:pPr>
      <w:r>
        <w:rPr>
          <w:rStyle w:val="FootnoteReference"/>
        </w:rPr>
        <w:footnoteRef/>
      </w:r>
      <w:r>
        <w:t xml:space="preserve"> </w:t>
      </w:r>
      <w:proofErr w:type="spellStart"/>
      <w:r w:rsidRPr="009E711D">
        <w:t>Catul</w:t>
      </w:r>
      <w:proofErr w:type="spellEnd"/>
      <w:r w:rsidRPr="009E711D">
        <w:t>.</w:t>
      </w:r>
      <w:r>
        <w:t xml:space="preserve"> LXIII. 5</w:t>
      </w:r>
    </w:p>
  </w:footnote>
  <w:footnote w:id="25">
    <w:p w:rsidR="00D32B46" w:rsidRDefault="00D32B46">
      <w:pPr>
        <w:pStyle w:val="FootnoteText"/>
      </w:pPr>
      <w:r>
        <w:rPr>
          <w:rStyle w:val="FootnoteReference"/>
        </w:rPr>
        <w:footnoteRef/>
      </w:r>
      <w:r>
        <w:t xml:space="preserve"> </w:t>
      </w:r>
      <w:r w:rsidRPr="009E711D">
        <w:t>Kuefler 2001: 248</w:t>
      </w:r>
    </w:p>
  </w:footnote>
  <w:footnote w:id="26">
    <w:p w:rsidR="00D32B46" w:rsidRDefault="00D32B46">
      <w:pPr>
        <w:pStyle w:val="FootnoteText"/>
      </w:pPr>
      <w:r>
        <w:rPr>
          <w:rStyle w:val="FootnoteReference"/>
        </w:rPr>
        <w:footnoteRef/>
      </w:r>
      <w:r>
        <w:t xml:space="preserve"> </w:t>
      </w:r>
      <w:proofErr w:type="spellStart"/>
      <w:r w:rsidRPr="00F065ED">
        <w:t>Turcan</w:t>
      </w:r>
      <w:proofErr w:type="spellEnd"/>
      <w:r w:rsidRPr="00F065ED">
        <w:t xml:space="preserve"> 1996: 45</w:t>
      </w:r>
    </w:p>
  </w:footnote>
  <w:footnote w:id="27">
    <w:p w:rsidR="00D32B46" w:rsidRDefault="00D32B46">
      <w:pPr>
        <w:pStyle w:val="FootnoteText"/>
      </w:pPr>
      <w:r>
        <w:rPr>
          <w:rStyle w:val="FootnoteReference"/>
        </w:rPr>
        <w:footnoteRef/>
      </w:r>
      <w:r>
        <w:t xml:space="preserve"> Beard 2012: 341</w:t>
      </w:r>
    </w:p>
  </w:footnote>
  <w:footnote w:id="28">
    <w:p w:rsidR="00D32B46" w:rsidRDefault="00D32B46">
      <w:pPr>
        <w:pStyle w:val="FootnoteText"/>
      </w:pPr>
      <w:r>
        <w:rPr>
          <w:rStyle w:val="FootnoteReference"/>
        </w:rPr>
        <w:footnoteRef/>
      </w:r>
      <w:r>
        <w:t xml:space="preserve"> Beard 2012: 324</w:t>
      </w:r>
    </w:p>
  </w:footnote>
  <w:footnote w:id="29">
    <w:p w:rsidR="00D32B46" w:rsidRDefault="00D32B46">
      <w:pPr>
        <w:pStyle w:val="FootnoteText"/>
      </w:pPr>
      <w:r>
        <w:rPr>
          <w:rStyle w:val="FootnoteReference"/>
        </w:rPr>
        <w:footnoteRef/>
      </w:r>
      <w:r>
        <w:t xml:space="preserve"> </w:t>
      </w:r>
      <w:r w:rsidRPr="009D6A0C">
        <w:t>Kuefler 2001</w:t>
      </w:r>
      <w:r>
        <w:t>: 254</w:t>
      </w:r>
    </w:p>
  </w:footnote>
  <w:footnote w:id="30">
    <w:p w:rsidR="00D32B46" w:rsidRDefault="00D32B46">
      <w:pPr>
        <w:pStyle w:val="FootnoteText"/>
      </w:pPr>
      <w:r>
        <w:rPr>
          <w:rStyle w:val="FootnoteReference"/>
        </w:rPr>
        <w:footnoteRef/>
      </w:r>
      <w:r>
        <w:t xml:space="preserve"> </w:t>
      </w:r>
      <w:r w:rsidRPr="009D6A0C">
        <w:t>Kuefler 2001</w:t>
      </w:r>
      <w:r>
        <w:t>: 253</w:t>
      </w:r>
    </w:p>
  </w:footnote>
  <w:footnote w:id="31">
    <w:p w:rsidR="00D32B46" w:rsidRDefault="00D32B46">
      <w:pPr>
        <w:pStyle w:val="FootnoteText"/>
      </w:pPr>
      <w:r>
        <w:rPr>
          <w:rStyle w:val="FootnoteReference"/>
        </w:rPr>
        <w:footnoteRef/>
      </w:r>
      <w:r>
        <w:t xml:space="preserve"> </w:t>
      </w:r>
      <w:proofErr w:type="spellStart"/>
      <w:r>
        <w:t>Catul</w:t>
      </w:r>
      <w:proofErr w:type="spellEnd"/>
      <w:r>
        <w:t>. LXIII. 62-10</w:t>
      </w:r>
    </w:p>
  </w:footnote>
  <w:footnote w:id="32">
    <w:p w:rsidR="00D32B46" w:rsidRDefault="00D32B46">
      <w:pPr>
        <w:pStyle w:val="FootnoteText"/>
      </w:pPr>
      <w:r>
        <w:rPr>
          <w:rStyle w:val="FootnoteReference"/>
        </w:rPr>
        <w:footnoteRef/>
      </w:r>
      <w:r>
        <w:t xml:space="preserve"> </w:t>
      </w:r>
      <w:proofErr w:type="spellStart"/>
      <w:r>
        <w:t>Catul</w:t>
      </w:r>
      <w:proofErr w:type="spellEnd"/>
      <w:r>
        <w:t>. LXIII. 74</w:t>
      </w:r>
    </w:p>
  </w:footnote>
  <w:footnote w:id="33">
    <w:p w:rsidR="00D32B46" w:rsidRDefault="00D32B46">
      <w:pPr>
        <w:pStyle w:val="FootnoteText"/>
      </w:pPr>
      <w:r>
        <w:rPr>
          <w:rStyle w:val="FootnoteReference"/>
        </w:rPr>
        <w:footnoteRef/>
      </w:r>
      <w:r>
        <w:t xml:space="preserve"> Kuefler 2001: 250</w:t>
      </w:r>
    </w:p>
  </w:footnote>
  <w:footnote w:id="34">
    <w:p w:rsidR="00D32B46" w:rsidRDefault="00D32B46">
      <w:pPr>
        <w:pStyle w:val="FootnoteText"/>
      </w:pPr>
      <w:r>
        <w:rPr>
          <w:rStyle w:val="FootnoteReference"/>
        </w:rPr>
        <w:footnoteRef/>
      </w:r>
      <w:r>
        <w:t xml:space="preserve"> </w:t>
      </w:r>
      <w:r w:rsidRPr="00544DCA">
        <w:t>Kuefler 2001</w:t>
      </w:r>
      <w:r>
        <w:t>: 281</w:t>
      </w:r>
    </w:p>
  </w:footnote>
  <w:footnote w:id="35">
    <w:p w:rsidR="00D32B46" w:rsidRDefault="00D32B46">
      <w:pPr>
        <w:pStyle w:val="FootnoteText"/>
      </w:pPr>
      <w:r>
        <w:rPr>
          <w:rStyle w:val="FootnoteReference"/>
        </w:rPr>
        <w:footnoteRef/>
      </w:r>
      <w:r>
        <w:t xml:space="preserve"> </w:t>
      </w:r>
      <w:proofErr w:type="spellStart"/>
      <w:r w:rsidRPr="00A12A19">
        <w:t>Turcan</w:t>
      </w:r>
      <w:proofErr w:type="spellEnd"/>
      <w:r w:rsidRPr="00A12A19">
        <w:t xml:space="preserve"> 1996</w:t>
      </w:r>
      <w:r>
        <w:t>: 37</w:t>
      </w:r>
    </w:p>
  </w:footnote>
  <w:footnote w:id="36">
    <w:p w:rsidR="00D32B46" w:rsidRDefault="00D32B46">
      <w:pPr>
        <w:pStyle w:val="FootnoteText"/>
      </w:pPr>
      <w:r>
        <w:rPr>
          <w:rStyle w:val="FootnoteReference"/>
        </w:rPr>
        <w:footnoteRef/>
      </w:r>
      <w:r>
        <w:t xml:space="preserve"> </w:t>
      </w:r>
      <w:r w:rsidRPr="00096816">
        <w:t>Kuefler 2001</w:t>
      </w:r>
      <w:r>
        <w:t>: 253</w:t>
      </w:r>
    </w:p>
  </w:footnote>
  <w:footnote w:id="37">
    <w:p w:rsidR="00D32B46" w:rsidRDefault="00D32B46">
      <w:pPr>
        <w:pStyle w:val="FootnoteText"/>
      </w:pPr>
      <w:r>
        <w:rPr>
          <w:rStyle w:val="FootnoteReference"/>
        </w:rPr>
        <w:footnoteRef/>
      </w:r>
      <w:r>
        <w:t xml:space="preserve"> </w:t>
      </w:r>
      <w:r w:rsidRPr="0002666A">
        <w:t>Olson 2014</w:t>
      </w:r>
      <w:r>
        <w:t>: 187-191</w:t>
      </w:r>
    </w:p>
  </w:footnote>
  <w:footnote w:id="38">
    <w:p w:rsidR="00D32B46" w:rsidRDefault="00D32B46">
      <w:pPr>
        <w:pStyle w:val="FootnoteText"/>
      </w:pPr>
      <w:r>
        <w:rPr>
          <w:rStyle w:val="FootnoteReference"/>
        </w:rPr>
        <w:footnoteRef/>
      </w:r>
      <w:r>
        <w:t xml:space="preserve"> </w:t>
      </w:r>
      <w:proofErr w:type="spellStart"/>
      <w:r w:rsidRPr="0002666A">
        <w:t>Verg</w:t>
      </w:r>
      <w:proofErr w:type="spellEnd"/>
      <w:r w:rsidRPr="0002666A">
        <w:t xml:space="preserve">. </w:t>
      </w:r>
      <w:r w:rsidRPr="0002666A">
        <w:rPr>
          <w:i/>
        </w:rPr>
        <w:t>A</w:t>
      </w:r>
      <w:r w:rsidRPr="0002666A">
        <w:t>. 9.614-20</w:t>
      </w:r>
    </w:p>
  </w:footnote>
  <w:footnote w:id="39">
    <w:p w:rsidR="00D32B46" w:rsidRDefault="00D32B46">
      <w:pPr>
        <w:pStyle w:val="FootnoteText"/>
      </w:pPr>
      <w:r>
        <w:rPr>
          <w:rStyle w:val="FootnoteReference"/>
        </w:rPr>
        <w:footnoteRef/>
      </w:r>
      <w:r>
        <w:t xml:space="preserve"> </w:t>
      </w:r>
      <w:r w:rsidRPr="0002666A">
        <w:t>Olson 2014</w:t>
      </w:r>
      <w:r>
        <w:t>: 192-193</w:t>
      </w:r>
    </w:p>
  </w:footnote>
  <w:footnote w:id="40">
    <w:p w:rsidR="00D32B46" w:rsidRDefault="00D32B46">
      <w:pPr>
        <w:pStyle w:val="FootnoteText"/>
      </w:pPr>
      <w:r>
        <w:rPr>
          <w:rStyle w:val="FootnoteReference"/>
        </w:rPr>
        <w:footnoteRef/>
      </w:r>
      <w:r>
        <w:t xml:space="preserve"> </w:t>
      </w:r>
      <w:r w:rsidRPr="00916731">
        <w:t>Olson 2014</w:t>
      </w:r>
      <w:r>
        <w:t>: 190</w:t>
      </w:r>
    </w:p>
  </w:footnote>
  <w:footnote w:id="41">
    <w:p w:rsidR="00D32B46" w:rsidRDefault="00D32B46">
      <w:pPr>
        <w:pStyle w:val="FootnoteText"/>
      </w:pPr>
      <w:r>
        <w:rPr>
          <w:rStyle w:val="FootnoteReference"/>
        </w:rPr>
        <w:footnoteRef/>
      </w:r>
      <w:r>
        <w:t xml:space="preserve"> </w:t>
      </w:r>
      <w:r w:rsidRPr="00115850">
        <w:t>Kuefler 2001:</w:t>
      </w:r>
      <w:r>
        <w:t xml:space="preserve"> 252</w:t>
      </w:r>
    </w:p>
  </w:footnote>
  <w:footnote w:id="42">
    <w:p w:rsidR="00D32B46" w:rsidRDefault="00D32B46">
      <w:pPr>
        <w:pStyle w:val="FootnoteText"/>
      </w:pPr>
      <w:r>
        <w:rPr>
          <w:rStyle w:val="FootnoteReference"/>
        </w:rPr>
        <w:footnoteRef/>
      </w:r>
      <w:r>
        <w:t xml:space="preserve"> </w:t>
      </w:r>
      <w:r w:rsidRPr="00115850">
        <w:t>Kuefler 2001</w:t>
      </w:r>
      <w:r>
        <w:t>: 150-153</w:t>
      </w:r>
    </w:p>
  </w:footnote>
  <w:footnote w:id="43">
    <w:p w:rsidR="00D32B46" w:rsidRDefault="00D32B46">
      <w:pPr>
        <w:pStyle w:val="FootnoteText"/>
      </w:pPr>
      <w:r>
        <w:rPr>
          <w:rStyle w:val="FootnoteReference"/>
        </w:rPr>
        <w:footnoteRef/>
      </w:r>
      <w:r>
        <w:t xml:space="preserve"> </w:t>
      </w:r>
      <w:proofErr w:type="spellStart"/>
      <w:r>
        <w:t>Catul</w:t>
      </w:r>
      <w:proofErr w:type="spellEnd"/>
      <w:r>
        <w:t>. LXIII. 7</w:t>
      </w:r>
    </w:p>
  </w:footnote>
  <w:footnote w:id="44">
    <w:p w:rsidR="00D32B46" w:rsidRDefault="00D32B46">
      <w:pPr>
        <w:pStyle w:val="FootnoteText"/>
      </w:pPr>
      <w:r>
        <w:rPr>
          <w:rStyle w:val="FootnoteReference"/>
        </w:rPr>
        <w:footnoteRef/>
      </w:r>
      <w:r>
        <w:t xml:space="preserve"> </w:t>
      </w:r>
      <w:r w:rsidRPr="00A05F27">
        <w:t>Olson</w:t>
      </w:r>
      <w:r>
        <w:t xml:space="preserve"> 2014: 184 </w:t>
      </w:r>
    </w:p>
  </w:footnote>
  <w:footnote w:id="45">
    <w:p w:rsidR="00D32B46" w:rsidRDefault="00D32B46">
      <w:pPr>
        <w:pStyle w:val="FootnoteText"/>
      </w:pPr>
      <w:r>
        <w:rPr>
          <w:rStyle w:val="FootnoteReference"/>
        </w:rPr>
        <w:footnoteRef/>
      </w:r>
      <w:r>
        <w:t xml:space="preserve"> Kuefler 2001: 250-251</w:t>
      </w:r>
    </w:p>
  </w:footnote>
  <w:footnote w:id="46">
    <w:p w:rsidR="00D32B46" w:rsidRDefault="00D32B46">
      <w:pPr>
        <w:pStyle w:val="FootnoteText"/>
      </w:pPr>
      <w:r>
        <w:rPr>
          <w:rStyle w:val="FootnoteReference"/>
        </w:rPr>
        <w:footnoteRef/>
      </w:r>
      <w:r>
        <w:t xml:space="preserve"> Williams 1990: 177</w:t>
      </w:r>
    </w:p>
  </w:footnote>
  <w:footnote w:id="47">
    <w:p w:rsidR="00D32B46" w:rsidRDefault="00D32B46">
      <w:pPr>
        <w:pStyle w:val="FootnoteText"/>
      </w:pPr>
      <w:r>
        <w:rPr>
          <w:rStyle w:val="FootnoteReference"/>
        </w:rPr>
        <w:footnoteRef/>
      </w:r>
      <w:r>
        <w:t xml:space="preserve"> </w:t>
      </w:r>
      <w:r w:rsidRPr="00D21F68">
        <w:t>Kuefler 2001:</w:t>
      </w:r>
      <w:r>
        <w:t xml:space="preserve"> 88</w:t>
      </w:r>
    </w:p>
  </w:footnote>
  <w:footnote w:id="48">
    <w:p w:rsidR="00D32B46" w:rsidRDefault="00D32B46">
      <w:pPr>
        <w:pStyle w:val="FootnoteText"/>
      </w:pPr>
      <w:r>
        <w:rPr>
          <w:rStyle w:val="FootnoteReference"/>
        </w:rPr>
        <w:footnoteRef/>
      </w:r>
      <w:r>
        <w:t xml:space="preserve"> </w:t>
      </w:r>
      <w:r w:rsidRPr="006C5D85">
        <w:t>Olson 2014</w:t>
      </w:r>
      <w:r>
        <w:t>: 188</w:t>
      </w:r>
    </w:p>
  </w:footnote>
  <w:footnote w:id="49">
    <w:p w:rsidR="00D32B46" w:rsidRDefault="00D32B46">
      <w:pPr>
        <w:pStyle w:val="FootnoteText"/>
      </w:pPr>
      <w:r>
        <w:rPr>
          <w:rStyle w:val="FootnoteReference"/>
        </w:rPr>
        <w:footnoteRef/>
      </w:r>
      <w:r>
        <w:t xml:space="preserve"> </w:t>
      </w:r>
      <w:r w:rsidRPr="002D2B14">
        <w:t>Williams 1990:</w:t>
      </w:r>
      <w:r>
        <w:t xml:space="preserve"> 224</w:t>
      </w:r>
    </w:p>
  </w:footnote>
  <w:footnote w:id="50">
    <w:p w:rsidR="00D32B46" w:rsidRDefault="00D32B46">
      <w:pPr>
        <w:pStyle w:val="FootnoteText"/>
      </w:pPr>
      <w:r>
        <w:rPr>
          <w:rStyle w:val="FootnoteReference"/>
        </w:rPr>
        <w:footnoteRef/>
      </w:r>
      <w:r>
        <w:t xml:space="preserve"> Williams 1990: 128</w:t>
      </w:r>
    </w:p>
  </w:footnote>
  <w:footnote w:id="51">
    <w:p w:rsidR="00D32B46" w:rsidRDefault="00D32B46">
      <w:pPr>
        <w:pStyle w:val="FootnoteText"/>
      </w:pPr>
      <w:r>
        <w:rPr>
          <w:rStyle w:val="FootnoteReference"/>
        </w:rPr>
        <w:footnoteRef/>
      </w:r>
      <w:r>
        <w:t xml:space="preserve"> </w:t>
      </w:r>
      <w:r w:rsidRPr="00D32B46">
        <w:t>Mart. 3.81</w:t>
      </w:r>
    </w:p>
  </w:footnote>
  <w:footnote w:id="52">
    <w:p w:rsidR="00D32B46" w:rsidRDefault="00D32B46">
      <w:pPr>
        <w:pStyle w:val="FootnoteText"/>
      </w:pPr>
      <w:r>
        <w:rPr>
          <w:rStyle w:val="FootnoteReference"/>
        </w:rPr>
        <w:footnoteRef/>
      </w:r>
      <w:r>
        <w:t xml:space="preserve"> </w:t>
      </w:r>
      <w:r w:rsidR="00A80AEC">
        <w:t>Beard</w:t>
      </w:r>
      <w:r w:rsidR="00A80AEC" w:rsidRPr="00A80AEC">
        <w:t xml:space="preserve"> </w:t>
      </w:r>
      <w:r w:rsidR="00A80AEC">
        <w:t>2012: 344</w:t>
      </w:r>
    </w:p>
  </w:footnote>
  <w:footnote w:id="53">
    <w:p w:rsidR="00EB7A09" w:rsidRDefault="00EB7A09">
      <w:pPr>
        <w:pStyle w:val="FootnoteText"/>
      </w:pPr>
      <w:r>
        <w:rPr>
          <w:rStyle w:val="FootnoteReference"/>
        </w:rPr>
        <w:footnoteRef/>
      </w:r>
      <w:r>
        <w:t xml:space="preserve"> </w:t>
      </w:r>
      <w:r w:rsidRPr="00EB7A09">
        <w:t>Beard 2012: 344</w:t>
      </w:r>
    </w:p>
  </w:footnote>
  <w:footnote w:id="54">
    <w:p w:rsidR="00B059EC" w:rsidRDefault="00B059EC">
      <w:pPr>
        <w:pStyle w:val="FootnoteText"/>
      </w:pPr>
      <w:r>
        <w:rPr>
          <w:rStyle w:val="FootnoteReference"/>
        </w:rPr>
        <w:footnoteRef/>
      </w:r>
      <w:r>
        <w:t xml:space="preserve"> Sawyer 1996: 124</w:t>
      </w:r>
    </w:p>
  </w:footnote>
  <w:footnote w:id="55">
    <w:p w:rsidR="005D7FB0" w:rsidRDefault="005D7FB0">
      <w:pPr>
        <w:pStyle w:val="FootnoteText"/>
      </w:pPr>
      <w:r>
        <w:rPr>
          <w:rStyle w:val="FootnoteReference"/>
        </w:rPr>
        <w:footnoteRef/>
      </w:r>
      <w:r>
        <w:t xml:space="preserve"> Sawyer 1996: 124</w:t>
      </w:r>
    </w:p>
  </w:footnote>
  <w:footnote w:id="56">
    <w:p w:rsidR="00A8337C" w:rsidRDefault="00A8337C">
      <w:pPr>
        <w:pStyle w:val="FootnoteText"/>
      </w:pPr>
      <w:r>
        <w:rPr>
          <w:rStyle w:val="FootnoteReference"/>
        </w:rPr>
        <w:footnoteRef/>
      </w:r>
      <w:r>
        <w:t xml:space="preserve"> Sawyer 1996: 122 </w:t>
      </w:r>
    </w:p>
  </w:footnote>
  <w:footnote w:id="57">
    <w:p w:rsidR="00385043" w:rsidRDefault="00385043">
      <w:pPr>
        <w:pStyle w:val="FootnoteText"/>
      </w:pPr>
      <w:r>
        <w:rPr>
          <w:rStyle w:val="FootnoteReference"/>
        </w:rPr>
        <w:footnoteRef/>
      </w:r>
      <w:r>
        <w:t xml:space="preserve"> Sawyer 1996: 123</w:t>
      </w:r>
    </w:p>
  </w:footnote>
  <w:footnote w:id="58">
    <w:p w:rsidR="00385043" w:rsidRDefault="00385043" w:rsidP="00385043">
      <w:pPr>
        <w:pStyle w:val="FootnoteText"/>
      </w:pPr>
      <w:r>
        <w:rPr>
          <w:rStyle w:val="FootnoteReference"/>
        </w:rPr>
        <w:footnoteRef/>
      </w:r>
      <w:r>
        <w:t xml:space="preserve"> Sawyer 1996: 122-124</w:t>
      </w:r>
    </w:p>
  </w:footnote>
  <w:footnote w:id="59">
    <w:p w:rsidR="001E52B6" w:rsidRDefault="001E52B6">
      <w:pPr>
        <w:pStyle w:val="FootnoteText"/>
      </w:pPr>
      <w:r>
        <w:rPr>
          <w:rStyle w:val="FootnoteReference"/>
        </w:rPr>
        <w:footnoteRef/>
      </w:r>
      <w:r>
        <w:t xml:space="preserve"> Beard, North and Price 1998: 51</w:t>
      </w:r>
    </w:p>
  </w:footnote>
  <w:footnote w:id="60">
    <w:p w:rsidR="005C76EF" w:rsidRDefault="005C76EF">
      <w:pPr>
        <w:pStyle w:val="FootnoteText"/>
      </w:pPr>
      <w:r>
        <w:rPr>
          <w:rStyle w:val="FootnoteReference"/>
        </w:rPr>
        <w:footnoteRef/>
      </w:r>
      <w:r>
        <w:t xml:space="preserve"> Sawyer 1996: 129</w:t>
      </w:r>
    </w:p>
  </w:footnote>
  <w:footnote w:id="61">
    <w:p w:rsidR="005C76EF" w:rsidRDefault="005C76EF">
      <w:pPr>
        <w:pStyle w:val="FootnoteText"/>
      </w:pPr>
      <w:r>
        <w:rPr>
          <w:rStyle w:val="FootnoteReference"/>
        </w:rPr>
        <w:footnoteRef/>
      </w:r>
      <w:r>
        <w:t xml:space="preserve"> Sawyer 1996: 127</w:t>
      </w:r>
    </w:p>
  </w:footnote>
  <w:footnote w:id="62">
    <w:p w:rsidR="004746A0" w:rsidRDefault="004746A0">
      <w:pPr>
        <w:pStyle w:val="FootnoteText"/>
      </w:pPr>
      <w:r>
        <w:rPr>
          <w:rStyle w:val="FootnoteReference"/>
        </w:rPr>
        <w:footnoteRef/>
      </w:r>
      <w:r>
        <w:t xml:space="preserve"> </w:t>
      </w:r>
      <w:r w:rsidR="00D576A5">
        <w:t>Sawyer 1996: 128</w:t>
      </w:r>
    </w:p>
  </w:footnote>
  <w:footnote w:id="63">
    <w:p w:rsidR="00100D28" w:rsidRDefault="00100D28" w:rsidP="00100D28">
      <w:pPr>
        <w:pStyle w:val="FootnoteText"/>
      </w:pPr>
      <w:r>
        <w:rPr>
          <w:rStyle w:val="FootnoteReference"/>
        </w:rPr>
        <w:footnoteRef/>
      </w:r>
      <w:r>
        <w:t xml:space="preserve"> Beard 2012: 349</w:t>
      </w:r>
    </w:p>
  </w:footnote>
  <w:footnote w:id="64">
    <w:p w:rsidR="00522470" w:rsidRDefault="00522470">
      <w:pPr>
        <w:pStyle w:val="FootnoteText"/>
      </w:pPr>
      <w:r>
        <w:rPr>
          <w:rStyle w:val="FootnoteReference"/>
        </w:rPr>
        <w:footnoteRef/>
      </w:r>
      <w:r>
        <w:t xml:space="preserve"> </w:t>
      </w:r>
      <w:r w:rsidRPr="00522470">
        <w:t>Kuefler 2001: 254</w:t>
      </w:r>
    </w:p>
  </w:footnote>
  <w:footnote w:id="65">
    <w:p w:rsidR="00F0370A" w:rsidRDefault="00F0370A">
      <w:pPr>
        <w:pStyle w:val="FootnoteText"/>
      </w:pPr>
      <w:r>
        <w:rPr>
          <w:rStyle w:val="FootnoteReference"/>
        </w:rPr>
        <w:footnoteRef/>
      </w:r>
      <w:r>
        <w:t xml:space="preserve"> </w:t>
      </w:r>
      <w:r w:rsidRPr="00522470">
        <w:t>Kuefler 2001</w:t>
      </w:r>
      <w:r>
        <w:t>: 297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C53"/>
    <w:rsid w:val="0002666A"/>
    <w:rsid w:val="00062268"/>
    <w:rsid w:val="00096816"/>
    <w:rsid w:val="000A31D1"/>
    <w:rsid w:val="000C586A"/>
    <w:rsid w:val="000E22CD"/>
    <w:rsid w:val="00100D28"/>
    <w:rsid w:val="00110B4E"/>
    <w:rsid w:val="00115850"/>
    <w:rsid w:val="00136874"/>
    <w:rsid w:val="0015471C"/>
    <w:rsid w:val="00156AAB"/>
    <w:rsid w:val="001A15D9"/>
    <w:rsid w:val="001A4E5B"/>
    <w:rsid w:val="001D1359"/>
    <w:rsid w:val="001E52B6"/>
    <w:rsid w:val="00203BC4"/>
    <w:rsid w:val="0022344D"/>
    <w:rsid w:val="002733A6"/>
    <w:rsid w:val="00276C4F"/>
    <w:rsid w:val="002D01EE"/>
    <w:rsid w:val="002D2B14"/>
    <w:rsid w:val="002F4AB3"/>
    <w:rsid w:val="00321634"/>
    <w:rsid w:val="00385043"/>
    <w:rsid w:val="00385D7C"/>
    <w:rsid w:val="003A579E"/>
    <w:rsid w:val="003A77BC"/>
    <w:rsid w:val="003E15C0"/>
    <w:rsid w:val="00415C53"/>
    <w:rsid w:val="0043578F"/>
    <w:rsid w:val="004746A0"/>
    <w:rsid w:val="00492240"/>
    <w:rsid w:val="004A12DE"/>
    <w:rsid w:val="004A2AD3"/>
    <w:rsid w:val="004E5FC4"/>
    <w:rsid w:val="004F3690"/>
    <w:rsid w:val="00522470"/>
    <w:rsid w:val="00544DCA"/>
    <w:rsid w:val="005723B2"/>
    <w:rsid w:val="00572720"/>
    <w:rsid w:val="00583496"/>
    <w:rsid w:val="005C76EF"/>
    <w:rsid w:val="005D7FB0"/>
    <w:rsid w:val="005F1C73"/>
    <w:rsid w:val="005F2D13"/>
    <w:rsid w:val="006111D1"/>
    <w:rsid w:val="006230E7"/>
    <w:rsid w:val="006437A7"/>
    <w:rsid w:val="00653F11"/>
    <w:rsid w:val="00656E27"/>
    <w:rsid w:val="00672F1A"/>
    <w:rsid w:val="00680126"/>
    <w:rsid w:val="00682C37"/>
    <w:rsid w:val="00690E75"/>
    <w:rsid w:val="006A6C8E"/>
    <w:rsid w:val="006B5456"/>
    <w:rsid w:val="006C5D85"/>
    <w:rsid w:val="0070452E"/>
    <w:rsid w:val="00712DB4"/>
    <w:rsid w:val="007158D4"/>
    <w:rsid w:val="00716A4A"/>
    <w:rsid w:val="007445F0"/>
    <w:rsid w:val="00771F19"/>
    <w:rsid w:val="00777B89"/>
    <w:rsid w:val="00794C03"/>
    <w:rsid w:val="007A4FB1"/>
    <w:rsid w:val="007B3223"/>
    <w:rsid w:val="00835183"/>
    <w:rsid w:val="008438D3"/>
    <w:rsid w:val="008567F1"/>
    <w:rsid w:val="00864C86"/>
    <w:rsid w:val="008B7E1F"/>
    <w:rsid w:val="008C58EF"/>
    <w:rsid w:val="008D63A7"/>
    <w:rsid w:val="008D7E54"/>
    <w:rsid w:val="008E2000"/>
    <w:rsid w:val="00916731"/>
    <w:rsid w:val="00922C8B"/>
    <w:rsid w:val="00941CC0"/>
    <w:rsid w:val="009A7F87"/>
    <w:rsid w:val="009B524E"/>
    <w:rsid w:val="009C0E4E"/>
    <w:rsid w:val="009D5886"/>
    <w:rsid w:val="009D6A0C"/>
    <w:rsid w:val="009E3E15"/>
    <w:rsid w:val="009E711D"/>
    <w:rsid w:val="009F032C"/>
    <w:rsid w:val="009F7CEF"/>
    <w:rsid w:val="00A05F27"/>
    <w:rsid w:val="00A12A19"/>
    <w:rsid w:val="00A25489"/>
    <w:rsid w:val="00A305D1"/>
    <w:rsid w:val="00A35E08"/>
    <w:rsid w:val="00A568B0"/>
    <w:rsid w:val="00A605C1"/>
    <w:rsid w:val="00A80AEC"/>
    <w:rsid w:val="00A8337C"/>
    <w:rsid w:val="00AC7DDA"/>
    <w:rsid w:val="00AD7629"/>
    <w:rsid w:val="00AD7BB6"/>
    <w:rsid w:val="00AE10A8"/>
    <w:rsid w:val="00B059EC"/>
    <w:rsid w:val="00B13F59"/>
    <w:rsid w:val="00B54472"/>
    <w:rsid w:val="00B909E1"/>
    <w:rsid w:val="00BD00B6"/>
    <w:rsid w:val="00BD3F9C"/>
    <w:rsid w:val="00BD635F"/>
    <w:rsid w:val="00C0302B"/>
    <w:rsid w:val="00C472CE"/>
    <w:rsid w:val="00C5094C"/>
    <w:rsid w:val="00C547DC"/>
    <w:rsid w:val="00CE0E1F"/>
    <w:rsid w:val="00CF158E"/>
    <w:rsid w:val="00D130CC"/>
    <w:rsid w:val="00D21F68"/>
    <w:rsid w:val="00D32B46"/>
    <w:rsid w:val="00D576A5"/>
    <w:rsid w:val="00D6616E"/>
    <w:rsid w:val="00D844A3"/>
    <w:rsid w:val="00DB1CB9"/>
    <w:rsid w:val="00DC6CC5"/>
    <w:rsid w:val="00DE7648"/>
    <w:rsid w:val="00E030C2"/>
    <w:rsid w:val="00EB0476"/>
    <w:rsid w:val="00EB0862"/>
    <w:rsid w:val="00EB7A09"/>
    <w:rsid w:val="00ED2DD8"/>
    <w:rsid w:val="00EE5F70"/>
    <w:rsid w:val="00EF4BF9"/>
    <w:rsid w:val="00F0370A"/>
    <w:rsid w:val="00F065ED"/>
    <w:rsid w:val="00F1315E"/>
    <w:rsid w:val="00F75375"/>
    <w:rsid w:val="00F7771B"/>
    <w:rsid w:val="00FE6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08151E-02FA-45DE-A05B-55CDBEB40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5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C53"/>
  </w:style>
  <w:style w:type="paragraph" w:styleId="Footer">
    <w:name w:val="footer"/>
    <w:basedOn w:val="Normal"/>
    <w:link w:val="FooterChar"/>
    <w:uiPriority w:val="99"/>
    <w:unhideWhenUsed/>
    <w:rsid w:val="00415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C53"/>
  </w:style>
  <w:style w:type="paragraph" w:styleId="FootnoteText">
    <w:name w:val="footnote text"/>
    <w:basedOn w:val="Normal"/>
    <w:link w:val="FootnoteTextChar"/>
    <w:uiPriority w:val="99"/>
    <w:semiHidden/>
    <w:unhideWhenUsed/>
    <w:rsid w:val="005723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23B2"/>
    <w:rPr>
      <w:sz w:val="20"/>
      <w:szCs w:val="20"/>
    </w:rPr>
  </w:style>
  <w:style w:type="character" w:styleId="FootnoteReference">
    <w:name w:val="footnote reference"/>
    <w:basedOn w:val="DefaultParagraphFont"/>
    <w:uiPriority w:val="99"/>
    <w:semiHidden/>
    <w:unhideWhenUsed/>
    <w:rsid w:val="005723B2"/>
    <w:rPr>
      <w:vertAlign w:val="superscript"/>
    </w:rPr>
  </w:style>
  <w:style w:type="character" w:customStyle="1" w:styleId="authors">
    <w:name w:val="authors"/>
    <w:basedOn w:val="DefaultParagraphFont"/>
    <w:rsid w:val="00EF4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F80CD-9A4F-41DF-B4F4-B694A7B67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1226</TotalTime>
  <Pages>7</Pages>
  <Words>2774</Words>
  <Characters>15816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Archer</dc:creator>
  <cp:keywords/>
  <dc:description/>
  <cp:lastModifiedBy>Stacy Archer</cp:lastModifiedBy>
  <cp:revision>145</cp:revision>
  <dcterms:created xsi:type="dcterms:W3CDTF">2017-12-02T16:30:00Z</dcterms:created>
  <dcterms:modified xsi:type="dcterms:W3CDTF">2017-12-07T16:53:00Z</dcterms:modified>
</cp:coreProperties>
</file>