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269FD" w14:textId="49119E7E" w:rsidR="0099662C" w:rsidRPr="00607BCD" w:rsidRDefault="007F0A07" w:rsidP="00607BCD">
      <w:pPr>
        <w:pStyle w:val="NormalWeb"/>
        <w:jc w:val="center"/>
        <w:rPr>
          <w:rFonts w:asciiTheme="majorHAnsi" w:hAnsiTheme="majorHAnsi"/>
          <w:b/>
          <w:bCs/>
          <w:color w:val="000000"/>
          <w:sz w:val="32"/>
          <w:szCs w:val="32"/>
          <w:u w:val="single"/>
        </w:rPr>
      </w:pPr>
      <w:r w:rsidRPr="00607BCD">
        <w:rPr>
          <w:rFonts w:asciiTheme="majorHAnsi" w:hAnsiTheme="majorHAnsi"/>
          <w:b/>
          <w:bCs/>
          <w:color w:val="000000"/>
          <w:sz w:val="32"/>
          <w:szCs w:val="32"/>
          <w:u w:val="single"/>
        </w:rPr>
        <w:t>Critical</w:t>
      </w:r>
      <w:r w:rsidR="009D3382">
        <w:rPr>
          <w:rFonts w:asciiTheme="majorHAnsi" w:hAnsiTheme="majorHAnsi"/>
          <w:b/>
          <w:bCs/>
          <w:color w:val="000000"/>
          <w:sz w:val="32"/>
          <w:szCs w:val="32"/>
          <w:u w:val="single"/>
        </w:rPr>
        <w:t xml:space="preserve"> Reflection </w:t>
      </w:r>
      <w:proofErr w:type="gramStart"/>
      <w:r w:rsidR="009D3382">
        <w:rPr>
          <w:rFonts w:asciiTheme="majorHAnsi" w:hAnsiTheme="majorHAnsi"/>
          <w:b/>
          <w:bCs/>
          <w:color w:val="000000"/>
          <w:sz w:val="32"/>
          <w:szCs w:val="32"/>
          <w:u w:val="single"/>
        </w:rPr>
        <w:t>On</w:t>
      </w:r>
      <w:proofErr w:type="gramEnd"/>
      <w:r w:rsidR="009D3382">
        <w:rPr>
          <w:rFonts w:asciiTheme="majorHAnsi" w:hAnsiTheme="majorHAnsi"/>
          <w:b/>
          <w:bCs/>
          <w:color w:val="000000"/>
          <w:sz w:val="32"/>
          <w:szCs w:val="32"/>
          <w:u w:val="single"/>
        </w:rPr>
        <w:t xml:space="preserve"> </w:t>
      </w:r>
      <w:r w:rsidRPr="00607BCD">
        <w:rPr>
          <w:rFonts w:asciiTheme="majorHAnsi" w:hAnsiTheme="majorHAnsi"/>
          <w:b/>
          <w:bCs/>
          <w:color w:val="000000"/>
          <w:sz w:val="32"/>
          <w:szCs w:val="32"/>
          <w:u w:val="single"/>
        </w:rPr>
        <w:t>Quality Assurance Beyond Statutory Requirements in Early Years Settings</w:t>
      </w:r>
      <w:r w:rsidR="00607BCD" w:rsidRPr="00607BCD">
        <w:rPr>
          <w:rFonts w:asciiTheme="majorHAnsi" w:hAnsiTheme="majorHAnsi"/>
          <w:b/>
          <w:bCs/>
          <w:color w:val="000000"/>
          <w:sz w:val="32"/>
          <w:szCs w:val="32"/>
          <w:u w:val="single"/>
        </w:rPr>
        <w:t>.</w:t>
      </w:r>
    </w:p>
    <w:p w14:paraId="5FE5AC29" w14:textId="75131AA0" w:rsidR="0099662C" w:rsidRPr="00F4283C" w:rsidRDefault="0099662C" w:rsidP="00607BCD">
      <w:pPr>
        <w:pStyle w:val="NormalWeb"/>
        <w:spacing w:line="360" w:lineRule="auto"/>
        <w:rPr>
          <w:rFonts w:asciiTheme="minorHAnsi" w:hAnsiTheme="minorHAnsi"/>
          <w:color w:val="000000"/>
          <w:sz w:val="28"/>
          <w:szCs w:val="28"/>
          <w:u w:val="single"/>
        </w:rPr>
      </w:pPr>
      <w:r w:rsidRPr="00F4283C">
        <w:rPr>
          <w:rFonts w:asciiTheme="minorHAnsi" w:hAnsiTheme="minorHAnsi"/>
          <w:color w:val="000000"/>
          <w:sz w:val="28"/>
          <w:szCs w:val="28"/>
          <w:u w:val="single"/>
        </w:rPr>
        <w:t>Introduction</w:t>
      </w:r>
    </w:p>
    <w:p w14:paraId="6EBA120F" w14:textId="4B318E7A"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 xml:space="preserve">Early childhood education and care (ECEC) quality is a complex topic that is influenced by professional values, research, and legislation. It encompasses </w:t>
      </w:r>
      <w:r w:rsidR="00607BCD" w:rsidRPr="00F4283C">
        <w:rPr>
          <w:rFonts w:asciiTheme="minorHAnsi" w:hAnsiTheme="minorHAnsi"/>
          <w:color w:val="000000"/>
        </w:rPr>
        <w:t>children</w:t>
      </w:r>
      <w:r w:rsidR="00607BCD">
        <w:rPr>
          <w:rFonts w:asciiTheme="minorHAnsi" w:hAnsiTheme="minorHAnsi"/>
          <w:color w:val="000000"/>
        </w:rPr>
        <w:t>’s</w:t>
      </w:r>
      <w:r w:rsidRPr="00F4283C">
        <w:rPr>
          <w:rFonts w:asciiTheme="minorHAnsi" w:hAnsiTheme="minorHAnsi"/>
          <w:color w:val="000000"/>
        </w:rPr>
        <w:t xml:space="preserve"> experiences, such as the quality of relationships, emotional well-being, and learning opportunities, and goes beyond quantifiable structural indicators, including staff credentials and ratios (Sylva et al., 2018; Slot, 2018). Even if statutory organisations such as Ofsted and Care Inspectorate Wales set basic requirements through regulation and inspection, these frameworks alone are not enough to guarantee consistently high-quality service (Ofsted, 2023; OECD, 2020).</w:t>
      </w:r>
    </w:p>
    <w:p w14:paraId="7353B664" w14:textId="21EA6F1A"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 xml:space="preserve">Early childhood research has demonstrated the significance of quality. Improved cognitive, social, and emotional outcomes are closely linked to high-quality care, especially for children from disadvantaged homes (Melhuish et al., 2015; OECD, 2022; Anders, 2015). The quality of early education has long-term effects on achievement and life opportunities, according to studies like the Effective Provision of Pre-School Education (EPPE) and the Study of Early Education and Development (SEED) (Department for Education, 2021; Sylva et al., 2018; Pascal et al., 2019). This shows that access to high-quality early childhood services is not only beneficial but also necessary </w:t>
      </w:r>
      <w:r w:rsidRPr="00F4283C">
        <w:rPr>
          <w:rFonts w:asciiTheme="minorHAnsi" w:hAnsiTheme="minorHAnsi"/>
          <w:color w:val="000000"/>
        </w:rPr>
        <w:t>to</w:t>
      </w:r>
      <w:r w:rsidRPr="00F4283C">
        <w:rPr>
          <w:rFonts w:asciiTheme="minorHAnsi" w:hAnsiTheme="minorHAnsi"/>
          <w:color w:val="000000"/>
        </w:rPr>
        <w:t xml:space="preserve"> advanc</w:t>
      </w:r>
      <w:r w:rsidRPr="00F4283C">
        <w:rPr>
          <w:rFonts w:asciiTheme="minorHAnsi" w:hAnsiTheme="minorHAnsi"/>
          <w:color w:val="000000"/>
        </w:rPr>
        <w:t>e</w:t>
      </w:r>
      <w:r w:rsidRPr="00F4283C">
        <w:rPr>
          <w:rFonts w:asciiTheme="minorHAnsi" w:hAnsiTheme="minorHAnsi"/>
          <w:color w:val="000000"/>
        </w:rPr>
        <w:t xml:space="preserve"> fairness and foster children's growth.</w:t>
      </w:r>
    </w:p>
    <w:p w14:paraId="4066DE2B" w14:textId="378FB8AF" w:rsidR="0099662C" w:rsidRPr="00000B11"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However, statutory inspection systems typically place more emphasis on accountability and compliance than on ongoing development. Periodic inspections might not adequately reflect children's daily experiences or the changing nature of practice (OECD, 2020; Ball, 2013). As a result, more quality assurance techniques that provide continuous introspection and improvement are required. The Early Childhood Environment Rating Scale (ECERS) and the National Day Nurseries Association (NDNA) Quality Counts scheme are two such techniques that are examined critically in this essay. It considers the role of leadership in integrating various techniques and assesses their efficacy in fostering excellence beyond legal standards.</w:t>
      </w:r>
    </w:p>
    <w:p w14:paraId="4565FFB2" w14:textId="33A3DF22" w:rsidR="0099662C" w:rsidRPr="00F4283C" w:rsidRDefault="0099662C" w:rsidP="00607BCD">
      <w:pPr>
        <w:pStyle w:val="Heading3"/>
        <w:spacing w:line="360" w:lineRule="auto"/>
        <w:rPr>
          <w:rFonts w:asciiTheme="minorHAnsi" w:hAnsiTheme="minorHAnsi"/>
          <w:color w:val="000000"/>
          <w:u w:val="single"/>
        </w:rPr>
      </w:pPr>
      <w:r w:rsidRPr="00F4283C">
        <w:rPr>
          <w:rFonts w:asciiTheme="minorHAnsi" w:hAnsiTheme="minorHAnsi"/>
          <w:color w:val="000000"/>
          <w:u w:val="single"/>
        </w:rPr>
        <w:lastRenderedPageBreak/>
        <w:t>Quality in Early Years</w:t>
      </w:r>
    </w:p>
    <w:p w14:paraId="750F34F7"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Quality in early childhood education is not simply defined and is shaped by cultural, political, and theoretical viewpoints. Moss (2016) and Dahlberg (2013) argue that quality is a socially created concept influenced by attitudes and beliefs about children and education. This calls into question the notion that standardised metrics can fully capture quality and emphasises the significance of critical reflection when evaluating quality assurance instruments (Urban et al., 2019; Penn, 2011).</w:t>
      </w:r>
    </w:p>
    <w:p w14:paraId="636FD7BF" w14:textId="0DCF69C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Quality can also be understood through a systems perspective, where it is not located solely within individual settings but across interconnected structures, including workforce conditions, governance, and policy frameworks (Urban et al., 2019). This broader view highlights that quality is influenced by factors beyond practitioners’ immediate control, such as funding constraints and workforce stability. Consequently, attempts to measure quality through isolated tools may overlook the systemic conditions that shape practice</w:t>
      </w:r>
      <w:r w:rsidR="00415A5A">
        <w:rPr>
          <w:rFonts w:asciiTheme="minorHAnsi" w:hAnsiTheme="minorHAnsi"/>
          <w:color w:val="000000"/>
        </w:rPr>
        <w:t xml:space="preserve"> (Urban et al,2019).</w:t>
      </w:r>
    </w:p>
    <w:p w14:paraId="54B4A981" w14:textId="6AE9556F"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 xml:space="preserve">Furthermore, there is increasing recognition that quality should be viewed from the perspective of children themselves. Traditional measures often prioritise adult-defined outcomes, whereas approaches such as the Mosaic method emphasise </w:t>
      </w:r>
      <w:proofErr w:type="gramStart"/>
      <w:r w:rsidR="00607BCD" w:rsidRPr="00F4283C">
        <w:rPr>
          <w:rFonts w:asciiTheme="minorHAnsi" w:hAnsiTheme="minorHAnsi"/>
          <w:color w:val="000000"/>
        </w:rPr>
        <w:t>children</w:t>
      </w:r>
      <w:r w:rsidR="00680BF4">
        <w:rPr>
          <w:rFonts w:asciiTheme="minorHAnsi" w:hAnsiTheme="minorHAnsi"/>
          <w:color w:val="000000"/>
        </w:rPr>
        <w:t>’s</w:t>
      </w:r>
      <w:proofErr w:type="gramEnd"/>
      <w:r w:rsidRPr="00F4283C">
        <w:rPr>
          <w:rFonts w:asciiTheme="minorHAnsi" w:hAnsiTheme="minorHAnsi"/>
          <w:color w:val="000000"/>
        </w:rPr>
        <w:t xml:space="preserve"> lived experiences and participation (Clark, 2017). This raises important questions about whose voices are privileged in quality assurance processes and whether current approaches adequately reflect children’s rights and agency.</w:t>
      </w:r>
    </w:p>
    <w:p w14:paraId="31D7A204"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Regardless of these arguments, there is widespread consensus that quality is critical for children's development. Research repeatedly shows that process quality, particularly the quality of adult-child interactions, is the most important element impacting outcomes (Siraj et al., 2015; Slot, 2018; Hamre et al., 2014; Pianta et al., 2016). Sustained shared thinking, emotional support, and responsive pedagogy are essential components of good early years practice.</w:t>
      </w:r>
    </w:p>
    <w:p w14:paraId="386F395D" w14:textId="4DDE934C"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 xml:space="preserve">Statutory frameworks frequently emphasise structural quality, such as regulatory compliance, which may fail to effectively capture relational characteristics. This </w:t>
      </w:r>
      <w:r w:rsidRPr="00F4283C">
        <w:rPr>
          <w:rFonts w:asciiTheme="minorHAnsi" w:hAnsiTheme="minorHAnsi"/>
          <w:color w:val="000000"/>
        </w:rPr>
        <w:lastRenderedPageBreak/>
        <w:t xml:space="preserve">creates a gap that other quality assurance methods attempt to fill. However, these strategies must be closely assessed to ensure that they </w:t>
      </w:r>
      <w:r w:rsidR="00607BCD" w:rsidRPr="00F4283C">
        <w:rPr>
          <w:rFonts w:asciiTheme="minorHAnsi" w:hAnsiTheme="minorHAnsi"/>
          <w:color w:val="000000"/>
        </w:rPr>
        <w:t>improve</w:t>
      </w:r>
      <w:r w:rsidRPr="00F4283C">
        <w:rPr>
          <w:rFonts w:asciiTheme="minorHAnsi" w:hAnsiTheme="minorHAnsi"/>
          <w:color w:val="000000"/>
        </w:rPr>
        <w:t xml:space="preserve"> practice rather than simply reinforcing compliance</w:t>
      </w:r>
      <w:r w:rsidR="00BB7070">
        <w:rPr>
          <w:rFonts w:asciiTheme="minorHAnsi" w:hAnsiTheme="minorHAnsi"/>
          <w:color w:val="000000"/>
        </w:rPr>
        <w:t xml:space="preserve"> (Planta et al,2016 and </w:t>
      </w:r>
      <w:r w:rsidR="001040EA">
        <w:rPr>
          <w:rFonts w:asciiTheme="minorHAnsi" w:hAnsiTheme="minorHAnsi"/>
          <w:color w:val="000000"/>
        </w:rPr>
        <w:t>Hamre et at,2014</w:t>
      </w:r>
      <w:r w:rsidR="00BB7070">
        <w:rPr>
          <w:rFonts w:asciiTheme="minorHAnsi" w:hAnsiTheme="minorHAnsi"/>
          <w:color w:val="000000"/>
        </w:rPr>
        <w:t>)</w:t>
      </w:r>
    </w:p>
    <w:p w14:paraId="1DF86A52" w14:textId="7300DFBE" w:rsidR="0099662C" w:rsidRPr="00F4283C" w:rsidRDefault="0099662C" w:rsidP="00607BCD">
      <w:pPr>
        <w:spacing w:line="360" w:lineRule="auto"/>
        <w:rPr>
          <w:rFonts w:asciiTheme="minorHAnsi" w:hAnsiTheme="minorHAnsi"/>
        </w:rPr>
      </w:pPr>
    </w:p>
    <w:p w14:paraId="5E1394D8" w14:textId="77777777" w:rsidR="0099662C" w:rsidRPr="00F4283C" w:rsidRDefault="0099662C" w:rsidP="00607BCD">
      <w:pPr>
        <w:pStyle w:val="Heading3"/>
        <w:spacing w:line="360" w:lineRule="auto"/>
        <w:rPr>
          <w:rFonts w:asciiTheme="minorHAnsi" w:hAnsiTheme="minorHAnsi"/>
          <w:color w:val="000000"/>
          <w:u w:val="single"/>
        </w:rPr>
      </w:pPr>
      <w:r w:rsidRPr="00F4283C">
        <w:rPr>
          <w:rFonts w:asciiTheme="minorHAnsi" w:hAnsiTheme="minorHAnsi"/>
          <w:color w:val="000000"/>
          <w:u w:val="single"/>
        </w:rPr>
        <w:t>Critical Analysis of ECERS</w:t>
      </w:r>
    </w:p>
    <w:p w14:paraId="30420021"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The Early Childhood Environment Rating Scale (ECERS) is a commonly used observational technique for evaluating the quality of early childhood settings. It assesses various dimensions, such as space, resources, interactions, and learning opportunities, and provides a formal framework for evaluating provision (Harms et al., 2015; Clifford et al., 2017).</w:t>
      </w:r>
    </w:p>
    <w:p w14:paraId="6F0BCDC6"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One of ECERS' main assets is its standardisation and objectivity. It allows settings to provide quantitative data that can be used to compare performance and highlight areas for improvement (Slot, 2018; Clifford et al., 2017). This is especially useful for leaders since it provides concrete evidence to help with decision-making and quality improvement measures.</w:t>
      </w:r>
    </w:p>
    <w:p w14:paraId="32E21253"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ECERS also agrees with studies that emphasise the relevance of process quality. The emphasis on interactions and learning experiences pushes practitioners to consider their teaching techniques (Siraj et al., 2015; Pianta et al., 2016). This can support targeted professional development, linking quality assurance to improved practice.</w:t>
      </w:r>
    </w:p>
    <w:p w14:paraId="25E5DB7C"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However, ECERS takes a scientific and reductionist approach to quality. Breaking down practice into measurable indicators risks simplifying complicated educational processes (Moss, 2016; Fenech, 2011). According to Sims and Waniganayake (2015), such approaches may stress what can be evaluated above what is meaningful, thus marginalising characteristics such as children's emotional well-being and sense of belonging.</w:t>
      </w:r>
    </w:p>
    <w:p w14:paraId="7E21FC02"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 xml:space="preserve">Another limitation of ECERS is its cultural bias, as the tool is grounded in Western pedagogical assumptions about what constitutes quality practice. This raises concerns </w:t>
      </w:r>
      <w:r w:rsidRPr="00F4283C">
        <w:rPr>
          <w:rFonts w:asciiTheme="minorHAnsi" w:hAnsiTheme="minorHAnsi"/>
          <w:color w:val="000000"/>
        </w:rPr>
        <w:lastRenderedPageBreak/>
        <w:t>about its applicability across diverse contexts, where different cultural values may shape expectations of teaching, learning and child development (Fenech, 2011). As a result, settings serving diverse communities may be unfairly evaluated against criteria that do not fully reflect their pedagogical approaches.</w:t>
      </w:r>
    </w:p>
    <w:p w14:paraId="78CDE25E" w14:textId="7143E041"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Additionally, the use of rating scales can encourage a performative approach to practice, where practitioners focus on meeting observable indicators rather than engaging in meaningful interactions. This aligns with broader critiques of performativity in education, where the pressure to achieve measurable outcomes can distort practice (Ball, 2013). In this context, ECERS may inadvertently reinforce compliance-driven behaviours rather than fostering genuine quality improvement</w:t>
      </w:r>
      <w:r w:rsidR="00C54207">
        <w:rPr>
          <w:rFonts w:asciiTheme="minorHAnsi" w:hAnsiTheme="minorHAnsi"/>
          <w:color w:val="000000"/>
        </w:rPr>
        <w:t xml:space="preserve"> (Clark,2017).</w:t>
      </w:r>
    </w:p>
    <w:p w14:paraId="0D7223EB"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Furthermore, ECERS does not adequately capture the voices of children or families, limiting its ability to reflect diverse perspectives (Clark, 2017; Lundy, 2007). It also provides limited insight into leadership, organisational culture, and staff motivation, all of which are critical to sustaining quality.</w:t>
      </w:r>
    </w:p>
    <w:p w14:paraId="6ED893E8" w14:textId="68953080"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From a practical perspective, ECERS can be time-consuming and require training to ensure reliability. This may create barriers for settings with limited resources, raising concerns about accessibility and equity</w:t>
      </w:r>
      <w:r w:rsidR="00701C0D">
        <w:rPr>
          <w:rFonts w:asciiTheme="minorHAnsi" w:hAnsiTheme="minorHAnsi"/>
          <w:color w:val="000000"/>
        </w:rPr>
        <w:t xml:space="preserve"> (Richards,2022).</w:t>
      </w:r>
    </w:p>
    <w:p w14:paraId="05AF2B90" w14:textId="08DE772E" w:rsidR="0099662C" w:rsidRPr="00F4283C" w:rsidRDefault="0099662C" w:rsidP="00607BCD">
      <w:pPr>
        <w:spacing w:line="360" w:lineRule="auto"/>
        <w:rPr>
          <w:rFonts w:asciiTheme="minorHAnsi" w:hAnsiTheme="minorHAnsi"/>
          <w:sz w:val="28"/>
          <w:szCs w:val="28"/>
          <w:u w:val="single"/>
        </w:rPr>
      </w:pPr>
    </w:p>
    <w:p w14:paraId="2C26E597" w14:textId="77777777" w:rsidR="0099662C" w:rsidRPr="00F4283C" w:rsidRDefault="0099662C" w:rsidP="00607BCD">
      <w:pPr>
        <w:pStyle w:val="Heading3"/>
        <w:spacing w:line="360" w:lineRule="auto"/>
        <w:rPr>
          <w:rFonts w:asciiTheme="minorHAnsi" w:hAnsiTheme="minorHAnsi"/>
          <w:color w:val="000000"/>
          <w:u w:val="single"/>
        </w:rPr>
      </w:pPr>
      <w:r w:rsidRPr="00F4283C">
        <w:rPr>
          <w:rFonts w:asciiTheme="minorHAnsi" w:hAnsiTheme="minorHAnsi"/>
          <w:color w:val="000000"/>
          <w:u w:val="single"/>
        </w:rPr>
        <w:t>Critical Analysis of NDNA</w:t>
      </w:r>
    </w:p>
    <w:p w14:paraId="6B42A71F"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In contrast, the NDNA Quality Counts initiative takes a more comprehensive and developmental approach to quality assurance. It combines self-evaluation, external validation, and continuous improvement planning, emphasising quality as a continual process rather than a static result (Campbell-Barr and Leeson, 2016; Douglass, 2019).</w:t>
      </w:r>
    </w:p>
    <w:p w14:paraId="77124539"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 xml:space="preserve">This approach's emphasis on leadership and organisational culture is a significant strength. The scheme encourages leaders to incorporate reflective practice into the workplace, establishing a culture of openness, collaboration, and continual development (Siraj-Blatchford and Manni, 2021; Heikka and Waniganayake, 2011). This </w:t>
      </w:r>
      <w:r w:rsidRPr="00F4283C">
        <w:rPr>
          <w:rFonts w:asciiTheme="minorHAnsi" w:hAnsiTheme="minorHAnsi"/>
          <w:color w:val="000000"/>
        </w:rPr>
        <w:lastRenderedPageBreak/>
        <w:t>underscores the argument that strong leadership is critical to sustaining quality in early childhood care.</w:t>
      </w:r>
    </w:p>
    <w:p w14:paraId="12F68A61" w14:textId="136EF353"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The NDNA framework also supports a broader understanding of quality, encompassing staff wellbeing, parental partnerships and professional development (Waniganayake et al., 2017; Sims et al., 2019). This aligns with contemporary policy priorities and recognises that multiple interconnected factors</w:t>
      </w:r>
      <w:r w:rsidR="0016156F">
        <w:rPr>
          <w:rFonts w:asciiTheme="minorHAnsi" w:hAnsiTheme="minorHAnsi"/>
          <w:color w:val="000000"/>
        </w:rPr>
        <w:t xml:space="preserve"> influence quality</w:t>
      </w:r>
      <w:r w:rsidRPr="00F4283C">
        <w:rPr>
          <w:rFonts w:asciiTheme="minorHAnsi" w:hAnsiTheme="minorHAnsi"/>
          <w:color w:val="000000"/>
        </w:rPr>
        <w:t>.</w:t>
      </w:r>
    </w:p>
    <w:p w14:paraId="172769A8"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A further strength of the NDNA Quality Counts scheme is its emphasis on professional dialogue and collaborative learning. By engaging staff in reflective discussions, the approach supports the development of a shared understanding of quality within the setting. This aligns with research suggesting that collaborative professional learning is a key driver of sustained improvement in early years practice (Waniganayake et al., 2017).</w:t>
      </w:r>
    </w:p>
    <w:p w14:paraId="5E0D1145"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Additionally, the emphasis on continuous improvement enables settings to move beyond compliance and engage in meaningful development. Leaders are encouraged to analyse practice, implement changes, and evaluate their impact, promoting a cyclical approach to quality assurance (Schön, 1983; Eraut, 2004).</w:t>
      </w:r>
    </w:p>
    <w:p w14:paraId="365C6998" w14:textId="4B061161"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 xml:space="preserve">However, the effectiveness of this approach </w:t>
      </w:r>
      <w:r w:rsidR="007A0D63">
        <w:rPr>
          <w:rFonts w:asciiTheme="minorHAnsi" w:hAnsiTheme="minorHAnsi"/>
          <w:color w:val="000000"/>
        </w:rPr>
        <w:t>depends</w:t>
      </w:r>
      <w:r w:rsidRPr="00F4283C">
        <w:rPr>
          <w:rFonts w:asciiTheme="minorHAnsi" w:hAnsiTheme="minorHAnsi"/>
          <w:color w:val="000000"/>
        </w:rPr>
        <w:t xml:space="preserve"> </w:t>
      </w:r>
      <w:r w:rsidR="007A0D63">
        <w:rPr>
          <w:rFonts w:asciiTheme="minorHAnsi" w:hAnsiTheme="minorHAnsi"/>
          <w:color w:val="000000"/>
        </w:rPr>
        <w:t>heavily</w:t>
      </w:r>
      <w:r w:rsidRPr="00F4283C">
        <w:rPr>
          <w:rFonts w:asciiTheme="minorHAnsi" w:hAnsiTheme="minorHAnsi"/>
          <w:color w:val="000000"/>
        </w:rPr>
        <w:t xml:space="preserve"> on leadership capacity. Without skilled leadership to facilitate critical reflection, there is a risk that self-evaluation becomes routine rather than transformative. This highlights the importance of leadership development within the sector, as leaders must possess the skills to challenge practice, support staff, and drive meaningful change (Siraj-Blatchford and Manni, 2021).</w:t>
      </w:r>
    </w:p>
    <w:p w14:paraId="124BCAC8"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The NDNA scheme also has limitations. Its reliance on self-evaluation introduces potential bias, as practitioners may struggle to critically assess their own practice (Ball, 2013; Sims and Waniganayake, 2015). Without strong leadership, there is a risk that the process becomes superficial or overly focused on documentation.</w:t>
      </w:r>
    </w:p>
    <w:p w14:paraId="2ADEBD4D" w14:textId="4A34DDE3" w:rsidR="001E1246"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Cost is another significant consideration, as participation in quality assurance schemes may not be accessible to all settings. This raises important questions about equity and the distribution of resources within the sector</w:t>
      </w:r>
      <w:r w:rsidR="003D796D">
        <w:rPr>
          <w:rFonts w:asciiTheme="minorHAnsi" w:hAnsiTheme="minorHAnsi"/>
          <w:color w:val="000000"/>
        </w:rPr>
        <w:t xml:space="preserve"> (McDermott, 2013).</w:t>
      </w:r>
    </w:p>
    <w:p w14:paraId="5114A690" w14:textId="70988E03" w:rsidR="00F4283C" w:rsidRDefault="00F4283C" w:rsidP="00607BCD">
      <w:pPr>
        <w:pStyle w:val="NormalWeb"/>
        <w:spacing w:line="360" w:lineRule="auto"/>
        <w:rPr>
          <w:rFonts w:asciiTheme="minorHAnsi" w:hAnsiTheme="minorHAnsi"/>
          <w:color w:val="000000"/>
          <w:sz w:val="28"/>
          <w:szCs w:val="28"/>
          <w:u w:val="single"/>
        </w:rPr>
      </w:pPr>
      <w:r w:rsidRPr="00F4283C">
        <w:rPr>
          <w:rFonts w:asciiTheme="minorHAnsi" w:hAnsiTheme="minorHAnsi"/>
          <w:color w:val="000000"/>
          <w:sz w:val="28"/>
          <w:szCs w:val="28"/>
          <w:u w:val="single"/>
        </w:rPr>
        <w:lastRenderedPageBreak/>
        <w:t>Comparison between ECERS and NDNA</w:t>
      </w:r>
    </w:p>
    <w:p w14:paraId="44F8AEA6" w14:textId="77777777" w:rsidR="008E74AC" w:rsidRPr="008E74AC" w:rsidRDefault="008E74AC" w:rsidP="008E74AC">
      <w:pPr>
        <w:pStyle w:val="NormalWeb"/>
        <w:rPr>
          <w:rFonts w:asciiTheme="minorHAnsi" w:hAnsiTheme="minorHAnsi"/>
          <w:color w:val="000000"/>
        </w:rPr>
      </w:pPr>
      <w:r w:rsidRPr="008E74AC">
        <w:rPr>
          <w:rFonts w:asciiTheme="minorHAnsi" w:hAnsiTheme="minorHAnsi"/>
          <w:color w:val="000000"/>
        </w:rPr>
        <w:t>ECERS and NDNA are two distinct, but complementary, techniques for quality assurance. ECERS provides thorough, standardised data on specific areas of practice, whereas NDNA provides a comprehensive foundation for organisational development (Mathers et al., 2014; Waniganayake et al., 2017).</w:t>
      </w:r>
    </w:p>
    <w:p w14:paraId="1350E98E" w14:textId="77777777" w:rsidR="008E74AC" w:rsidRPr="008E74AC" w:rsidRDefault="008E74AC" w:rsidP="008E74AC">
      <w:pPr>
        <w:pStyle w:val="NormalWeb"/>
        <w:rPr>
          <w:rFonts w:asciiTheme="minorHAnsi" w:hAnsiTheme="minorHAnsi"/>
          <w:color w:val="000000"/>
        </w:rPr>
      </w:pPr>
      <w:r w:rsidRPr="008E74AC">
        <w:rPr>
          <w:rFonts w:asciiTheme="minorHAnsi" w:hAnsiTheme="minorHAnsi"/>
          <w:color w:val="000000"/>
        </w:rPr>
        <w:t>From a leadership standpoint, ECERS can be viewed as a diagnostic tool that identifies areas for improvement, whereas NDNA serves as a developmental framework that aids in the implementation of change (Heikka and Waniganayake, 2011; Sims et al., 2019). However, neither method is adequate in isolation.</w:t>
      </w:r>
    </w:p>
    <w:p w14:paraId="221C987F" w14:textId="77777777" w:rsidR="008E74AC" w:rsidRPr="008E74AC" w:rsidRDefault="008E74AC" w:rsidP="008E74AC">
      <w:pPr>
        <w:pStyle w:val="NormalWeb"/>
        <w:rPr>
          <w:rFonts w:asciiTheme="minorHAnsi" w:hAnsiTheme="minorHAnsi"/>
          <w:color w:val="000000"/>
        </w:rPr>
      </w:pPr>
      <w:r w:rsidRPr="008E74AC">
        <w:rPr>
          <w:rFonts w:asciiTheme="minorHAnsi" w:hAnsiTheme="minorHAnsi"/>
          <w:color w:val="000000"/>
        </w:rPr>
        <w:t>Importantly, the contrast between ECERS and NDNA reflects a wider debate within early years education between measurement and meaning. While quantitative tools such as ECERS provide clarity and comparability, they may fail to capture the complexity of practice (Alexander, 2010; Penn, 2011). In contrast, qualitative approaches such as NDNA emphasise reflection and context but may lack consistency and objectivity (Osgood, 2021; Urban et al., 2019).</w:t>
      </w:r>
    </w:p>
    <w:p w14:paraId="55CB258E" w14:textId="7DFE2330" w:rsidR="008E74AC" w:rsidRPr="008E74AC" w:rsidRDefault="008E74AC" w:rsidP="008E74AC">
      <w:pPr>
        <w:pStyle w:val="NormalWeb"/>
        <w:rPr>
          <w:rFonts w:asciiTheme="minorHAnsi" w:hAnsiTheme="minorHAnsi"/>
          <w:color w:val="000000"/>
        </w:rPr>
      </w:pPr>
      <w:r w:rsidRPr="008E74AC">
        <w:rPr>
          <w:rFonts w:asciiTheme="minorHAnsi" w:hAnsiTheme="minorHAnsi"/>
          <w:color w:val="000000"/>
        </w:rPr>
        <w:t>This suggests that an integrated approach to quality assurance is most effective, combining measurable data with reflective practice. Such an approach enables leaders to balance accountability requirements with a commitment to meaningful, child-centred provision (OECD, 2022; Sylva et al., 2018).</w:t>
      </w:r>
    </w:p>
    <w:p w14:paraId="00034095"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Both methods also have limitations in terms of what they reveal. Neither fully captures children’s lived experiences, highlighting the need to incorporate additional perspectives, such as children’s voices and parental feedback (Clark, 2017; Lundy, 2007). This reinforces the importance of adopting a multi-method approach to quality assurance.</w:t>
      </w:r>
    </w:p>
    <w:p w14:paraId="17D140A4" w14:textId="67BC2596" w:rsidR="0099662C" w:rsidRPr="00F4283C" w:rsidRDefault="0099662C" w:rsidP="00607BCD">
      <w:pPr>
        <w:spacing w:line="360" w:lineRule="auto"/>
        <w:rPr>
          <w:rFonts w:asciiTheme="minorHAnsi" w:hAnsiTheme="minorHAnsi"/>
        </w:rPr>
      </w:pPr>
    </w:p>
    <w:p w14:paraId="51A98302" w14:textId="77777777" w:rsidR="0099662C" w:rsidRPr="00F4283C" w:rsidRDefault="0099662C" w:rsidP="00607BCD">
      <w:pPr>
        <w:pStyle w:val="Heading3"/>
        <w:spacing w:line="360" w:lineRule="auto"/>
        <w:rPr>
          <w:rFonts w:asciiTheme="minorHAnsi" w:hAnsiTheme="minorHAnsi"/>
          <w:color w:val="000000"/>
          <w:u w:val="single"/>
        </w:rPr>
      </w:pPr>
      <w:r w:rsidRPr="00F4283C">
        <w:rPr>
          <w:rFonts w:asciiTheme="minorHAnsi" w:hAnsiTheme="minorHAnsi"/>
          <w:color w:val="000000"/>
          <w:u w:val="single"/>
        </w:rPr>
        <w:t>Using Quality Assurance to Improve Provision</w:t>
      </w:r>
    </w:p>
    <w:p w14:paraId="6F13CA95"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The effectiveness of quality assurance procedures is determined by how the information generated is used. Leaders play an important role in data interpretation, reflection, and change implementation.</w:t>
      </w:r>
    </w:p>
    <w:p w14:paraId="654FA6E5"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 xml:space="preserve">For example, ECERS findings may indicate flaws in interaction quality, but without effective management, these insights may not result in improved practice. Similarly, </w:t>
      </w:r>
      <w:r w:rsidRPr="00F4283C">
        <w:rPr>
          <w:rFonts w:asciiTheme="minorHAnsi" w:hAnsiTheme="minorHAnsi"/>
          <w:color w:val="000000"/>
        </w:rPr>
        <w:lastRenderedPageBreak/>
        <w:t>NDNA's self-evaluation methods require a culture of trust and transparency to be effective (Siraj-Blatchford and Manni, 2021; Douglass, 2019).</w:t>
      </w:r>
    </w:p>
    <w:p w14:paraId="3BC28744" w14:textId="4E1A8D91"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 xml:space="preserve">This emphasises the need </w:t>
      </w:r>
      <w:r w:rsidRPr="00F4283C">
        <w:rPr>
          <w:rFonts w:asciiTheme="minorHAnsi" w:hAnsiTheme="minorHAnsi"/>
          <w:color w:val="000000"/>
        </w:rPr>
        <w:t>to</w:t>
      </w:r>
      <w:r w:rsidRPr="00F4283C">
        <w:rPr>
          <w:rFonts w:asciiTheme="minorHAnsi" w:hAnsiTheme="minorHAnsi"/>
          <w:color w:val="000000"/>
        </w:rPr>
        <w:t xml:space="preserve"> creat</w:t>
      </w:r>
      <w:r w:rsidRPr="00F4283C">
        <w:rPr>
          <w:rFonts w:asciiTheme="minorHAnsi" w:hAnsiTheme="minorHAnsi"/>
          <w:color w:val="000000"/>
        </w:rPr>
        <w:t>e</w:t>
      </w:r>
      <w:r w:rsidRPr="00F4283C">
        <w:rPr>
          <w:rFonts w:asciiTheme="minorHAnsi" w:hAnsiTheme="minorHAnsi"/>
          <w:color w:val="000000"/>
        </w:rPr>
        <w:t xml:space="preserve"> an open and constructive organisational culture in which employees feel supported in reflecting critically on their work (Schön, 1983; Eraut, 2004). Leaders must promote professional conversation, encourage ongoing professional growth, and guarantee that quality assurance systems are integrated into daily practice.</w:t>
      </w:r>
    </w:p>
    <w:p w14:paraId="30CC2102" w14:textId="3B96B03A"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Additionally, quality assurance should be aligned with broader policy frameworks, such as children’s rights and wellbeing agendas, ensuring that improvements are meaningful and child</w:t>
      </w:r>
      <w:r w:rsidRPr="00F4283C">
        <w:rPr>
          <w:rFonts w:asciiTheme="minorHAnsi" w:hAnsiTheme="minorHAnsi"/>
          <w:color w:val="000000"/>
        </w:rPr>
        <w:t>-</w:t>
      </w:r>
      <w:r w:rsidRPr="00F4283C">
        <w:rPr>
          <w:rFonts w:asciiTheme="minorHAnsi" w:hAnsiTheme="minorHAnsi"/>
          <w:color w:val="000000"/>
        </w:rPr>
        <w:t>centred (United Nations, 1989; Welsh Government, 2015).</w:t>
      </w:r>
    </w:p>
    <w:p w14:paraId="221B1362" w14:textId="10EA9088" w:rsidR="0099662C" w:rsidRPr="00F4283C" w:rsidRDefault="0099662C" w:rsidP="00607BCD">
      <w:pPr>
        <w:spacing w:line="360" w:lineRule="auto"/>
        <w:rPr>
          <w:rFonts w:asciiTheme="minorHAnsi" w:hAnsiTheme="minorHAnsi"/>
        </w:rPr>
      </w:pPr>
    </w:p>
    <w:p w14:paraId="03C35F49" w14:textId="77777777" w:rsidR="0099662C" w:rsidRPr="00F4283C" w:rsidRDefault="0099662C" w:rsidP="00607BCD">
      <w:pPr>
        <w:pStyle w:val="Heading3"/>
        <w:spacing w:line="360" w:lineRule="auto"/>
        <w:rPr>
          <w:rFonts w:asciiTheme="minorHAnsi" w:hAnsiTheme="minorHAnsi"/>
          <w:color w:val="000000"/>
          <w:u w:val="single"/>
        </w:rPr>
      </w:pPr>
      <w:r w:rsidRPr="00F4283C">
        <w:rPr>
          <w:rFonts w:asciiTheme="minorHAnsi" w:hAnsiTheme="minorHAnsi"/>
          <w:color w:val="000000"/>
          <w:u w:val="single"/>
        </w:rPr>
        <w:t>Critical Reflection</w:t>
      </w:r>
    </w:p>
    <w:p w14:paraId="792B2E56"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Reflecting on these methods highlights the tension between accountability and professional autonomy within early years provision. While quality assurance frameworks provide structure and guidance, they can also constrain practice if applied uncritically (Ball, 2013; Biesta, 2015).</w:t>
      </w:r>
    </w:p>
    <w:p w14:paraId="089D89A3"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There is a risk that settings become focused on achieving high scores or accreditation, rather than genuinely improving children’s experiences. This reflects a broader critique of performativity within education, where measurable outcomes are prioritised over meaningful learning (Osgood, 2021; Penn, 2011).</w:t>
      </w:r>
    </w:p>
    <w:p w14:paraId="1EB5F760" w14:textId="77777777"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This reflection also highlights the importance of professional judgement in early years practice. While quality assurance tools provide valuable frameworks, they cannot replace the knowledge and expertise of practitioners. There is a need for leaders to critically engage with these tools, adapting them to suit the specific context of their setting rather than applying them uncritically.</w:t>
      </w:r>
    </w:p>
    <w:p w14:paraId="45DFEA74" w14:textId="4074E37F"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 xml:space="preserve">Moreover, this raises questions about power and control within the sector. Quality assurance frameworks are often shaped by policy agendas, which may not always align </w:t>
      </w:r>
      <w:r w:rsidRPr="00F4283C">
        <w:rPr>
          <w:rFonts w:asciiTheme="minorHAnsi" w:hAnsiTheme="minorHAnsi"/>
          <w:color w:val="000000"/>
        </w:rPr>
        <w:lastRenderedPageBreak/>
        <w:t xml:space="preserve">with the needs of children or practitioners. </w:t>
      </w:r>
      <w:r w:rsidR="001A6EE1">
        <w:rPr>
          <w:rFonts w:asciiTheme="minorHAnsi" w:hAnsiTheme="minorHAnsi"/>
          <w:color w:val="000000"/>
        </w:rPr>
        <w:t>I</w:t>
      </w:r>
      <w:r w:rsidRPr="00F4283C">
        <w:rPr>
          <w:rFonts w:asciiTheme="minorHAnsi" w:hAnsiTheme="minorHAnsi"/>
          <w:color w:val="000000"/>
        </w:rPr>
        <w:t>t is therefore essential to adopt a critical stance, recognising both the benefits and limitations of these approaches and advocating for practices that prioritise children’s wellbeing and holistic development.</w:t>
      </w:r>
    </w:p>
    <w:p w14:paraId="3A32300B" w14:textId="45E9C064" w:rsidR="0099662C" w:rsidRPr="00F4283C" w:rsidRDefault="0099662C" w:rsidP="00607BCD">
      <w:pPr>
        <w:spacing w:line="360" w:lineRule="auto"/>
        <w:rPr>
          <w:rFonts w:asciiTheme="minorHAnsi" w:hAnsiTheme="minorHAnsi"/>
        </w:rPr>
      </w:pPr>
    </w:p>
    <w:p w14:paraId="3269EFE9" w14:textId="77777777" w:rsidR="0099662C" w:rsidRPr="00F4283C" w:rsidRDefault="0099662C" w:rsidP="00607BCD">
      <w:pPr>
        <w:pStyle w:val="Heading3"/>
        <w:spacing w:line="360" w:lineRule="auto"/>
        <w:rPr>
          <w:rFonts w:asciiTheme="minorHAnsi" w:hAnsiTheme="minorHAnsi"/>
          <w:color w:val="000000"/>
          <w:u w:val="single"/>
        </w:rPr>
      </w:pPr>
      <w:r w:rsidRPr="00F4283C">
        <w:rPr>
          <w:rFonts w:asciiTheme="minorHAnsi" w:hAnsiTheme="minorHAnsi"/>
          <w:color w:val="000000"/>
          <w:u w:val="single"/>
        </w:rPr>
        <w:t>Conclusion</w:t>
      </w:r>
    </w:p>
    <w:p w14:paraId="25259649" w14:textId="3DD4B283" w:rsidR="0099662C"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 xml:space="preserve">In conclusion, additional quality assurance </w:t>
      </w:r>
      <w:r w:rsidRPr="00F4283C">
        <w:rPr>
          <w:rFonts w:asciiTheme="minorHAnsi" w:hAnsiTheme="minorHAnsi"/>
          <w:color w:val="000000"/>
        </w:rPr>
        <w:t xml:space="preserve">methods </w:t>
      </w:r>
      <w:r w:rsidRPr="00F4283C">
        <w:rPr>
          <w:rFonts w:asciiTheme="minorHAnsi" w:hAnsiTheme="minorHAnsi"/>
          <w:color w:val="000000"/>
        </w:rPr>
        <w:t>play a vital role in promoting high-quality early years provision beyond statutory requirements. ECERS and NDNA offer valuable but distinct approaches, each contributing to different aspects of quality improvement.</w:t>
      </w:r>
    </w:p>
    <w:p w14:paraId="42909E00" w14:textId="2D4A405C" w:rsidR="00F41F2E" w:rsidRPr="00F4283C" w:rsidRDefault="0099662C" w:rsidP="00607BCD">
      <w:pPr>
        <w:pStyle w:val="NormalWeb"/>
        <w:spacing w:line="360" w:lineRule="auto"/>
        <w:rPr>
          <w:rFonts w:asciiTheme="minorHAnsi" w:hAnsiTheme="minorHAnsi"/>
          <w:color w:val="000000"/>
        </w:rPr>
      </w:pPr>
      <w:r w:rsidRPr="00F4283C">
        <w:rPr>
          <w:rFonts w:asciiTheme="minorHAnsi" w:hAnsiTheme="minorHAnsi"/>
          <w:color w:val="000000"/>
        </w:rPr>
        <w:t>However, their effectiveness depends on leadership. A critical, reflective and values-driven approach is essential to ensure that quality assurance processes lead to meaningful improvements. By integrating multiple methods and fostering an open and positive culture, leaders can move beyond compliance and support genuinely high-quality provision.</w:t>
      </w:r>
    </w:p>
    <w:p w14:paraId="5655A174" w14:textId="77777777" w:rsidR="00F41F2E" w:rsidRDefault="00F41F2E" w:rsidP="00414E7A"/>
    <w:p w14:paraId="0210FBA5" w14:textId="77777777" w:rsidR="00F4283C" w:rsidRDefault="00F4283C" w:rsidP="00414E7A">
      <w:pPr>
        <w:spacing w:before="100" w:beforeAutospacing="1" w:after="100" w:afterAutospacing="1"/>
        <w:outlineLvl w:val="1"/>
        <w:rPr>
          <w:b/>
          <w:bCs/>
          <w:color w:val="000000"/>
          <w:sz w:val="28"/>
          <w:szCs w:val="28"/>
        </w:rPr>
      </w:pPr>
    </w:p>
    <w:p w14:paraId="74DACE47" w14:textId="77777777" w:rsidR="00F4283C" w:rsidRDefault="00F4283C" w:rsidP="00414E7A">
      <w:pPr>
        <w:spacing w:before="100" w:beforeAutospacing="1" w:after="100" w:afterAutospacing="1"/>
        <w:outlineLvl w:val="1"/>
        <w:rPr>
          <w:b/>
          <w:bCs/>
          <w:color w:val="000000"/>
          <w:sz w:val="28"/>
          <w:szCs w:val="28"/>
        </w:rPr>
      </w:pPr>
    </w:p>
    <w:p w14:paraId="7027E574" w14:textId="77777777" w:rsidR="00F4283C" w:rsidRDefault="00F4283C" w:rsidP="00414E7A">
      <w:pPr>
        <w:spacing w:before="100" w:beforeAutospacing="1" w:after="100" w:afterAutospacing="1"/>
        <w:outlineLvl w:val="1"/>
        <w:rPr>
          <w:b/>
          <w:bCs/>
          <w:color w:val="000000"/>
          <w:sz w:val="28"/>
          <w:szCs w:val="28"/>
        </w:rPr>
      </w:pPr>
    </w:p>
    <w:p w14:paraId="54AC18CE" w14:textId="77777777" w:rsidR="00F4283C" w:rsidRDefault="00F4283C" w:rsidP="00414E7A">
      <w:pPr>
        <w:spacing w:before="100" w:beforeAutospacing="1" w:after="100" w:afterAutospacing="1"/>
        <w:outlineLvl w:val="1"/>
        <w:rPr>
          <w:b/>
          <w:bCs/>
          <w:color w:val="000000"/>
          <w:sz w:val="28"/>
          <w:szCs w:val="28"/>
        </w:rPr>
      </w:pPr>
    </w:p>
    <w:p w14:paraId="6A93B2F9" w14:textId="77777777" w:rsidR="00F4283C" w:rsidRDefault="00F4283C" w:rsidP="00414E7A">
      <w:pPr>
        <w:spacing w:before="100" w:beforeAutospacing="1" w:after="100" w:afterAutospacing="1"/>
        <w:outlineLvl w:val="1"/>
        <w:rPr>
          <w:b/>
          <w:bCs/>
          <w:color w:val="000000"/>
          <w:sz w:val="28"/>
          <w:szCs w:val="28"/>
        </w:rPr>
      </w:pPr>
    </w:p>
    <w:p w14:paraId="758C522A" w14:textId="77777777" w:rsidR="00F4283C" w:rsidRDefault="00F4283C" w:rsidP="00414E7A">
      <w:pPr>
        <w:spacing w:before="100" w:beforeAutospacing="1" w:after="100" w:afterAutospacing="1"/>
        <w:outlineLvl w:val="1"/>
        <w:rPr>
          <w:b/>
          <w:bCs/>
          <w:color w:val="000000"/>
          <w:sz w:val="28"/>
          <w:szCs w:val="28"/>
        </w:rPr>
      </w:pPr>
    </w:p>
    <w:p w14:paraId="606EFC3C" w14:textId="77777777" w:rsidR="00F4283C" w:rsidRDefault="00F4283C" w:rsidP="00414E7A">
      <w:pPr>
        <w:spacing w:before="100" w:beforeAutospacing="1" w:after="100" w:afterAutospacing="1"/>
        <w:outlineLvl w:val="1"/>
        <w:rPr>
          <w:b/>
          <w:bCs/>
          <w:color w:val="000000"/>
          <w:sz w:val="28"/>
          <w:szCs w:val="28"/>
        </w:rPr>
      </w:pPr>
    </w:p>
    <w:p w14:paraId="5E89AF37" w14:textId="77777777" w:rsidR="00F4283C" w:rsidRDefault="00F4283C" w:rsidP="00414E7A">
      <w:pPr>
        <w:spacing w:before="100" w:beforeAutospacing="1" w:after="100" w:afterAutospacing="1"/>
        <w:outlineLvl w:val="1"/>
        <w:rPr>
          <w:b/>
          <w:bCs/>
          <w:color w:val="000000"/>
          <w:sz w:val="28"/>
          <w:szCs w:val="28"/>
        </w:rPr>
      </w:pPr>
    </w:p>
    <w:p w14:paraId="098C326A" w14:textId="77777777" w:rsidR="00F4283C" w:rsidRDefault="00F4283C" w:rsidP="00414E7A">
      <w:pPr>
        <w:spacing w:before="100" w:beforeAutospacing="1" w:after="100" w:afterAutospacing="1"/>
        <w:outlineLvl w:val="1"/>
        <w:rPr>
          <w:b/>
          <w:bCs/>
          <w:color w:val="000000"/>
          <w:sz w:val="28"/>
          <w:szCs w:val="28"/>
        </w:rPr>
      </w:pPr>
    </w:p>
    <w:p w14:paraId="14F60DB7" w14:textId="77777777" w:rsidR="00F4283C" w:rsidRDefault="00F4283C" w:rsidP="00414E7A">
      <w:pPr>
        <w:spacing w:before="100" w:beforeAutospacing="1" w:after="100" w:afterAutospacing="1"/>
        <w:outlineLvl w:val="1"/>
        <w:rPr>
          <w:b/>
          <w:bCs/>
          <w:color w:val="000000"/>
          <w:sz w:val="28"/>
          <w:szCs w:val="28"/>
        </w:rPr>
      </w:pPr>
    </w:p>
    <w:p w14:paraId="5D968FAE" w14:textId="3F24B433" w:rsidR="00414E7A" w:rsidRPr="00414E7A" w:rsidRDefault="00414E7A" w:rsidP="00414E7A">
      <w:pPr>
        <w:spacing w:before="100" w:beforeAutospacing="1" w:after="100" w:afterAutospacing="1"/>
        <w:outlineLvl w:val="1"/>
        <w:rPr>
          <w:rFonts w:asciiTheme="minorHAnsi" w:hAnsiTheme="minorHAnsi"/>
          <w:color w:val="000000"/>
          <w:sz w:val="28"/>
          <w:szCs w:val="28"/>
          <w:u w:val="single"/>
        </w:rPr>
      </w:pPr>
      <w:r w:rsidRPr="00414E7A">
        <w:rPr>
          <w:rFonts w:asciiTheme="minorHAnsi" w:hAnsiTheme="minorHAnsi"/>
          <w:color w:val="000000"/>
          <w:sz w:val="28"/>
          <w:szCs w:val="28"/>
          <w:u w:val="single"/>
        </w:rPr>
        <w:lastRenderedPageBreak/>
        <w:t xml:space="preserve">Reference List </w:t>
      </w:r>
    </w:p>
    <w:p w14:paraId="27E423EC"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Alexander, R. (2010)</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Children, their world, their education: Final report and recommendations of the Cambridge Primary Review</w:t>
      </w:r>
      <w:r w:rsidRPr="003448A1">
        <w:rPr>
          <w:rFonts w:asciiTheme="minorHAnsi" w:hAnsiTheme="minorHAnsi"/>
          <w:color w:val="000000"/>
        </w:rPr>
        <w:t>. London: Routledge.</w:t>
      </w:r>
    </w:p>
    <w:p w14:paraId="7642D9F7" w14:textId="1FBDFB2C"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Anders, Y. (2015) ‘Literature review on pedagogy’,</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OECD Education Working Papers</w:t>
      </w:r>
      <w:r w:rsidRPr="003448A1">
        <w:rPr>
          <w:rFonts w:asciiTheme="minorHAnsi" w:hAnsiTheme="minorHAnsi"/>
          <w:color w:val="000000"/>
        </w:rPr>
        <w:t>, No. 119. Paris: OECD.</w:t>
      </w:r>
      <w:r w:rsidR="007B4D43">
        <w:rPr>
          <w:rFonts w:asciiTheme="minorHAnsi" w:hAnsiTheme="minorHAnsi"/>
          <w:color w:val="000000"/>
        </w:rPr>
        <w:t xml:space="preserve"> Available at: </w:t>
      </w:r>
      <w:hyperlink r:id="rId5" w:history="1">
        <w:r w:rsidR="007B4D43" w:rsidRPr="001B6DBF">
          <w:rPr>
            <w:rStyle w:val="Hyperlink"/>
            <w:rFonts w:asciiTheme="minorHAnsi" w:hAnsiTheme="minorHAnsi"/>
          </w:rPr>
          <w:t>https://www.oecd.org/content/dam/oecd/en/publications/reports/2018/03/engaging-young-children_g1g8b70c/9789264085145-en.pdf</w:t>
        </w:r>
      </w:hyperlink>
      <w:r w:rsidR="007B4D43">
        <w:rPr>
          <w:rFonts w:asciiTheme="minorHAnsi" w:hAnsiTheme="minorHAnsi"/>
          <w:color w:val="000000"/>
        </w:rPr>
        <w:t xml:space="preserve"> (Accessed:</w:t>
      </w:r>
      <w:r w:rsidR="00F34210">
        <w:rPr>
          <w:rFonts w:asciiTheme="minorHAnsi" w:hAnsiTheme="minorHAnsi"/>
          <w:color w:val="000000"/>
        </w:rPr>
        <w:t xml:space="preserve"> 23 March 2026).</w:t>
      </w:r>
    </w:p>
    <w:p w14:paraId="7DB0D2A3"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Ball, S.J. (2013)</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The education debate</w:t>
      </w:r>
      <w:r w:rsidRPr="003448A1">
        <w:rPr>
          <w:rFonts w:asciiTheme="minorHAnsi" w:hAnsiTheme="minorHAnsi"/>
          <w:color w:val="000000"/>
        </w:rPr>
        <w:t xml:space="preserve">. 2nd </w:t>
      </w:r>
      <w:proofErr w:type="spellStart"/>
      <w:r w:rsidRPr="003448A1">
        <w:rPr>
          <w:rFonts w:asciiTheme="minorHAnsi" w:hAnsiTheme="minorHAnsi"/>
          <w:color w:val="000000"/>
        </w:rPr>
        <w:t>edn</w:t>
      </w:r>
      <w:proofErr w:type="spellEnd"/>
      <w:r w:rsidRPr="003448A1">
        <w:rPr>
          <w:rFonts w:asciiTheme="minorHAnsi" w:hAnsiTheme="minorHAnsi"/>
          <w:color w:val="000000"/>
        </w:rPr>
        <w:t>. Bristol: Policy Press.</w:t>
      </w:r>
    </w:p>
    <w:p w14:paraId="038DA570"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Biesta, G. (2015)</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Good education in an age of measurement: Ethics, politics, democracy</w:t>
      </w:r>
      <w:r w:rsidRPr="003448A1">
        <w:rPr>
          <w:rFonts w:asciiTheme="minorHAnsi" w:hAnsiTheme="minorHAnsi"/>
          <w:color w:val="000000"/>
        </w:rPr>
        <w:t>. London: Routledge.</w:t>
      </w:r>
    </w:p>
    <w:p w14:paraId="6C1074A7"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Campbell-Barr, V. and Leeson, C. (2016)</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Quality and leadership in the early years</w:t>
      </w:r>
      <w:r w:rsidRPr="003448A1">
        <w:rPr>
          <w:rFonts w:asciiTheme="minorHAnsi" w:hAnsiTheme="minorHAnsi"/>
          <w:color w:val="000000"/>
        </w:rPr>
        <w:t>. London: Sage.</w:t>
      </w:r>
    </w:p>
    <w:p w14:paraId="4E5828FF"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Clark, A. (2017)</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Listening to young children: A guide to understanding and using the mosaic approach</w:t>
      </w:r>
      <w:r w:rsidRPr="003448A1">
        <w:rPr>
          <w:rFonts w:asciiTheme="minorHAnsi" w:hAnsiTheme="minorHAnsi"/>
          <w:color w:val="000000"/>
        </w:rPr>
        <w:t xml:space="preserve">. 2nd </w:t>
      </w:r>
      <w:proofErr w:type="spellStart"/>
      <w:r w:rsidRPr="003448A1">
        <w:rPr>
          <w:rFonts w:asciiTheme="minorHAnsi" w:hAnsiTheme="minorHAnsi"/>
          <w:color w:val="000000"/>
        </w:rPr>
        <w:t>edn</w:t>
      </w:r>
      <w:proofErr w:type="spellEnd"/>
      <w:r w:rsidRPr="003448A1">
        <w:rPr>
          <w:rFonts w:asciiTheme="minorHAnsi" w:hAnsiTheme="minorHAnsi"/>
          <w:color w:val="000000"/>
        </w:rPr>
        <w:t>. London: Jessica Kingsley.</w:t>
      </w:r>
    </w:p>
    <w:p w14:paraId="2729A1EB" w14:textId="636629EA"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Clifford, R.M., Reszka, S.S. and Rossbach, H.G. (2017) ‘Reliability and validity of ECERS’,</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Early Childhood Research Quarterly</w:t>
      </w:r>
      <w:r w:rsidRPr="003448A1">
        <w:rPr>
          <w:rFonts w:asciiTheme="minorHAnsi" w:hAnsiTheme="minorHAnsi"/>
          <w:color w:val="000000"/>
        </w:rPr>
        <w:t>, 40, pp. 1–10.</w:t>
      </w:r>
      <w:r w:rsidR="00261297">
        <w:rPr>
          <w:rFonts w:asciiTheme="minorHAnsi" w:hAnsiTheme="minorHAnsi"/>
          <w:color w:val="000000"/>
        </w:rPr>
        <w:t xml:space="preserve"> Available at: </w:t>
      </w:r>
      <w:hyperlink r:id="rId6" w:history="1">
        <w:r w:rsidR="00261297" w:rsidRPr="001B6DBF">
          <w:rPr>
            <w:rStyle w:val="Hyperlink"/>
            <w:rFonts w:asciiTheme="minorHAnsi" w:hAnsiTheme="minorHAnsi"/>
          </w:rPr>
          <w:t>https://ers.fpg.unc.edu/sites/ers.fpg.unc.edu/files/ReliabilityEcers.pdf</w:t>
        </w:r>
      </w:hyperlink>
      <w:r w:rsidR="00261297">
        <w:rPr>
          <w:rFonts w:asciiTheme="minorHAnsi" w:hAnsiTheme="minorHAnsi"/>
          <w:color w:val="000000"/>
        </w:rPr>
        <w:t xml:space="preserve"> (Accessed:</w:t>
      </w:r>
      <w:r w:rsidR="00DB604E">
        <w:rPr>
          <w:rFonts w:asciiTheme="minorHAnsi" w:hAnsiTheme="minorHAnsi"/>
          <w:color w:val="000000"/>
        </w:rPr>
        <w:t>26 March 2026).</w:t>
      </w:r>
    </w:p>
    <w:p w14:paraId="033581B3"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Dahlberg, G., Moss, P. and Pence, A. (2013)</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Beyond quality in early childhood education and care: Languages of evaluation</w:t>
      </w:r>
      <w:r w:rsidRPr="003448A1">
        <w:rPr>
          <w:rFonts w:asciiTheme="minorHAnsi" w:hAnsiTheme="minorHAnsi"/>
          <w:color w:val="000000"/>
        </w:rPr>
        <w:t xml:space="preserve">. 3rd </w:t>
      </w:r>
      <w:proofErr w:type="spellStart"/>
      <w:r w:rsidRPr="003448A1">
        <w:rPr>
          <w:rFonts w:asciiTheme="minorHAnsi" w:hAnsiTheme="minorHAnsi"/>
          <w:color w:val="000000"/>
        </w:rPr>
        <w:t>edn</w:t>
      </w:r>
      <w:proofErr w:type="spellEnd"/>
      <w:r w:rsidRPr="003448A1">
        <w:rPr>
          <w:rFonts w:asciiTheme="minorHAnsi" w:hAnsiTheme="minorHAnsi"/>
          <w:color w:val="000000"/>
        </w:rPr>
        <w:t>. London: Routledge.</w:t>
      </w:r>
    </w:p>
    <w:p w14:paraId="36BD74E3" w14:textId="517DA7DE"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Department for Education (2021)</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Study of Early Education and Development (SEED): Impact report</w:t>
      </w:r>
      <w:r w:rsidRPr="003448A1">
        <w:rPr>
          <w:rFonts w:asciiTheme="minorHAnsi" w:hAnsiTheme="minorHAnsi"/>
          <w:color w:val="000000"/>
        </w:rPr>
        <w:t xml:space="preserve">. </w:t>
      </w:r>
      <w:r w:rsidR="00045968">
        <w:rPr>
          <w:rFonts w:asciiTheme="minorHAnsi" w:hAnsiTheme="minorHAnsi"/>
          <w:color w:val="000000"/>
        </w:rPr>
        <w:t xml:space="preserve">Available at: </w:t>
      </w:r>
      <w:hyperlink r:id="rId7" w:history="1">
        <w:r w:rsidR="00045968" w:rsidRPr="001B6DBF">
          <w:rPr>
            <w:rStyle w:val="Hyperlink"/>
            <w:rFonts w:asciiTheme="minorHAnsi" w:hAnsiTheme="minorHAnsi"/>
          </w:rPr>
          <w:t>https://assets.publishing.service.gov.uk/media/68669aa2e134dfbc2e9e6d74/SEED_impact_report_on_early_education_use_and_child_outcomes_at_KS2.pdf</w:t>
        </w:r>
      </w:hyperlink>
      <w:r w:rsidR="00045968">
        <w:rPr>
          <w:rFonts w:asciiTheme="minorHAnsi" w:hAnsiTheme="minorHAnsi"/>
          <w:color w:val="000000"/>
        </w:rPr>
        <w:t xml:space="preserve"> (Accessed:</w:t>
      </w:r>
      <w:r w:rsidR="00DB604E">
        <w:rPr>
          <w:rFonts w:asciiTheme="minorHAnsi" w:hAnsiTheme="minorHAnsi"/>
          <w:color w:val="000000"/>
        </w:rPr>
        <w:t xml:space="preserve"> 23 March 2026).</w:t>
      </w:r>
    </w:p>
    <w:p w14:paraId="1D39FF89"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Douglass, A. (2019)</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Leading for change in early care and education: Cultivating leadership from within</w:t>
      </w:r>
      <w:r w:rsidRPr="003448A1">
        <w:rPr>
          <w:rFonts w:asciiTheme="minorHAnsi" w:hAnsiTheme="minorHAnsi"/>
          <w:color w:val="000000"/>
        </w:rPr>
        <w:t>. New York: Teachers College Press.</w:t>
      </w:r>
    </w:p>
    <w:p w14:paraId="550CF7CB" w14:textId="50BC08C8"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Eraut, M. (2004) ‘Informal learning in the workplace’,</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Studies in Continuing Education</w:t>
      </w:r>
      <w:r w:rsidRPr="003448A1">
        <w:rPr>
          <w:rFonts w:asciiTheme="minorHAnsi" w:hAnsiTheme="minorHAnsi"/>
          <w:color w:val="000000"/>
        </w:rPr>
        <w:t>, 26(2), pp. 247–273.</w:t>
      </w:r>
      <w:r w:rsidR="00CB5133">
        <w:rPr>
          <w:rFonts w:asciiTheme="minorHAnsi" w:hAnsiTheme="minorHAnsi"/>
          <w:color w:val="000000"/>
        </w:rPr>
        <w:t xml:space="preserve"> Available at: </w:t>
      </w:r>
      <w:hyperlink r:id="rId8" w:history="1">
        <w:r w:rsidR="00CB5133" w:rsidRPr="001B6DBF">
          <w:rPr>
            <w:rStyle w:val="Hyperlink"/>
            <w:rFonts w:asciiTheme="minorHAnsi" w:hAnsiTheme="minorHAnsi"/>
          </w:rPr>
          <w:t>https://www.tandfonline.com/doi/full/10.1080/158037042000225245</w:t>
        </w:r>
      </w:hyperlink>
      <w:r w:rsidR="00CB5133">
        <w:rPr>
          <w:rFonts w:asciiTheme="minorHAnsi" w:hAnsiTheme="minorHAnsi"/>
          <w:color w:val="000000"/>
        </w:rPr>
        <w:t xml:space="preserve"> (Accessed:</w:t>
      </w:r>
      <w:r w:rsidR="00DB604E">
        <w:rPr>
          <w:rFonts w:asciiTheme="minorHAnsi" w:hAnsiTheme="minorHAnsi"/>
          <w:color w:val="000000"/>
        </w:rPr>
        <w:t xml:space="preserve"> 29 March 2026).</w:t>
      </w:r>
    </w:p>
    <w:p w14:paraId="6D8B1C75" w14:textId="1B393B9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Fenech, M. (2011) ‘An analysis of the conceptualisation of “quality” in early childhood education and care empirical research’,</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Contemporary Issues in Early Childhood</w:t>
      </w:r>
      <w:r w:rsidRPr="003448A1">
        <w:rPr>
          <w:rFonts w:asciiTheme="minorHAnsi" w:hAnsiTheme="minorHAnsi"/>
          <w:color w:val="000000"/>
        </w:rPr>
        <w:t>, 12(2), pp. 102–117.</w:t>
      </w:r>
      <w:r w:rsidR="005C0C89">
        <w:rPr>
          <w:rFonts w:asciiTheme="minorHAnsi" w:hAnsiTheme="minorHAnsi"/>
          <w:color w:val="000000"/>
        </w:rPr>
        <w:t xml:space="preserve"> Available at: </w:t>
      </w:r>
      <w:hyperlink r:id="rId9" w:history="1">
        <w:r w:rsidR="005C0C89" w:rsidRPr="001B6DBF">
          <w:rPr>
            <w:rStyle w:val="Hyperlink"/>
            <w:rFonts w:asciiTheme="minorHAnsi" w:hAnsiTheme="minorHAnsi"/>
          </w:rPr>
          <w:t>https://researchers.mq.edu.au/en/publications/an-analysis-of-the-conceptualisation-of-quality-in-early-childhoo/</w:t>
        </w:r>
      </w:hyperlink>
      <w:r w:rsidR="005C0C89">
        <w:rPr>
          <w:rFonts w:asciiTheme="minorHAnsi" w:hAnsiTheme="minorHAnsi"/>
          <w:color w:val="000000"/>
        </w:rPr>
        <w:t xml:space="preserve"> (Accessed:</w:t>
      </w:r>
      <w:r w:rsidR="00DB604E">
        <w:rPr>
          <w:rFonts w:asciiTheme="minorHAnsi" w:hAnsiTheme="minorHAnsi"/>
          <w:color w:val="000000"/>
        </w:rPr>
        <w:t xml:space="preserve"> 29 March 2026).</w:t>
      </w:r>
    </w:p>
    <w:p w14:paraId="0CCF9C0F" w14:textId="7CC9F0A9"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lastRenderedPageBreak/>
        <w:t>Hamre, B.K., Hatfield, B.E., Pianta, R.C. and Jamil, F.M. (2014) ‘Evidence for general and domain-specific elements of teacher–child interactions’,</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Child Development</w:t>
      </w:r>
      <w:r w:rsidRPr="003448A1">
        <w:rPr>
          <w:rFonts w:asciiTheme="minorHAnsi" w:hAnsiTheme="minorHAnsi"/>
          <w:color w:val="000000"/>
        </w:rPr>
        <w:t>, 85(3), pp. 1257–1274.</w:t>
      </w:r>
      <w:r w:rsidR="007E5FCA">
        <w:rPr>
          <w:rFonts w:asciiTheme="minorHAnsi" w:hAnsiTheme="minorHAnsi"/>
          <w:color w:val="000000"/>
        </w:rPr>
        <w:t xml:space="preserve"> Available at: </w:t>
      </w:r>
      <w:hyperlink r:id="rId10" w:history="1">
        <w:r w:rsidR="007E5FCA" w:rsidRPr="001B6DBF">
          <w:rPr>
            <w:rStyle w:val="Hyperlink"/>
            <w:rFonts w:asciiTheme="minorHAnsi" w:hAnsiTheme="minorHAnsi"/>
          </w:rPr>
          <w:t>https://pubmed.ncbi.nlm.nih.gov/24255933/</w:t>
        </w:r>
      </w:hyperlink>
      <w:r w:rsidR="007E5FCA">
        <w:rPr>
          <w:rFonts w:asciiTheme="minorHAnsi" w:hAnsiTheme="minorHAnsi"/>
          <w:color w:val="000000"/>
        </w:rPr>
        <w:t xml:space="preserve"> (Accessed:</w:t>
      </w:r>
      <w:r w:rsidR="00DB604E">
        <w:rPr>
          <w:rFonts w:asciiTheme="minorHAnsi" w:hAnsiTheme="minorHAnsi"/>
          <w:color w:val="000000"/>
        </w:rPr>
        <w:t>25 March 2026).</w:t>
      </w:r>
    </w:p>
    <w:p w14:paraId="13A29FFA"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Harms, T., Clifford, R.M. and Cryer, D. (2015)</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Early Childhood Environment Rating Scale (ECERS-3)</w:t>
      </w:r>
      <w:r w:rsidRPr="003448A1">
        <w:rPr>
          <w:rFonts w:asciiTheme="minorHAnsi" w:hAnsiTheme="minorHAnsi"/>
          <w:color w:val="000000"/>
        </w:rPr>
        <w:t>. New York: Teachers College Press.</w:t>
      </w:r>
    </w:p>
    <w:p w14:paraId="60DFF9F5" w14:textId="5FA2C339"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Heikka, J. and Waniganayake, M. (2011) ‘Pedagogical leadership from a distributed perspective’,</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International Journal of Leadership in Education</w:t>
      </w:r>
      <w:r w:rsidRPr="003448A1">
        <w:rPr>
          <w:rFonts w:asciiTheme="minorHAnsi" w:hAnsiTheme="minorHAnsi"/>
          <w:color w:val="000000"/>
        </w:rPr>
        <w:t>, 14(4), pp. 499–512.</w:t>
      </w:r>
      <w:r w:rsidR="00485BF5">
        <w:rPr>
          <w:rFonts w:asciiTheme="minorHAnsi" w:hAnsiTheme="minorHAnsi"/>
          <w:color w:val="000000"/>
        </w:rPr>
        <w:t xml:space="preserve"> Available at: </w:t>
      </w:r>
      <w:hyperlink r:id="rId11" w:history="1">
        <w:r w:rsidR="00485BF5" w:rsidRPr="001B6DBF">
          <w:rPr>
            <w:rStyle w:val="Hyperlink"/>
            <w:rFonts w:asciiTheme="minorHAnsi" w:hAnsiTheme="minorHAnsi"/>
          </w:rPr>
          <w:t>https://www.researchgate.net/publication/254227664_Pedagogical_leadership_from_a_distributed_perspective_within_the_context_of_early_childhood_education</w:t>
        </w:r>
      </w:hyperlink>
      <w:r w:rsidR="00485BF5">
        <w:rPr>
          <w:rFonts w:asciiTheme="minorHAnsi" w:hAnsiTheme="minorHAnsi"/>
          <w:color w:val="000000"/>
        </w:rPr>
        <w:t xml:space="preserve"> (Accessed:</w:t>
      </w:r>
      <w:r w:rsidR="00DB604E">
        <w:rPr>
          <w:rFonts w:asciiTheme="minorHAnsi" w:hAnsiTheme="minorHAnsi"/>
          <w:color w:val="000000"/>
        </w:rPr>
        <w:t xml:space="preserve"> 29 March 2026).</w:t>
      </w:r>
    </w:p>
    <w:p w14:paraId="0B85186E" w14:textId="2889C4A0"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Lundy, L. (2007) ‘“Voice” is not enough’,</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British Educational Research Journal</w:t>
      </w:r>
      <w:r w:rsidRPr="003448A1">
        <w:rPr>
          <w:rFonts w:asciiTheme="minorHAnsi" w:hAnsiTheme="minorHAnsi"/>
          <w:color w:val="000000"/>
        </w:rPr>
        <w:t>, 33(6), pp. 927–942.</w:t>
      </w:r>
      <w:r w:rsidR="0016525E">
        <w:rPr>
          <w:rFonts w:asciiTheme="minorHAnsi" w:hAnsiTheme="minorHAnsi"/>
          <w:color w:val="000000"/>
        </w:rPr>
        <w:t xml:space="preserve"> Available at: </w:t>
      </w:r>
      <w:hyperlink r:id="rId12" w:history="1">
        <w:r w:rsidR="0016525E" w:rsidRPr="001B6DBF">
          <w:rPr>
            <w:rStyle w:val="Hyperlink"/>
            <w:rFonts w:asciiTheme="minorHAnsi" w:hAnsiTheme="minorHAnsi"/>
          </w:rPr>
          <w:t>https://www.tandfonline.com/doi/full/10.1080/01411920701657033</w:t>
        </w:r>
      </w:hyperlink>
      <w:r w:rsidR="0016525E">
        <w:rPr>
          <w:rFonts w:asciiTheme="minorHAnsi" w:hAnsiTheme="minorHAnsi"/>
          <w:color w:val="000000"/>
        </w:rPr>
        <w:t xml:space="preserve"> (Accessed: </w:t>
      </w:r>
      <w:r w:rsidR="00DB604E">
        <w:rPr>
          <w:rFonts w:asciiTheme="minorHAnsi" w:hAnsiTheme="minorHAnsi"/>
          <w:color w:val="000000"/>
        </w:rPr>
        <w:t>29 March 2026).</w:t>
      </w:r>
    </w:p>
    <w:p w14:paraId="0C06E112"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 xml:space="preserve">Mathers, S., Singler, R. and </w:t>
      </w:r>
      <w:proofErr w:type="spellStart"/>
      <w:r w:rsidRPr="003448A1">
        <w:rPr>
          <w:rFonts w:asciiTheme="minorHAnsi" w:hAnsiTheme="minorHAnsi"/>
          <w:color w:val="000000"/>
        </w:rPr>
        <w:t>Karemaker</w:t>
      </w:r>
      <w:proofErr w:type="spellEnd"/>
      <w:r w:rsidRPr="003448A1">
        <w:rPr>
          <w:rFonts w:asciiTheme="minorHAnsi" w:hAnsiTheme="minorHAnsi"/>
          <w:color w:val="000000"/>
        </w:rPr>
        <w:t>, A. (2014)</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Improving quality in the early years: A comparison of perspectives and measures</w:t>
      </w:r>
      <w:r w:rsidRPr="003448A1">
        <w:rPr>
          <w:rFonts w:asciiTheme="minorHAnsi" w:hAnsiTheme="minorHAnsi"/>
          <w:color w:val="000000"/>
        </w:rPr>
        <w:t>. London: Nuffield Foundation.</w:t>
      </w:r>
    </w:p>
    <w:p w14:paraId="7EF53059" w14:textId="2C6E66A1"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McDermott, C.L. (2013) ‘Certification and equity: Applying an “equity framework” to compare certification schemes across product sectors and scales’,</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Environmental Science &amp; Policy</w:t>
      </w:r>
      <w:r w:rsidRPr="003448A1">
        <w:rPr>
          <w:rFonts w:asciiTheme="minorHAnsi" w:hAnsiTheme="minorHAnsi"/>
          <w:color w:val="000000"/>
        </w:rPr>
        <w:t>, 33, pp. 428–437.</w:t>
      </w:r>
      <w:r w:rsidR="0016525E">
        <w:rPr>
          <w:rFonts w:asciiTheme="minorHAnsi" w:hAnsiTheme="minorHAnsi"/>
          <w:color w:val="000000"/>
        </w:rPr>
        <w:t xml:space="preserve"> Available at: </w:t>
      </w:r>
      <w:hyperlink r:id="rId13" w:history="1">
        <w:r w:rsidR="0016525E" w:rsidRPr="001B6DBF">
          <w:rPr>
            <w:rStyle w:val="Hyperlink"/>
            <w:rFonts w:asciiTheme="minorHAnsi" w:hAnsiTheme="minorHAnsi"/>
          </w:rPr>
          <w:t>https://www.sciencedirect.com/science/article/pii/S1462901112000883?casa_token=byYQZjhdVSoAAAAA:1VSgRlNx_Mpn7gKQv3RJqbUEZzu5wSVZANMxZLiCrqqLWIuqFMMF42pIagt4YiOfN5ctZAgumNBs</w:t>
        </w:r>
      </w:hyperlink>
      <w:r w:rsidR="0016525E">
        <w:rPr>
          <w:rFonts w:asciiTheme="minorHAnsi" w:hAnsiTheme="minorHAnsi"/>
          <w:color w:val="000000"/>
        </w:rPr>
        <w:t xml:space="preserve"> (Accessed: </w:t>
      </w:r>
      <w:r w:rsidR="009B4881">
        <w:rPr>
          <w:rFonts w:asciiTheme="minorHAnsi" w:hAnsiTheme="minorHAnsi"/>
          <w:color w:val="000000"/>
        </w:rPr>
        <w:t>26 March 2026).</w:t>
      </w:r>
    </w:p>
    <w:p w14:paraId="1F4CCB1B" w14:textId="64CABC81"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 xml:space="preserve">Melhuish, E., </w:t>
      </w:r>
      <w:proofErr w:type="spellStart"/>
      <w:r w:rsidRPr="003448A1">
        <w:rPr>
          <w:rFonts w:asciiTheme="minorHAnsi" w:hAnsiTheme="minorHAnsi"/>
          <w:color w:val="000000"/>
        </w:rPr>
        <w:t>Ereky</w:t>
      </w:r>
      <w:proofErr w:type="spellEnd"/>
      <w:r w:rsidRPr="003448A1">
        <w:rPr>
          <w:rFonts w:asciiTheme="minorHAnsi" w:hAnsiTheme="minorHAnsi"/>
          <w:color w:val="000000"/>
        </w:rPr>
        <w:t xml:space="preserve">-Stevens, K., </w:t>
      </w:r>
      <w:proofErr w:type="spellStart"/>
      <w:r w:rsidRPr="003448A1">
        <w:rPr>
          <w:rFonts w:asciiTheme="minorHAnsi" w:hAnsiTheme="minorHAnsi"/>
          <w:color w:val="000000"/>
        </w:rPr>
        <w:t>Petrogiannis</w:t>
      </w:r>
      <w:proofErr w:type="spellEnd"/>
      <w:r w:rsidRPr="003448A1">
        <w:rPr>
          <w:rFonts w:asciiTheme="minorHAnsi" w:hAnsiTheme="minorHAnsi"/>
          <w:color w:val="000000"/>
        </w:rPr>
        <w:t>, K. et al. (2015) ‘A review of research on the effects of early childhood education and care (ECEC) upon child development’, CARE Project Report. Brussels: European Commission.</w:t>
      </w:r>
      <w:r w:rsidR="00294A9A">
        <w:rPr>
          <w:rFonts w:asciiTheme="minorHAnsi" w:hAnsiTheme="minorHAnsi"/>
          <w:color w:val="000000"/>
        </w:rPr>
        <w:t xml:space="preserve"> Available at: </w:t>
      </w:r>
      <w:hyperlink r:id="rId14" w:history="1">
        <w:r w:rsidR="00294A9A" w:rsidRPr="001B6DBF">
          <w:rPr>
            <w:rStyle w:val="Hyperlink"/>
            <w:rFonts w:asciiTheme="minorHAnsi" w:hAnsiTheme="minorHAnsi"/>
          </w:rPr>
          <w:t>https://ora.ox.ac.uk/objects/uuid:bb919f6f-cd43-42d8-89ff-da525dc63554</w:t>
        </w:r>
      </w:hyperlink>
      <w:r w:rsidR="00294A9A">
        <w:rPr>
          <w:rFonts w:asciiTheme="minorHAnsi" w:hAnsiTheme="minorHAnsi"/>
          <w:color w:val="000000"/>
        </w:rPr>
        <w:t xml:space="preserve"> (Accessed: </w:t>
      </w:r>
      <w:r w:rsidR="00F34210">
        <w:rPr>
          <w:rFonts w:asciiTheme="minorHAnsi" w:hAnsiTheme="minorHAnsi"/>
          <w:color w:val="000000"/>
        </w:rPr>
        <w:t>23 March 2026).</w:t>
      </w:r>
    </w:p>
    <w:p w14:paraId="60189F8D" w14:textId="3E3ADD84"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Moss, P. (2016) ‘Why can’t we get beyond quality?’,</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Contemporary Issues in Early Childhood</w:t>
      </w:r>
      <w:r w:rsidRPr="003448A1">
        <w:rPr>
          <w:rFonts w:asciiTheme="minorHAnsi" w:hAnsiTheme="minorHAnsi"/>
          <w:color w:val="000000"/>
        </w:rPr>
        <w:t>, 17(1), pp. 8–15.</w:t>
      </w:r>
      <w:r w:rsidR="00F33242">
        <w:rPr>
          <w:rFonts w:asciiTheme="minorHAnsi" w:hAnsiTheme="minorHAnsi"/>
          <w:color w:val="000000"/>
        </w:rPr>
        <w:t xml:space="preserve"> Available at: </w:t>
      </w:r>
      <w:hyperlink r:id="rId15" w:history="1">
        <w:r w:rsidR="00F33242" w:rsidRPr="001B6DBF">
          <w:rPr>
            <w:rStyle w:val="Hyperlink"/>
            <w:rFonts w:asciiTheme="minorHAnsi" w:hAnsiTheme="minorHAnsi"/>
          </w:rPr>
          <w:t>https://journals.sagepub.com/doi/abs/10.1177/1463949115627895</w:t>
        </w:r>
      </w:hyperlink>
      <w:r w:rsidR="00F33242">
        <w:rPr>
          <w:rFonts w:asciiTheme="minorHAnsi" w:hAnsiTheme="minorHAnsi"/>
          <w:color w:val="000000"/>
        </w:rPr>
        <w:t xml:space="preserve"> (Accessed:</w:t>
      </w:r>
      <w:r w:rsidR="00F34210">
        <w:rPr>
          <w:rFonts w:asciiTheme="minorHAnsi" w:hAnsiTheme="minorHAnsi"/>
          <w:color w:val="000000"/>
        </w:rPr>
        <w:t xml:space="preserve"> 25 March 2026).</w:t>
      </w:r>
    </w:p>
    <w:p w14:paraId="2BADCEC6" w14:textId="040786A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OECD (2020)</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Early learning and child well-being: A study of five-year-olds in England, Estonia, and the United States</w:t>
      </w:r>
      <w:r w:rsidRPr="003448A1">
        <w:rPr>
          <w:rFonts w:asciiTheme="minorHAnsi" w:hAnsiTheme="minorHAnsi"/>
          <w:color w:val="000000"/>
        </w:rPr>
        <w:t>. Paris: OECD Publishing.</w:t>
      </w:r>
      <w:r w:rsidR="00C84A48">
        <w:rPr>
          <w:rFonts w:asciiTheme="minorHAnsi" w:hAnsiTheme="minorHAnsi"/>
          <w:color w:val="000000"/>
        </w:rPr>
        <w:t xml:space="preserve"> Available at: </w:t>
      </w:r>
      <w:hyperlink r:id="rId16" w:history="1">
        <w:r w:rsidR="00C84A48" w:rsidRPr="001B6DBF">
          <w:rPr>
            <w:rStyle w:val="Hyperlink"/>
            <w:rFonts w:asciiTheme="minorHAnsi" w:hAnsiTheme="minorHAnsi"/>
          </w:rPr>
          <w:t>https://www.oecd.org/content/dam/oecd/en/publications/reports/2020/03/early-learning-and-child-well-being_74042660/3990407f-en.pdf</w:t>
        </w:r>
      </w:hyperlink>
      <w:r w:rsidR="00C84A48">
        <w:rPr>
          <w:rFonts w:asciiTheme="minorHAnsi" w:hAnsiTheme="minorHAnsi"/>
          <w:color w:val="000000"/>
        </w:rPr>
        <w:t xml:space="preserve"> (Accessed:</w:t>
      </w:r>
      <w:r w:rsidR="00F34210">
        <w:rPr>
          <w:rFonts w:asciiTheme="minorHAnsi" w:hAnsiTheme="minorHAnsi"/>
          <w:color w:val="000000"/>
        </w:rPr>
        <w:t xml:space="preserve"> 25 March 2026).</w:t>
      </w:r>
    </w:p>
    <w:p w14:paraId="45E240A5" w14:textId="1225CE55"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OECD (2022)</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Starting strong VI: Supporting meaningful interactions in early childhood education and care</w:t>
      </w:r>
      <w:r w:rsidRPr="003448A1">
        <w:rPr>
          <w:rFonts w:asciiTheme="minorHAnsi" w:hAnsiTheme="minorHAnsi"/>
          <w:color w:val="000000"/>
        </w:rPr>
        <w:t>. Paris: OECD Publishing.</w:t>
      </w:r>
      <w:r w:rsidR="00C15A7A">
        <w:rPr>
          <w:rFonts w:asciiTheme="minorHAnsi" w:hAnsiTheme="minorHAnsi"/>
          <w:color w:val="000000"/>
        </w:rPr>
        <w:t xml:space="preserve"> Available at: </w:t>
      </w:r>
      <w:hyperlink r:id="rId17" w:history="1">
        <w:r w:rsidR="00C15A7A" w:rsidRPr="001B6DBF">
          <w:rPr>
            <w:rStyle w:val="Hyperlink"/>
            <w:rFonts w:asciiTheme="minorHAnsi" w:hAnsiTheme="minorHAnsi"/>
          </w:rPr>
          <w:t>https://www.oecd.org/content/dam/oecd/en/publications/reports/2021/06/starting-strong-vi_0a304435/f47a06ae-en.pdf</w:t>
        </w:r>
      </w:hyperlink>
      <w:r w:rsidR="00C15A7A">
        <w:rPr>
          <w:rFonts w:asciiTheme="minorHAnsi" w:hAnsiTheme="minorHAnsi"/>
          <w:color w:val="000000"/>
        </w:rPr>
        <w:t xml:space="preserve"> (Accessed:</w:t>
      </w:r>
      <w:r w:rsidR="00F34210">
        <w:rPr>
          <w:rFonts w:asciiTheme="minorHAnsi" w:hAnsiTheme="minorHAnsi"/>
          <w:color w:val="000000"/>
        </w:rPr>
        <w:t xml:space="preserve"> 23 March 2026). </w:t>
      </w:r>
    </w:p>
    <w:p w14:paraId="13D6D50F"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Osgood, J. (2021)</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Feminists researching gendered childhoods: Generative entanglements</w:t>
      </w:r>
      <w:r w:rsidRPr="003448A1">
        <w:rPr>
          <w:rFonts w:asciiTheme="minorHAnsi" w:hAnsiTheme="minorHAnsi"/>
          <w:color w:val="000000"/>
        </w:rPr>
        <w:t>. London: Bloomsbury.</w:t>
      </w:r>
    </w:p>
    <w:p w14:paraId="33B84F21" w14:textId="455C2E4E"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Pascal, C., Bertram, T. and Rouse, L. (2019)</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 xml:space="preserve">Getting it right in the early </w:t>
      </w:r>
      <w:proofErr w:type="gramStart"/>
      <w:r w:rsidRPr="003448A1">
        <w:rPr>
          <w:rStyle w:val="Emphasis"/>
          <w:rFonts w:asciiTheme="minorHAnsi" w:eastAsiaTheme="majorEastAsia" w:hAnsiTheme="minorHAnsi"/>
          <w:color w:val="000000"/>
        </w:rPr>
        <w:t>years</w:t>
      </w:r>
      <w:proofErr w:type="gramEnd"/>
      <w:r w:rsidRPr="003448A1">
        <w:rPr>
          <w:rStyle w:val="Emphasis"/>
          <w:rFonts w:asciiTheme="minorHAnsi" w:eastAsiaTheme="majorEastAsia" w:hAnsiTheme="minorHAnsi"/>
          <w:color w:val="000000"/>
        </w:rPr>
        <w:t xml:space="preserve"> foundation stage: A review of the evidence</w:t>
      </w:r>
      <w:r w:rsidRPr="003448A1">
        <w:rPr>
          <w:rFonts w:asciiTheme="minorHAnsi" w:hAnsiTheme="minorHAnsi"/>
          <w:color w:val="000000"/>
        </w:rPr>
        <w:t xml:space="preserve">. </w:t>
      </w:r>
      <w:r w:rsidR="00C15A7A">
        <w:rPr>
          <w:rFonts w:asciiTheme="minorHAnsi" w:hAnsiTheme="minorHAnsi"/>
          <w:color w:val="000000"/>
        </w:rPr>
        <w:t xml:space="preserve">Available at: </w:t>
      </w:r>
      <w:hyperlink r:id="rId18" w:history="1">
        <w:r w:rsidR="00C15A7A" w:rsidRPr="001B6DBF">
          <w:rPr>
            <w:rStyle w:val="Hyperlink"/>
            <w:rFonts w:asciiTheme="minorHAnsi" w:hAnsiTheme="minorHAnsi"/>
          </w:rPr>
          <w:t>https://early-education.org.uk/wp-content/uploads/2021/12/Getting-it-right-in-the-EYFS-Literature-Review.pdf</w:t>
        </w:r>
      </w:hyperlink>
      <w:r w:rsidR="00C15A7A">
        <w:rPr>
          <w:rFonts w:asciiTheme="minorHAnsi" w:hAnsiTheme="minorHAnsi"/>
          <w:color w:val="000000"/>
        </w:rPr>
        <w:t xml:space="preserve"> (Accessed:</w:t>
      </w:r>
      <w:r w:rsidR="00B40BCA">
        <w:rPr>
          <w:rFonts w:asciiTheme="minorHAnsi" w:hAnsiTheme="minorHAnsi"/>
          <w:color w:val="000000"/>
        </w:rPr>
        <w:t xml:space="preserve"> 23 March 2026).</w:t>
      </w:r>
    </w:p>
    <w:p w14:paraId="40C0850C"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Penn, H. (2011)</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Quality in early childhood services</w:t>
      </w:r>
      <w:r w:rsidRPr="003448A1">
        <w:rPr>
          <w:rFonts w:asciiTheme="minorHAnsi" w:hAnsiTheme="minorHAnsi"/>
          <w:color w:val="000000"/>
        </w:rPr>
        <w:t>. Maidenhead: Open University Press.</w:t>
      </w:r>
    </w:p>
    <w:p w14:paraId="34BCF1F4" w14:textId="24E8FE4A"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Pianta, R.C., Downer, J.T. and Hamre, B.K. (2016) ‘Quality in early education classrooms’,</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Future of Children</w:t>
      </w:r>
      <w:r w:rsidRPr="003448A1">
        <w:rPr>
          <w:rFonts w:asciiTheme="minorHAnsi" w:hAnsiTheme="minorHAnsi"/>
          <w:color w:val="000000"/>
        </w:rPr>
        <w:t>, 26(2), pp. 119–137.</w:t>
      </w:r>
      <w:r w:rsidR="00C15A7A">
        <w:rPr>
          <w:rFonts w:asciiTheme="minorHAnsi" w:hAnsiTheme="minorHAnsi"/>
          <w:color w:val="000000"/>
        </w:rPr>
        <w:t xml:space="preserve"> Available at: </w:t>
      </w:r>
      <w:hyperlink r:id="rId19" w:history="1">
        <w:r w:rsidR="00C15A7A" w:rsidRPr="001B6DBF">
          <w:rPr>
            <w:rStyle w:val="Hyperlink"/>
            <w:rFonts w:asciiTheme="minorHAnsi" w:hAnsiTheme="minorHAnsi"/>
          </w:rPr>
          <w:t>https://files.eric.ed.gov/fulltext/EJ1118551.pdf</w:t>
        </w:r>
      </w:hyperlink>
      <w:r w:rsidR="00C15A7A">
        <w:rPr>
          <w:rFonts w:asciiTheme="minorHAnsi" w:hAnsiTheme="minorHAnsi"/>
          <w:color w:val="000000"/>
        </w:rPr>
        <w:t xml:space="preserve"> (Accessed: </w:t>
      </w:r>
      <w:r w:rsidR="00DB604E">
        <w:rPr>
          <w:rFonts w:asciiTheme="minorHAnsi" w:hAnsiTheme="minorHAnsi"/>
          <w:color w:val="000000"/>
        </w:rPr>
        <w:t>26 March 2026).</w:t>
      </w:r>
    </w:p>
    <w:p w14:paraId="4F9AFA40" w14:textId="36E482EA"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Richards, C. (2022)</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Early childhood directors’ perspectives regarding barriers to childcare quality improvement</w:t>
      </w:r>
      <w:r w:rsidRPr="003448A1">
        <w:rPr>
          <w:rFonts w:asciiTheme="minorHAnsi" w:hAnsiTheme="minorHAnsi"/>
          <w:color w:val="000000"/>
        </w:rPr>
        <w:t xml:space="preserve">. </w:t>
      </w:r>
      <w:r w:rsidR="000249F0">
        <w:rPr>
          <w:rFonts w:asciiTheme="minorHAnsi" w:hAnsiTheme="minorHAnsi"/>
          <w:color w:val="000000"/>
        </w:rPr>
        <w:t xml:space="preserve">Available at: </w:t>
      </w:r>
      <w:hyperlink r:id="rId20" w:history="1">
        <w:r w:rsidR="000249F0" w:rsidRPr="001B6DBF">
          <w:rPr>
            <w:rStyle w:val="Hyperlink"/>
            <w:rFonts w:asciiTheme="minorHAnsi" w:hAnsiTheme="minorHAnsi"/>
          </w:rPr>
          <w:t>https://www.proquest.com/docview/2654047435?fromopenview=true&amp;pq-origsite=gscholar&amp;sourcetype=Dissertations%20&amp;%20Theses</w:t>
        </w:r>
      </w:hyperlink>
      <w:r w:rsidR="000249F0">
        <w:rPr>
          <w:rFonts w:asciiTheme="minorHAnsi" w:hAnsiTheme="minorHAnsi"/>
          <w:color w:val="000000"/>
        </w:rPr>
        <w:t xml:space="preserve"> (Accessed:</w:t>
      </w:r>
      <w:r w:rsidR="00DB604E">
        <w:rPr>
          <w:rFonts w:asciiTheme="minorHAnsi" w:hAnsiTheme="minorHAnsi"/>
          <w:color w:val="000000"/>
        </w:rPr>
        <w:t xml:space="preserve"> 29 March 2026).</w:t>
      </w:r>
    </w:p>
    <w:p w14:paraId="077F5693" w14:textId="77777777"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Schön, D.A. (1983)</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The reflective practitioner</w:t>
      </w:r>
      <w:r w:rsidRPr="003448A1">
        <w:rPr>
          <w:rFonts w:asciiTheme="minorHAnsi" w:hAnsiTheme="minorHAnsi"/>
          <w:color w:val="000000"/>
        </w:rPr>
        <w:t>. New York: Basic Books.</w:t>
      </w:r>
    </w:p>
    <w:p w14:paraId="3B28F967" w14:textId="1EB87A2B"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Siraj, I., Kingston, D. and Melhuish, E. (2015)</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Assessing quality in early childhood education and care: Sustained shared thinking and emotional well-being (SSTEW) scale</w:t>
      </w:r>
      <w:r w:rsidRPr="003448A1">
        <w:rPr>
          <w:rFonts w:asciiTheme="minorHAnsi" w:hAnsiTheme="minorHAnsi"/>
          <w:color w:val="000000"/>
        </w:rPr>
        <w:t>. London: UCL Institute of Education Press.</w:t>
      </w:r>
      <w:r w:rsidR="000249F0">
        <w:rPr>
          <w:rFonts w:asciiTheme="minorHAnsi" w:hAnsiTheme="minorHAnsi"/>
          <w:color w:val="000000"/>
        </w:rPr>
        <w:t xml:space="preserve"> Available at: </w:t>
      </w:r>
      <w:hyperlink r:id="rId21" w:history="1">
        <w:r w:rsidR="000249F0" w:rsidRPr="001B6DBF">
          <w:rPr>
            <w:rStyle w:val="Hyperlink"/>
            <w:rFonts w:asciiTheme="minorHAnsi" w:hAnsiTheme="minorHAnsi"/>
          </w:rPr>
          <w:t>https://www.researchgate.net/publication/272349364_Assessing_Quality_in_early_Childhood_Education_and_Care_Sustained_shared_thinking_and_emotional_well-being_SSTEW_for_2-5_year-olds_provision</w:t>
        </w:r>
      </w:hyperlink>
      <w:r w:rsidR="000249F0">
        <w:rPr>
          <w:rFonts w:asciiTheme="minorHAnsi" w:hAnsiTheme="minorHAnsi"/>
          <w:color w:val="000000"/>
        </w:rPr>
        <w:t xml:space="preserve"> (Accessed:</w:t>
      </w:r>
      <w:r w:rsidR="00DB604E">
        <w:rPr>
          <w:rFonts w:asciiTheme="minorHAnsi" w:hAnsiTheme="minorHAnsi"/>
          <w:color w:val="000000"/>
        </w:rPr>
        <w:t xml:space="preserve"> 26 March 2026).</w:t>
      </w:r>
    </w:p>
    <w:p w14:paraId="2DF4C082" w14:textId="5AA8949F"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Siraj-Blatchford, I. and Manni, L. (20</w:t>
      </w:r>
      <w:r w:rsidR="00D93AEF">
        <w:rPr>
          <w:rFonts w:asciiTheme="minorHAnsi" w:hAnsiTheme="minorHAnsi"/>
          <w:color w:val="000000"/>
        </w:rPr>
        <w:t>07</w:t>
      </w:r>
      <w:r w:rsidRPr="003448A1">
        <w:rPr>
          <w:rFonts w:asciiTheme="minorHAnsi" w:hAnsiTheme="minorHAnsi"/>
          <w:color w:val="000000"/>
        </w:rPr>
        <w:t>)</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Effective leadership in the early years sector</w:t>
      </w:r>
      <w:r w:rsidRPr="003448A1">
        <w:rPr>
          <w:rFonts w:asciiTheme="minorHAnsi" w:hAnsiTheme="minorHAnsi"/>
          <w:color w:val="000000"/>
        </w:rPr>
        <w:t>. London: Education Development Trust.</w:t>
      </w:r>
    </w:p>
    <w:p w14:paraId="2189F7C5" w14:textId="11A4306F"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Sims, M. and Waniganayake, M. (2015) ‘The performance of compliance’,</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Australasian Journal of Early Childhood</w:t>
      </w:r>
      <w:r w:rsidRPr="003448A1">
        <w:rPr>
          <w:rFonts w:asciiTheme="minorHAnsi" w:hAnsiTheme="minorHAnsi"/>
          <w:color w:val="000000"/>
        </w:rPr>
        <w:t>, 40(3), pp. 15–21.</w:t>
      </w:r>
      <w:r w:rsidR="00925332">
        <w:rPr>
          <w:rFonts w:asciiTheme="minorHAnsi" w:hAnsiTheme="minorHAnsi"/>
          <w:color w:val="000000"/>
        </w:rPr>
        <w:t xml:space="preserve"> Available at: </w:t>
      </w:r>
      <w:hyperlink r:id="rId22" w:history="1">
        <w:r w:rsidR="00925332" w:rsidRPr="001B6DBF">
          <w:rPr>
            <w:rStyle w:val="Hyperlink"/>
            <w:rFonts w:asciiTheme="minorHAnsi" w:hAnsiTheme="minorHAnsi"/>
          </w:rPr>
          <w:t>https://rune.une.edu.au/entities/publication/0e38e69f-4868-4be1-b9e2-a599847266ba</w:t>
        </w:r>
      </w:hyperlink>
      <w:r w:rsidR="00925332">
        <w:rPr>
          <w:rFonts w:asciiTheme="minorHAnsi" w:hAnsiTheme="minorHAnsi"/>
          <w:color w:val="000000"/>
        </w:rPr>
        <w:t xml:space="preserve"> (Accessed:</w:t>
      </w:r>
      <w:r w:rsidR="006D5E2D">
        <w:rPr>
          <w:rFonts w:asciiTheme="minorHAnsi" w:hAnsiTheme="minorHAnsi"/>
          <w:color w:val="000000"/>
        </w:rPr>
        <w:t xml:space="preserve"> </w:t>
      </w:r>
      <w:r w:rsidR="00906F7F">
        <w:rPr>
          <w:rFonts w:asciiTheme="minorHAnsi" w:hAnsiTheme="minorHAnsi"/>
          <w:color w:val="000000"/>
        </w:rPr>
        <w:t>23 March 2026).</w:t>
      </w:r>
    </w:p>
    <w:p w14:paraId="44F3116A" w14:textId="3EBC6C35"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Sims, M., Waniganayake, M. and Hadley, F. (2019) ‘Educational leadership: An evolving role in early childhood education’,</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Educational Management Administration &amp; Leadership</w:t>
      </w:r>
      <w:r w:rsidRPr="003448A1">
        <w:rPr>
          <w:rFonts w:asciiTheme="minorHAnsi" w:hAnsiTheme="minorHAnsi"/>
          <w:color w:val="000000"/>
        </w:rPr>
        <w:t>, 47(4), pp. 638–654.</w:t>
      </w:r>
      <w:r w:rsidR="00925332">
        <w:rPr>
          <w:rFonts w:asciiTheme="minorHAnsi" w:hAnsiTheme="minorHAnsi"/>
          <w:color w:val="000000"/>
        </w:rPr>
        <w:t xml:space="preserve"> Available at: </w:t>
      </w:r>
      <w:hyperlink r:id="rId23" w:history="1">
        <w:r w:rsidR="00925332" w:rsidRPr="001B6DBF">
          <w:rPr>
            <w:rStyle w:val="Hyperlink"/>
            <w:rFonts w:asciiTheme="minorHAnsi" w:hAnsiTheme="minorHAnsi"/>
          </w:rPr>
          <w:t>https://www.researchgate.net/publication/317633013_Educational_leadership_An_evolving_role_in_Australian_early_childhood_settings</w:t>
        </w:r>
      </w:hyperlink>
      <w:r w:rsidR="00925332">
        <w:rPr>
          <w:rFonts w:asciiTheme="minorHAnsi" w:hAnsiTheme="minorHAnsi"/>
          <w:color w:val="000000"/>
        </w:rPr>
        <w:t xml:space="preserve"> (Accessed:</w:t>
      </w:r>
      <w:r w:rsidR="00906F7F">
        <w:rPr>
          <w:rFonts w:asciiTheme="minorHAnsi" w:hAnsiTheme="minorHAnsi"/>
          <w:color w:val="000000"/>
        </w:rPr>
        <w:t xml:space="preserve"> 25 March 2026).</w:t>
      </w:r>
    </w:p>
    <w:p w14:paraId="3BEFE8F9" w14:textId="15C4905F"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lastRenderedPageBreak/>
        <w:t>Slot, P.L. (2018) ‘Structural characteristics and process quality in early childhood education and care: A literature review’,</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OECD Education Working Papers</w:t>
      </w:r>
      <w:r w:rsidRPr="003448A1">
        <w:rPr>
          <w:rFonts w:asciiTheme="minorHAnsi" w:hAnsiTheme="minorHAnsi"/>
          <w:color w:val="000000"/>
        </w:rPr>
        <w:t>, No. 176.</w:t>
      </w:r>
      <w:r w:rsidR="00DC2CAE">
        <w:rPr>
          <w:rFonts w:asciiTheme="minorHAnsi" w:hAnsiTheme="minorHAnsi"/>
          <w:color w:val="000000"/>
        </w:rPr>
        <w:t xml:space="preserve"> Available at: </w:t>
      </w:r>
      <w:hyperlink r:id="rId24" w:history="1">
        <w:r w:rsidR="00DC2CAE" w:rsidRPr="001B6DBF">
          <w:rPr>
            <w:rStyle w:val="Hyperlink"/>
            <w:rFonts w:asciiTheme="minorHAnsi" w:hAnsiTheme="minorHAnsi"/>
          </w:rPr>
          <w:t>https://www.oecd.org/en/publications/structural-characteristics-and-process-quality-in-early-childhood-education-and-care_edaf3793-en.html</w:t>
        </w:r>
      </w:hyperlink>
      <w:r w:rsidR="00DC2CAE">
        <w:rPr>
          <w:rFonts w:asciiTheme="minorHAnsi" w:hAnsiTheme="minorHAnsi"/>
          <w:color w:val="000000"/>
        </w:rPr>
        <w:t xml:space="preserve"> (Accessed:</w:t>
      </w:r>
      <w:r w:rsidR="00B40BCA">
        <w:rPr>
          <w:rFonts w:asciiTheme="minorHAnsi" w:hAnsiTheme="minorHAnsi"/>
          <w:color w:val="000000"/>
        </w:rPr>
        <w:t>23 March 2026).</w:t>
      </w:r>
    </w:p>
    <w:p w14:paraId="7DC96DA6" w14:textId="48F89428"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Sylva, K., Melhuish, E., Sammons, P., Siraj, I. and Taggart, B. (2018)</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Effective pre-school, primary and secondary education (EPPSE 3–16) project</w:t>
      </w:r>
      <w:r w:rsidRPr="003448A1">
        <w:rPr>
          <w:rFonts w:asciiTheme="minorHAnsi" w:hAnsiTheme="minorHAnsi"/>
          <w:color w:val="000000"/>
        </w:rPr>
        <w:t xml:space="preserve">. </w:t>
      </w:r>
      <w:r w:rsidR="00DC2CAE">
        <w:rPr>
          <w:rFonts w:asciiTheme="minorHAnsi" w:hAnsiTheme="minorHAnsi"/>
          <w:color w:val="000000"/>
        </w:rPr>
        <w:t xml:space="preserve">Available at: </w:t>
      </w:r>
      <w:hyperlink r:id="rId25" w:history="1">
        <w:r w:rsidR="00DC2CAE" w:rsidRPr="001B6DBF">
          <w:rPr>
            <w:rStyle w:val="Hyperlink"/>
            <w:rFonts w:asciiTheme="minorHAnsi" w:hAnsiTheme="minorHAnsi"/>
          </w:rPr>
          <w:t>https://assets.publishing.service.gov.uk/media/5a803cb240f0b62305b89fbf/RB455_Effective_pre-school_primary_and_secondary_education_project.pdf.pdf</w:t>
        </w:r>
      </w:hyperlink>
      <w:r w:rsidR="00DC2CAE">
        <w:rPr>
          <w:rFonts w:asciiTheme="minorHAnsi" w:hAnsiTheme="minorHAnsi"/>
          <w:color w:val="000000"/>
        </w:rPr>
        <w:t xml:space="preserve"> (Accessed:</w:t>
      </w:r>
      <w:r w:rsidR="00BE5C97">
        <w:rPr>
          <w:rFonts w:asciiTheme="minorHAnsi" w:hAnsiTheme="minorHAnsi"/>
          <w:color w:val="000000"/>
        </w:rPr>
        <w:t xml:space="preserve"> </w:t>
      </w:r>
      <w:r w:rsidR="00B40BCA">
        <w:rPr>
          <w:rFonts w:asciiTheme="minorHAnsi" w:hAnsiTheme="minorHAnsi"/>
          <w:color w:val="000000"/>
        </w:rPr>
        <w:t>23 March 2026).</w:t>
      </w:r>
    </w:p>
    <w:p w14:paraId="3380674D" w14:textId="4B99B410"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United Nations (1989)</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Convention on the Rights of the Child</w:t>
      </w:r>
      <w:r w:rsidRPr="003448A1">
        <w:rPr>
          <w:rFonts w:asciiTheme="minorHAnsi" w:hAnsiTheme="minorHAnsi"/>
          <w:color w:val="000000"/>
        </w:rPr>
        <w:t xml:space="preserve">. </w:t>
      </w:r>
      <w:r w:rsidR="00DC2CAE">
        <w:rPr>
          <w:rFonts w:asciiTheme="minorHAnsi" w:hAnsiTheme="minorHAnsi"/>
          <w:color w:val="000000"/>
        </w:rPr>
        <w:t xml:space="preserve">Available at: </w:t>
      </w:r>
      <w:hyperlink r:id="rId26" w:history="1">
        <w:r w:rsidR="00DC2CAE" w:rsidRPr="001B6DBF">
          <w:rPr>
            <w:rStyle w:val="Hyperlink"/>
            <w:rFonts w:asciiTheme="minorHAnsi" w:hAnsiTheme="minorHAnsi"/>
          </w:rPr>
          <w:t>https://www.ohchr.org/en/instruments-mechanisms/instruments/convention-rights-child</w:t>
        </w:r>
      </w:hyperlink>
      <w:r w:rsidR="00DC2CAE">
        <w:rPr>
          <w:rFonts w:asciiTheme="minorHAnsi" w:hAnsiTheme="minorHAnsi"/>
          <w:color w:val="000000"/>
        </w:rPr>
        <w:t xml:space="preserve"> (Accessed:</w:t>
      </w:r>
      <w:r w:rsidR="00906F7F">
        <w:rPr>
          <w:rFonts w:asciiTheme="minorHAnsi" w:hAnsiTheme="minorHAnsi"/>
          <w:color w:val="000000"/>
        </w:rPr>
        <w:t xml:space="preserve"> </w:t>
      </w:r>
      <w:r w:rsidR="009B4881">
        <w:rPr>
          <w:rFonts w:asciiTheme="minorHAnsi" w:hAnsiTheme="minorHAnsi"/>
          <w:color w:val="000000"/>
        </w:rPr>
        <w:t>1 April</w:t>
      </w:r>
      <w:r w:rsidR="00906F7F">
        <w:rPr>
          <w:rFonts w:asciiTheme="minorHAnsi" w:hAnsiTheme="minorHAnsi"/>
          <w:color w:val="000000"/>
        </w:rPr>
        <w:t xml:space="preserve"> 2026).</w:t>
      </w:r>
    </w:p>
    <w:p w14:paraId="6007C153" w14:textId="6C7A181E"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Urban, M., Vandenbroeck, M., Lazzari, A., Van Laere, K. and Peeters, J. (201</w:t>
      </w:r>
      <w:r w:rsidR="005B3486">
        <w:rPr>
          <w:rFonts w:asciiTheme="minorHAnsi" w:hAnsiTheme="minorHAnsi"/>
          <w:color w:val="000000"/>
        </w:rPr>
        <w:t>2</w:t>
      </w:r>
      <w:r w:rsidRPr="003448A1">
        <w:rPr>
          <w:rFonts w:asciiTheme="minorHAnsi" w:hAnsiTheme="minorHAnsi"/>
          <w:color w:val="000000"/>
        </w:rPr>
        <w:t>)</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Towards competent systems in early childhood education and care</w:t>
      </w:r>
      <w:r w:rsidRPr="003448A1">
        <w:rPr>
          <w:rFonts w:asciiTheme="minorHAnsi" w:hAnsiTheme="minorHAnsi"/>
          <w:color w:val="000000"/>
        </w:rPr>
        <w:t xml:space="preserve">. </w:t>
      </w:r>
      <w:r w:rsidR="000F1D7C">
        <w:rPr>
          <w:rFonts w:asciiTheme="minorHAnsi" w:hAnsiTheme="minorHAnsi"/>
          <w:color w:val="000000"/>
        </w:rPr>
        <w:t xml:space="preserve">Available at: </w:t>
      </w:r>
      <w:hyperlink r:id="rId27" w:history="1">
        <w:r w:rsidR="000F1D7C" w:rsidRPr="001B6DBF">
          <w:rPr>
            <w:rStyle w:val="Hyperlink"/>
            <w:rFonts w:asciiTheme="minorHAnsi" w:hAnsiTheme="minorHAnsi"/>
          </w:rPr>
          <w:t>https://onlinelibrary.wiley.com/doi/abs/10.1111/ejed.12010?casa_token=9nzOoqvTKCgAAAAA%3A3vvs-rnX24qMF51ubRijH5k5MnnYFZFWeBT9bkzoJtZdStWppcOr26OZDm11Vcz4XqeZDPACftxLFwtP</w:t>
        </w:r>
      </w:hyperlink>
      <w:r w:rsidR="000F1D7C">
        <w:rPr>
          <w:rFonts w:asciiTheme="minorHAnsi" w:hAnsiTheme="minorHAnsi"/>
          <w:color w:val="000000"/>
        </w:rPr>
        <w:t xml:space="preserve"> (</w:t>
      </w:r>
      <w:r w:rsidR="00F34210">
        <w:rPr>
          <w:rFonts w:asciiTheme="minorHAnsi" w:hAnsiTheme="minorHAnsi"/>
          <w:color w:val="000000"/>
        </w:rPr>
        <w:t>A</w:t>
      </w:r>
      <w:r w:rsidR="000F1D7C">
        <w:rPr>
          <w:rFonts w:asciiTheme="minorHAnsi" w:hAnsiTheme="minorHAnsi"/>
          <w:color w:val="000000"/>
        </w:rPr>
        <w:t xml:space="preserve">ccessed: </w:t>
      </w:r>
      <w:r w:rsidR="00F34210">
        <w:rPr>
          <w:rFonts w:asciiTheme="minorHAnsi" w:hAnsiTheme="minorHAnsi"/>
          <w:color w:val="000000"/>
        </w:rPr>
        <w:t>25 March 2026).</w:t>
      </w:r>
    </w:p>
    <w:p w14:paraId="24906A84" w14:textId="3D208CAD" w:rsidR="003448A1" w:rsidRPr="003448A1" w:rsidRDefault="003448A1" w:rsidP="003448A1">
      <w:pPr>
        <w:pStyle w:val="NormalWeb"/>
        <w:rPr>
          <w:rFonts w:asciiTheme="minorHAnsi" w:hAnsiTheme="minorHAnsi"/>
          <w:color w:val="000000"/>
        </w:rPr>
      </w:pPr>
      <w:r w:rsidRPr="003448A1">
        <w:rPr>
          <w:rFonts w:asciiTheme="minorHAnsi" w:hAnsiTheme="minorHAnsi"/>
          <w:color w:val="000000"/>
        </w:rPr>
        <w:t>Waniganayake, M., Cheeseman, S., Fenech, M., Hadley, F. and Shepherd, W. (2017</w:t>
      </w:r>
      <w:proofErr w:type="gramStart"/>
      <w:r w:rsidRPr="003448A1">
        <w:rPr>
          <w:rFonts w:asciiTheme="minorHAnsi" w:hAnsiTheme="minorHAnsi"/>
          <w:color w:val="000000"/>
        </w:rPr>
        <w:t>)</w:t>
      </w:r>
      <w:r w:rsidRPr="003448A1">
        <w:rPr>
          <w:rStyle w:val="apple-converted-space"/>
          <w:rFonts w:asciiTheme="minorHAnsi" w:eastAsiaTheme="majorEastAsia" w:hAnsiTheme="minorHAnsi"/>
          <w:color w:val="000000"/>
        </w:rPr>
        <w:t> </w:t>
      </w:r>
      <w:r w:rsidR="00DE5009">
        <w:rPr>
          <w:rStyle w:val="apple-converted-space"/>
          <w:rFonts w:asciiTheme="minorHAnsi" w:eastAsiaTheme="majorEastAsia" w:hAnsiTheme="minorHAnsi"/>
          <w:color w:val="000000"/>
        </w:rPr>
        <w:t>.</w:t>
      </w:r>
      <w:proofErr w:type="gramEnd"/>
      <w:r w:rsidR="00DE5009">
        <w:rPr>
          <w:rStyle w:val="apple-converted-space"/>
          <w:rFonts w:asciiTheme="minorHAnsi" w:eastAsiaTheme="majorEastAsia" w:hAnsiTheme="minorHAnsi"/>
          <w:color w:val="000000"/>
        </w:rPr>
        <w:t xml:space="preserve"> </w:t>
      </w:r>
      <w:r w:rsidRPr="003448A1">
        <w:rPr>
          <w:rStyle w:val="Emphasis"/>
          <w:rFonts w:asciiTheme="minorHAnsi" w:eastAsiaTheme="majorEastAsia" w:hAnsiTheme="minorHAnsi"/>
          <w:color w:val="000000"/>
        </w:rPr>
        <w:t>Leadership: Contexts and complexities in early childhood education</w:t>
      </w:r>
      <w:r w:rsidRPr="003448A1">
        <w:rPr>
          <w:rFonts w:asciiTheme="minorHAnsi" w:hAnsiTheme="minorHAnsi"/>
          <w:color w:val="000000"/>
        </w:rPr>
        <w:t>. Oxford: Oxford University Press.</w:t>
      </w:r>
      <w:r w:rsidR="000F1D7C">
        <w:rPr>
          <w:rFonts w:asciiTheme="minorHAnsi" w:hAnsiTheme="minorHAnsi"/>
          <w:color w:val="000000"/>
        </w:rPr>
        <w:t xml:space="preserve"> Available at: </w:t>
      </w:r>
      <w:hyperlink r:id="rId28" w:history="1">
        <w:r w:rsidR="000F1D7C" w:rsidRPr="001B6DBF">
          <w:rPr>
            <w:rStyle w:val="Hyperlink"/>
            <w:rFonts w:asciiTheme="minorHAnsi" w:hAnsiTheme="minorHAnsi"/>
          </w:rPr>
          <w:t>https://www.researchgate.net/publication/272085994_Waniganayake_M_Cheeseman_S_Fenech_M_Hadley_F_Shepherd_W_2012_Leadership_Contexts_and_complexities_in_Early_Childhood_Education_South_Melbourne_Oxford_University_Press</w:t>
        </w:r>
      </w:hyperlink>
      <w:r w:rsidR="000F1D7C">
        <w:rPr>
          <w:rFonts w:asciiTheme="minorHAnsi" w:hAnsiTheme="minorHAnsi"/>
          <w:color w:val="000000"/>
        </w:rPr>
        <w:t xml:space="preserve"> (Accessed:</w:t>
      </w:r>
      <w:r w:rsidR="00DB604E">
        <w:rPr>
          <w:rFonts w:asciiTheme="minorHAnsi" w:hAnsiTheme="minorHAnsi"/>
          <w:color w:val="000000"/>
        </w:rPr>
        <w:t xml:space="preserve"> 29 March 2026).</w:t>
      </w:r>
    </w:p>
    <w:p w14:paraId="03AE1C02" w14:textId="7BDDAB66" w:rsidR="00DE5009" w:rsidRPr="003448A1" w:rsidRDefault="003448A1" w:rsidP="00DE5009">
      <w:pPr>
        <w:pStyle w:val="NormalWeb"/>
        <w:rPr>
          <w:rFonts w:asciiTheme="minorHAnsi" w:hAnsiTheme="minorHAnsi"/>
          <w:color w:val="000000"/>
        </w:rPr>
      </w:pPr>
      <w:r w:rsidRPr="003448A1">
        <w:rPr>
          <w:rFonts w:asciiTheme="minorHAnsi" w:hAnsiTheme="minorHAnsi"/>
          <w:color w:val="000000"/>
        </w:rPr>
        <w:t>Welsh Government (2015)</w:t>
      </w:r>
      <w:r w:rsidRPr="003448A1">
        <w:rPr>
          <w:rStyle w:val="apple-converted-space"/>
          <w:rFonts w:asciiTheme="minorHAnsi" w:eastAsiaTheme="majorEastAsia" w:hAnsiTheme="minorHAnsi"/>
          <w:color w:val="000000"/>
        </w:rPr>
        <w:t> </w:t>
      </w:r>
      <w:r w:rsidRPr="003448A1">
        <w:rPr>
          <w:rStyle w:val="Emphasis"/>
          <w:rFonts w:asciiTheme="minorHAnsi" w:eastAsiaTheme="majorEastAsia" w:hAnsiTheme="minorHAnsi"/>
          <w:color w:val="000000"/>
        </w:rPr>
        <w:t>Well-being of Future Generations (Wales) Act 2015</w:t>
      </w:r>
      <w:r w:rsidRPr="003448A1">
        <w:rPr>
          <w:rFonts w:asciiTheme="minorHAnsi" w:hAnsiTheme="minorHAnsi"/>
          <w:color w:val="000000"/>
        </w:rPr>
        <w:t>. Cardiff: Welsh Government.</w:t>
      </w:r>
      <w:r w:rsidR="00DE5009">
        <w:rPr>
          <w:rFonts w:asciiTheme="minorHAnsi" w:hAnsiTheme="minorHAnsi"/>
          <w:color w:val="000000"/>
        </w:rPr>
        <w:t xml:space="preserve"> Available at: </w:t>
      </w:r>
      <w:hyperlink r:id="rId29" w:history="1">
        <w:r w:rsidR="00DE5009" w:rsidRPr="001B6DBF">
          <w:rPr>
            <w:rStyle w:val="Hyperlink"/>
            <w:rFonts w:asciiTheme="minorHAnsi" w:hAnsiTheme="minorHAnsi"/>
          </w:rPr>
          <w:t>https://www.gov.wales/well-being-of-future-generations-wales</w:t>
        </w:r>
      </w:hyperlink>
      <w:r w:rsidR="00DE5009">
        <w:rPr>
          <w:rFonts w:asciiTheme="minorHAnsi" w:hAnsiTheme="minorHAnsi"/>
          <w:color w:val="000000"/>
        </w:rPr>
        <w:t xml:space="preserve"> (Accessed:</w:t>
      </w:r>
      <w:r w:rsidR="00906F7F">
        <w:rPr>
          <w:rFonts w:asciiTheme="minorHAnsi" w:hAnsiTheme="minorHAnsi"/>
          <w:color w:val="000000"/>
        </w:rPr>
        <w:t xml:space="preserve"> </w:t>
      </w:r>
      <w:r w:rsidR="009B4881">
        <w:rPr>
          <w:rFonts w:asciiTheme="minorHAnsi" w:hAnsiTheme="minorHAnsi"/>
          <w:color w:val="000000"/>
        </w:rPr>
        <w:t>1 April</w:t>
      </w:r>
      <w:r w:rsidR="00906F7F">
        <w:rPr>
          <w:rFonts w:asciiTheme="minorHAnsi" w:hAnsiTheme="minorHAnsi"/>
          <w:color w:val="000000"/>
        </w:rPr>
        <w:t xml:space="preserve"> 2026).</w:t>
      </w:r>
    </w:p>
    <w:p w14:paraId="07F78207" w14:textId="53D15D47" w:rsidR="006F10E5" w:rsidRDefault="00DE5009" w:rsidP="00DE5009">
      <w:pPr>
        <w:pStyle w:val="NormalWeb"/>
      </w:pPr>
      <w:r>
        <w:t xml:space="preserve"> </w:t>
      </w:r>
    </w:p>
    <w:sectPr w:rsidR="006F10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038E"/>
    <w:multiLevelType w:val="multilevel"/>
    <w:tmpl w:val="37368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AA5C73"/>
    <w:multiLevelType w:val="multilevel"/>
    <w:tmpl w:val="ECC26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174C3"/>
    <w:multiLevelType w:val="multilevel"/>
    <w:tmpl w:val="45986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B53BF6"/>
    <w:multiLevelType w:val="multilevel"/>
    <w:tmpl w:val="01AC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97398"/>
    <w:multiLevelType w:val="multilevel"/>
    <w:tmpl w:val="BF943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AC6575"/>
    <w:multiLevelType w:val="multilevel"/>
    <w:tmpl w:val="0DAE3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881286"/>
    <w:multiLevelType w:val="multilevel"/>
    <w:tmpl w:val="958C9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A90B98"/>
    <w:multiLevelType w:val="multilevel"/>
    <w:tmpl w:val="0876E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080FB3"/>
    <w:multiLevelType w:val="multilevel"/>
    <w:tmpl w:val="E2B4C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E1527E"/>
    <w:multiLevelType w:val="multilevel"/>
    <w:tmpl w:val="D4344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28603F"/>
    <w:multiLevelType w:val="multilevel"/>
    <w:tmpl w:val="44C84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FE3F2B"/>
    <w:multiLevelType w:val="multilevel"/>
    <w:tmpl w:val="49A83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5D44CD"/>
    <w:multiLevelType w:val="multilevel"/>
    <w:tmpl w:val="60644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27709C"/>
    <w:multiLevelType w:val="multilevel"/>
    <w:tmpl w:val="D98A4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573927"/>
    <w:multiLevelType w:val="multilevel"/>
    <w:tmpl w:val="A2123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6338CE"/>
    <w:multiLevelType w:val="multilevel"/>
    <w:tmpl w:val="ED60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216396"/>
    <w:multiLevelType w:val="multilevel"/>
    <w:tmpl w:val="6A5A9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645A69"/>
    <w:multiLevelType w:val="multilevel"/>
    <w:tmpl w:val="7408D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970515"/>
    <w:multiLevelType w:val="multilevel"/>
    <w:tmpl w:val="3F948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123696"/>
    <w:multiLevelType w:val="multilevel"/>
    <w:tmpl w:val="9FAC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485D70"/>
    <w:multiLevelType w:val="multilevel"/>
    <w:tmpl w:val="97B8E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476929"/>
    <w:multiLevelType w:val="multilevel"/>
    <w:tmpl w:val="1C6C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9091688">
    <w:abstractNumId w:val="18"/>
  </w:num>
  <w:num w:numId="2" w16cid:durableId="188571132">
    <w:abstractNumId w:val="17"/>
  </w:num>
  <w:num w:numId="3" w16cid:durableId="1210991391">
    <w:abstractNumId w:val="15"/>
  </w:num>
  <w:num w:numId="4" w16cid:durableId="1089473335">
    <w:abstractNumId w:val="7"/>
  </w:num>
  <w:num w:numId="5" w16cid:durableId="773087867">
    <w:abstractNumId w:val="20"/>
  </w:num>
  <w:num w:numId="6" w16cid:durableId="1620650413">
    <w:abstractNumId w:val="13"/>
  </w:num>
  <w:num w:numId="7" w16cid:durableId="851534831">
    <w:abstractNumId w:val="21"/>
  </w:num>
  <w:num w:numId="8" w16cid:durableId="1067337324">
    <w:abstractNumId w:val="4"/>
  </w:num>
  <w:num w:numId="9" w16cid:durableId="2137598441">
    <w:abstractNumId w:val="8"/>
  </w:num>
  <w:num w:numId="10" w16cid:durableId="183130476">
    <w:abstractNumId w:val="1"/>
  </w:num>
  <w:num w:numId="11" w16cid:durableId="1997225674">
    <w:abstractNumId w:val="6"/>
  </w:num>
  <w:num w:numId="12" w16cid:durableId="1332444658">
    <w:abstractNumId w:val="2"/>
  </w:num>
  <w:num w:numId="13" w16cid:durableId="1475902693">
    <w:abstractNumId w:val="0"/>
  </w:num>
  <w:num w:numId="14" w16cid:durableId="1456680774">
    <w:abstractNumId w:val="5"/>
  </w:num>
  <w:num w:numId="15" w16cid:durableId="1917670497">
    <w:abstractNumId w:val="10"/>
  </w:num>
  <w:num w:numId="16" w16cid:durableId="1749233035">
    <w:abstractNumId w:val="9"/>
  </w:num>
  <w:num w:numId="17" w16cid:durableId="1693267519">
    <w:abstractNumId w:val="12"/>
  </w:num>
  <w:num w:numId="18" w16cid:durableId="252011902">
    <w:abstractNumId w:val="14"/>
  </w:num>
  <w:num w:numId="19" w16cid:durableId="1116022365">
    <w:abstractNumId w:val="11"/>
  </w:num>
  <w:num w:numId="20" w16cid:durableId="1816869437">
    <w:abstractNumId w:val="16"/>
  </w:num>
  <w:num w:numId="21" w16cid:durableId="1381251339">
    <w:abstractNumId w:val="19"/>
  </w:num>
  <w:num w:numId="22" w16cid:durableId="3184589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E22"/>
    <w:rsid w:val="00000B11"/>
    <w:rsid w:val="000249F0"/>
    <w:rsid w:val="00034973"/>
    <w:rsid w:val="00037E31"/>
    <w:rsid w:val="00045968"/>
    <w:rsid w:val="00061120"/>
    <w:rsid w:val="000723F3"/>
    <w:rsid w:val="0007269E"/>
    <w:rsid w:val="000F1D7C"/>
    <w:rsid w:val="001040EA"/>
    <w:rsid w:val="0016156F"/>
    <w:rsid w:val="0016525E"/>
    <w:rsid w:val="001A6EE1"/>
    <w:rsid w:val="001E1246"/>
    <w:rsid w:val="001F105A"/>
    <w:rsid w:val="00261297"/>
    <w:rsid w:val="002669C2"/>
    <w:rsid w:val="00294A9A"/>
    <w:rsid w:val="002B19E4"/>
    <w:rsid w:val="002D718B"/>
    <w:rsid w:val="00310D13"/>
    <w:rsid w:val="0034452F"/>
    <w:rsid w:val="003448A1"/>
    <w:rsid w:val="0035043E"/>
    <w:rsid w:val="00355226"/>
    <w:rsid w:val="00390478"/>
    <w:rsid w:val="003D796D"/>
    <w:rsid w:val="00414E7A"/>
    <w:rsid w:val="00415A5A"/>
    <w:rsid w:val="00485BF5"/>
    <w:rsid w:val="004D3F88"/>
    <w:rsid w:val="00512941"/>
    <w:rsid w:val="005B3486"/>
    <w:rsid w:val="005C0C89"/>
    <w:rsid w:val="00604B82"/>
    <w:rsid w:val="00607BCD"/>
    <w:rsid w:val="00637DAA"/>
    <w:rsid w:val="00680BF4"/>
    <w:rsid w:val="006863D2"/>
    <w:rsid w:val="006B11D1"/>
    <w:rsid w:val="006D5E2D"/>
    <w:rsid w:val="006F10E5"/>
    <w:rsid w:val="006F7670"/>
    <w:rsid w:val="00701C0D"/>
    <w:rsid w:val="007A0D63"/>
    <w:rsid w:val="007B4D43"/>
    <w:rsid w:val="007E3D89"/>
    <w:rsid w:val="007E5FCA"/>
    <w:rsid w:val="007F0A07"/>
    <w:rsid w:val="008032A1"/>
    <w:rsid w:val="00806934"/>
    <w:rsid w:val="008633A3"/>
    <w:rsid w:val="008E74AC"/>
    <w:rsid w:val="00906F7F"/>
    <w:rsid w:val="00925332"/>
    <w:rsid w:val="00971095"/>
    <w:rsid w:val="00995EEC"/>
    <w:rsid w:val="0099662C"/>
    <w:rsid w:val="009B4881"/>
    <w:rsid w:val="009D3382"/>
    <w:rsid w:val="00B40BCA"/>
    <w:rsid w:val="00BB7070"/>
    <w:rsid w:val="00BB7E85"/>
    <w:rsid w:val="00BE5C97"/>
    <w:rsid w:val="00BF2206"/>
    <w:rsid w:val="00C15A7A"/>
    <w:rsid w:val="00C54207"/>
    <w:rsid w:val="00C8058C"/>
    <w:rsid w:val="00C84A48"/>
    <w:rsid w:val="00CB5133"/>
    <w:rsid w:val="00CB640E"/>
    <w:rsid w:val="00D1792D"/>
    <w:rsid w:val="00D27A0E"/>
    <w:rsid w:val="00D35E22"/>
    <w:rsid w:val="00D40BD2"/>
    <w:rsid w:val="00D93AEF"/>
    <w:rsid w:val="00DB604E"/>
    <w:rsid w:val="00DC2CAE"/>
    <w:rsid w:val="00DE5009"/>
    <w:rsid w:val="00EA6569"/>
    <w:rsid w:val="00ED74A9"/>
    <w:rsid w:val="00F33242"/>
    <w:rsid w:val="00F34210"/>
    <w:rsid w:val="00F41F2E"/>
    <w:rsid w:val="00F4283C"/>
    <w:rsid w:val="00FA3DAA"/>
    <w:rsid w:val="00FE1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0E2BD"/>
  <w15:chartTrackingRefBased/>
  <w15:docId w15:val="{53B16CCA-B749-6340-8802-F21D1C3EE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0E5"/>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D35E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5E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5E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5E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5E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5E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5E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5E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5E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E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35E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5E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5E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5E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5E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5E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5E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5E22"/>
    <w:rPr>
      <w:rFonts w:eastAsiaTheme="majorEastAsia" w:cstheme="majorBidi"/>
      <w:color w:val="272727" w:themeColor="text1" w:themeTint="D8"/>
    </w:rPr>
  </w:style>
  <w:style w:type="paragraph" w:styleId="Title">
    <w:name w:val="Title"/>
    <w:basedOn w:val="Normal"/>
    <w:next w:val="Normal"/>
    <w:link w:val="TitleChar"/>
    <w:uiPriority w:val="10"/>
    <w:qFormat/>
    <w:rsid w:val="00D35E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5E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5E2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5E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5E2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35E22"/>
    <w:rPr>
      <w:i/>
      <w:iCs/>
      <w:color w:val="404040" w:themeColor="text1" w:themeTint="BF"/>
    </w:rPr>
  </w:style>
  <w:style w:type="paragraph" w:styleId="ListParagraph">
    <w:name w:val="List Paragraph"/>
    <w:basedOn w:val="Normal"/>
    <w:uiPriority w:val="34"/>
    <w:qFormat/>
    <w:rsid w:val="00D35E22"/>
    <w:pPr>
      <w:ind w:left="720"/>
      <w:contextualSpacing/>
    </w:pPr>
  </w:style>
  <w:style w:type="character" w:styleId="IntenseEmphasis">
    <w:name w:val="Intense Emphasis"/>
    <w:basedOn w:val="DefaultParagraphFont"/>
    <w:uiPriority w:val="21"/>
    <w:qFormat/>
    <w:rsid w:val="00D35E22"/>
    <w:rPr>
      <w:i/>
      <w:iCs/>
      <w:color w:val="0F4761" w:themeColor="accent1" w:themeShade="BF"/>
    </w:rPr>
  </w:style>
  <w:style w:type="paragraph" w:styleId="IntenseQuote">
    <w:name w:val="Intense Quote"/>
    <w:basedOn w:val="Normal"/>
    <w:next w:val="Normal"/>
    <w:link w:val="IntenseQuoteChar"/>
    <w:uiPriority w:val="30"/>
    <w:qFormat/>
    <w:rsid w:val="00D35E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5E22"/>
    <w:rPr>
      <w:i/>
      <w:iCs/>
      <w:color w:val="0F4761" w:themeColor="accent1" w:themeShade="BF"/>
    </w:rPr>
  </w:style>
  <w:style w:type="character" w:styleId="IntenseReference">
    <w:name w:val="Intense Reference"/>
    <w:basedOn w:val="DefaultParagraphFont"/>
    <w:uiPriority w:val="32"/>
    <w:qFormat/>
    <w:rsid w:val="00D35E22"/>
    <w:rPr>
      <w:b/>
      <w:bCs/>
      <w:smallCaps/>
      <w:color w:val="0F4761" w:themeColor="accent1" w:themeShade="BF"/>
      <w:spacing w:val="5"/>
    </w:rPr>
  </w:style>
  <w:style w:type="character" w:styleId="Strong">
    <w:name w:val="Strong"/>
    <w:basedOn w:val="DefaultParagraphFont"/>
    <w:uiPriority w:val="22"/>
    <w:qFormat/>
    <w:rsid w:val="00D40BD2"/>
    <w:rPr>
      <w:b/>
      <w:bCs/>
    </w:rPr>
  </w:style>
  <w:style w:type="paragraph" w:styleId="NormalWeb">
    <w:name w:val="Normal (Web)"/>
    <w:basedOn w:val="Normal"/>
    <w:uiPriority w:val="99"/>
    <w:unhideWhenUsed/>
    <w:rsid w:val="00D40BD2"/>
    <w:pPr>
      <w:spacing w:before="100" w:beforeAutospacing="1" w:after="100" w:afterAutospacing="1"/>
    </w:pPr>
  </w:style>
  <w:style w:type="character" w:customStyle="1" w:styleId="apple-converted-space">
    <w:name w:val="apple-converted-space"/>
    <w:basedOn w:val="DefaultParagraphFont"/>
    <w:rsid w:val="00D40BD2"/>
  </w:style>
  <w:style w:type="character" w:customStyle="1" w:styleId="whitespace-normal">
    <w:name w:val="whitespace-normal"/>
    <w:basedOn w:val="DefaultParagraphFont"/>
    <w:rsid w:val="00D40BD2"/>
  </w:style>
  <w:style w:type="character" w:styleId="Emphasis">
    <w:name w:val="Emphasis"/>
    <w:basedOn w:val="DefaultParagraphFont"/>
    <w:uiPriority w:val="20"/>
    <w:qFormat/>
    <w:rsid w:val="00D40BD2"/>
    <w:rPr>
      <w:i/>
      <w:iCs/>
    </w:rPr>
  </w:style>
  <w:style w:type="character" w:styleId="Hyperlink">
    <w:name w:val="Hyperlink"/>
    <w:basedOn w:val="DefaultParagraphFont"/>
    <w:uiPriority w:val="99"/>
    <w:unhideWhenUsed/>
    <w:rsid w:val="007B4D43"/>
    <w:rPr>
      <w:color w:val="467886" w:themeColor="hyperlink"/>
      <w:u w:val="single"/>
    </w:rPr>
  </w:style>
  <w:style w:type="character" w:styleId="UnresolvedMention">
    <w:name w:val="Unresolved Mention"/>
    <w:basedOn w:val="DefaultParagraphFont"/>
    <w:uiPriority w:val="99"/>
    <w:semiHidden/>
    <w:unhideWhenUsed/>
    <w:rsid w:val="007B4D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158037042000225245" TargetMode="External"/><Relationship Id="rId13" Type="http://schemas.openxmlformats.org/officeDocument/2006/relationships/hyperlink" Target="https://www.sciencedirect.com/science/article/pii/S1462901112000883?casa_token=byYQZjhdVSoAAAAA:1VSgRlNx_Mpn7gKQv3RJqbUEZzu5wSVZANMxZLiCrqqLWIuqFMMF42pIagt4YiOfN5ctZAgumNBs" TargetMode="External"/><Relationship Id="rId18" Type="http://schemas.openxmlformats.org/officeDocument/2006/relationships/hyperlink" Target="https://early-education.org.uk/wp-content/uploads/2021/12/Getting-it-right-in-the-EYFS-Literature-Review.pdf" TargetMode="External"/><Relationship Id="rId26" Type="http://schemas.openxmlformats.org/officeDocument/2006/relationships/hyperlink" Target="https://www.ohchr.org/en/instruments-mechanisms/instruments/convention-rights-child" TargetMode="External"/><Relationship Id="rId3" Type="http://schemas.openxmlformats.org/officeDocument/2006/relationships/settings" Target="settings.xml"/><Relationship Id="rId21" Type="http://schemas.openxmlformats.org/officeDocument/2006/relationships/hyperlink" Target="https://www.researchgate.net/publication/272349364_Assessing_Quality_in_early_Childhood_Education_and_Care_Sustained_shared_thinking_and_emotional_well-being_SSTEW_for_2-5_year-olds_provision" TargetMode="External"/><Relationship Id="rId7" Type="http://schemas.openxmlformats.org/officeDocument/2006/relationships/hyperlink" Target="https://assets.publishing.service.gov.uk/media/68669aa2e134dfbc2e9e6d74/SEED_impact_report_on_early_education_use_and_child_outcomes_at_KS2.pdf" TargetMode="External"/><Relationship Id="rId12" Type="http://schemas.openxmlformats.org/officeDocument/2006/relationships/hyperlink" Target="https://www.tandfonline.com/doi/full/10.1080/01411920701657033" TargetMode="External"/><Relationship Id="rId17" Type="http://schemas.openxmlformats.org/officeDocument/2006/relationships/hyperlink" Target="https://www.oecd.org/content/dam/oecd/en/publications/reports/2021/06/starting-strong-vi_0a304435/f47a06ae-en.pdf" TargetMode="External"/><Relationship Id="rId25" Type="http://schemas.openxmlformats.org/officeDocument/2006/relationships/hyperlink" Target="https://assets.publishing.service.gov.uk/media/5a803cb240f0b62305b89fbf/RB455_Effective_pre-school_primary_and_secondary_education_project.pdf.pdf" TargetMode="External"/><Relationship Id="rId2" Type="http://schemas.openxmlformats.org/officeDocument/2006/relationships/styles" Target="styles.xml"/><Relationship Id="rId16" Type="http://schemas.openxmlformats.org/officeDocument/2006/relationships/hyperlink" Target="https://www.oecd.org/content/dam/oecd/en/publications/reports/2020/03/early-learning-and-child-well-being_74042660/3990407f-en.pdf" TargetMode="External"/><Relationship Id="rId20" Type="http://schemas.openxmlformats.org/officeDocument/2006/relationships/hyperlink" Target="https://www.proquest.com/docview/2654047435?fromopenview=true&amp;pq-origsite=gscholar&amp;sourcetype=Dissertations%20&amp;%20Theses" TargetMode="External"/><Relationship Id="rId29" Type="http://schemas.openxmlformats.org/officeDocument/2006/relationships/hyperlink" Target="https://www.gov.wales/well-being-of-future-generations-wales" TargetMode="External"/><Relationship Id="rId1" Type="http://schemas.openxmlformats.org/officeDocument/2006/relationships/numbering" Target="numbering.xml"/><Relationship Id="rId6" Type="http://schemas.openxmlformats.org/officeDocument/2006/relationships/hyperlink" Target="https://ers.fpg.unc.edu/sites/ers.fpg.unc.edu/files/ReliabilityEcers.pdf" TargetMode="External"/><Relationship Id="rId11" Type="http://schemas.openxmlformats.org/officeDocument/2006/relationships/hyperlink" Target="https://www.researchgate.net/publication/254227664_Pedagogical_leadership_from_a_distributed_perspective_within_the_context_of_early_childhood_education" TargetMode="External"/><Relationship Id="rId24" Type="http://schemas.openxmlformats.org/officeDocument/2006/relationships/hyperlink" Target="https://www.oecd.org/en/publications/structural-characteristics-and-process-quality-in-early-childhood-education-and-care_edaf3793-en.html" TargetMode="External"/><Relationship Id="rId5" Type="http://schemas.openxmlformats.org/officeDocument/2006/relationships/hyperlink" Target="https://www.oecd.org/content/dam/oecd/en/publications/reports/2018/03/engaging-young-children_g1g8b70c/9789264085145-en.pdf" TargetMode="External"/><Relationship Id="rId15" Type="http://schemas.openxmlformats.org/officeDocument/2006/relationships/hyperlink" Target="https://journals.sagepub.com/doi/abs/10.1177/1463949115627895" TargetMode="External"/><Relationship Id="rId23" Type="http://schemas.openxmlformats.org/officeDocument/2006/relationships/hyperlink" Target="https://www.researchgate.net/publication/317633013_Educational_leadership_An_evolving_role_in_Australian_early_childhood_settings" TargetMode="External"/><Relationship Id="rId28" Type="http://schemas.openxmlformats.org/officeDocument/2006/relationships/hyperlink" Target="https://www.researchgate.net/publication/272085994_Waniganayake_M_Cheeseman_S_Fenech_M_Hadley_F_Shepherd_W_2012_Leadership_Contexts_and_complexities_in_Early_Childhood_Education_South_Melbourne_Oxford_University_Press" TargetMode="External"/><Relationship Id="rId10" Type="http://schemas.openxmlformats.org/officeDocument/2006/relationships/hyperlink" Target="https://pubmed.ncbi.nlm.nih.gov/24255933/" TargetMode="External"/><Relationship Id="rId19" Type="http://schemas.openxmlformats.org/officeDocument/2006/relationships/hyperlink" Target="https://files.eric.ed.gov/fulltext/EJ1118551.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researchers.mq.edu.au/en/publications/an-analysis-of-the-conceptualisation-of-quality-in-early-childhoo/" TargetMode="External"/><Relationship Id="rId14" Type="http://schemas.openxmlformats.org/officeDocument/2006/relationships/hyperlink" Target="https://ora.ox.ac.uk/objects/uuid:bb919f6f-cd43-42d8-89ff-da525dc63554" TargetMode="External"/><Relationship Id="rId22" Type="http://schemas.openxmlformats.org/officeDocument/2006/relationships/hyperlink" Target="https://rune.une.edu.au/entities/publication/0e38e69f-4868-4be1-b9e2-a599847266ba" TargetMode="External"/><Relationship Id="rId27" Type="http://schemas.openxmlformats.org/officeDocument/2006/relationships/hyperlink" Target="https://onlinelibrary.wiley.com/doi/abs/10.1111/ejed.12010?casa_token=9nzOoqvTKCgAAAAA%3A3vvs-rnX24qMF51ubRijH5k5MnnYFZFWeBT9bkzoJtZdStWppcOr26OZDm11Vcz4XqeZDPACftxLFwtP"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12</Pages>
  <Words>4118</Words>
  <Characters>23479</Characters>
  <Application>Microsoft Office Word</Application>
  <DocSecurity>0</DocSecurity>
  <Lines>195</Lines>
  <Paragraphs>55</Paragraphs>
  <ScaleCrop>false</ScaleCrop>
  <Company/>
  <LinksUpToDate>false</LinksUpToDate>
  <CharactersWithSpaces>27542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Alanis Jones (2318398)</dc:creator>
  <cp:keywords/>
  <dc:description/>
  <cp:lastModifiedBy>Alanis Jones (2318398)</cp:lastModifiedBy>
  <cp:revision>79</cp:revision>
  <dcterms:created xsi:type="dcterms:W3CDTF">2026-03-27T12:59:00Z</dcterms:created>
  <dcterms:modified xsi:type="dcterms:W3CDTF">2026-04-03T20:31:00Z</dcterms:modified>
</cp:coreProperties>
</file>