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91076536"/>
        <w:docPartObj>
          <w:docPartGallery w:val="Cover Pages"/>
          <w:docPartUnique/>
        </w:docPartObj>
      </w:sdtPr>
      <w:sdtEndPr>
        <w:rPr>
          <w:rFonts w:ascii="Arial" w:hAnsi="Arial" w:cs="Arial"/>
          <w:b/>
          <w:bCs/>
        </w:rPr>
      </w:sdtEndPr>
      <w:sdtContent>
        <w:p w14:paraId="6AE0CF9A" w14:textId="6765A42A" w:rsidR="0086127F" w:rsidRDefault="0086127F"/>
        <w:tbl>
          <w:tblPr>
            <w:tblpPr w:leftFromText="187" w:rightFromText="187" w:horzAnchor="margin" w:tblpXSpec="center" w:tblpY="2881"/>
            <w:tblW w:w="4051" w:type="pct"/>
            <w:tblBorders>
              <w:left w:val="single" w:sz="12" w:space="0" w:color="156082" w:themeColor="accent1"/>
            </w:tblBorders>
            <w:tblCellMar>
              <w:left w:w="144" w:type="dxa"/>
              <w:right w:w="115" w:type="dxa"/>
            </w:tblCellMar>
            <w:tblLook w:val="04A0" w:firstRow="1" w:lastRow="0" w:firstColumn="1" w:lastColumn="0" w:noHBand="0" w:noVBand="1"/>
          </w:tblPr>
          <w:tblGrid>
            <w:gridCol w:w="7301"/>
          </w:tblGrid>
          <w:tr w:rsidR="0086127F" w14:paraId="2305F663" w14:textId="77777777" w:rsidTr="0086127F">
            <w:tc>
              <w:tcPr>
                <w:tcW w:w="7301" w:type="dxa"/>
                <w:tcMar>
                  <w:top w:w="216" w:type="dxa"/>
                  <w:left w:w="115" w:type="dxa"/>
                  <w:bottom w:w="216" w:type="dxa"/>
                  <w:right w:w="115" w:type="dxa"/>
                </w:tcMar>
              </w:tcPr>
              <w:p w14:paraId="4D893012" w14:textId="73CACF9A" w:rsidR="0086127F" w:rsidRDefault="0086127F">
                <w:pPr>
                  <w:pStyle w:val="NoSpacing"/>
                  <w:rPr>
                    <w:color w:val="0F4761" w:themeColor="accent1" w:themeShade="BF"/>
                    <w:sz w:val="24"/>
                  </w:rPr>
                </w:pPr>
              </w:p>
            </w:tc>
          </w:tr>
          <w:tr w:rsidR="0086127F" w14:paraId="7C393AC7" w14:textId="77777777" w:rsidTr="0086127F">
            <w:tc>
              <w:tcPr>
                <w:tcW w:w="7301" w:type="dxa"/>
                <w:shd w:val="clear" w:color="auto" w:fill="0D0D0D" w:themeFill="text1" w:themeFillTint="F2"/>
              </w:tcPr>
              <w:sdt>
                <w:sdtPr>
                  <w:rPr>
                    <w:rFonts w:ascii="Arial Black" w:eastAsiaTheme="majorEastAsia" w:hAnsi="Arial Black" w:cs="Times New Roman"/>
                    <w:color w:val="156082" w:themeColor="accent1"/>
                    <w:sz w:val="96"/>
                    <w:szCs w:val="96"/>
                  </w:rPr>
                  <w:alias w:val="Title"/>
                  <w:id w:val="13406919"/>
                  <w:placeholder>
                    <w:docPart w:val="7DFE98ABAC964A74B1ADD6F10BE56DBB"/>
                  </w:placeholder>
                  <w:dataBinding w:prefixMappings="xmlns:ns0='http://schemas.openxmlformats.org/package/2006/metadata/core-properties' xmlns:ns1='http://purl.org/dc/elements/1.1/'" w:xpath="/ns0:coreProperties[1]/ns1:title[1]" w:storeItemID="{6C3C8BC8-F283-45AE-878A-BAB7291924A1}"/>
                  <w:text/>
                </w:sdtPr>
                <w:sdtContent>
                  <w:p w14:paraId="36C9F142" w14:textId="2FDAD73E" w:rsidR="0086127F" w:rsidRPr="0086127F" w:rsidRDefault="0086127F">
                    <w:pPr>
                      <w:pStyle w:val="NoSpacing"/>
                      <w:spacing w:line="216" w:lineRule="auto"/>
                      <w:rPr>
                        <w:rFonts w:ascii="Times New Roman" w:eastAsiaTheme="majorEastAsia" w:hAnsi="Times New Roman" w:cs="Times New Roman"/>
                        <w:color w:val="156082" w:themeColor="accent1"/>
                        <w:sz w:val="88"/>
                        <w:szCs w:val="88"/>
                      </w:rPr>
                    </w:pPr>
                    <w:r w:rsidRPr="0086127F">
                      <w:rPr>
                        <w:rFonts w:ascii="Arial Black" w:eastAsiaTheme="majorEastAsia" w:hAnsi="Arial Black" w:cs="Times New Roman"/>
                        <w:color w:val="156082" w:themeColor="accent1"/>
                        <w:sz w:val="96"/>
                        <w:szCs w:val="96"/>
                      </w:rPr>
                      <w:t>Financial Analysis of Amazon.com, Inc. (2024–2025)</w:t>
                    </w:r>
                  </w:p>
                </w:sdtContent>
              </w:sdt>
            </w:tc>
          </w:tr>
          <w:tr w:rsidR="0086127F" w14:paraId="631F135E" w14:textId="77777777" w:rsidTr="0086127F">
            <w:tc>
              <w:tcPr>
                <w:tcW w:w="7301" w:type="dxa"/>
                <w:tcMar>
                  <w:top w:w="216" w:type="dxa"/>
                  <w:left w:w="115" w:type="dxa"/>
                  <w:bottom w:w="216" w:type="dxa"/>
                  <w:right w:w="115" w:type="dxa"/>
                </w:tcMar>
              </w:tcPr>
              <w:p w14:paraId="3A90E146" w14:textId="115B42FD" w:rsidR="0086127F" w:rsidRDefault="0086127F">
                <w:pPr>
                  <w:pStyle w:val="NoSpacing"/>
                  <w:rPr>
                    <w:color w:val="0F4761" w:themeColor="accent1" w:themeShade="BF"/>
                    <w:sz w:val="24"/>
                  </w:rPr>
                </w:pPr>
              </w:p>
            </w:tc>
          </w:tr>
        </w:tbl>
        <w:p w14:paraId="75842DE0" w14:textId="11C63972" w:rsidR="0086127F" w:rsidRDefault="0086127F">
          <w:pPr>
            <w:rPr>
              <w:rFonts w:ascii="Arial" w:hAnsi="Arial" w:cs="Arial"/>
              <w:b/>
              <w:bCs/>
            </w:rPr>
          </w:pPr>
          <w:r>
            <w:rPr>
              <w:rFonts w:ascii="Arial" w:hAnsi="Arial" w:cs="Arial"/>
              <w:b/>
              <w:bCs/>
            </w:rPr>
            <w:br w:type="page"/>
          </w:r>
        </w:p>
      </w:sdtContent>
    </w:sdt>
    <w:p w14:paraId="45967A0B" w14:textId="7216F364" w:rsidR="000F6CBB" w:rsidRPr="000F6CBB" w:rsidRDefault="000F6CBB" w:rsidP="000F6CBB">
      <w:pPr>
        <w:pStyle w:val="ListParagraph"/>
        <w:numPr>
          <w:ilvl w:val="0"/>
          <w:numId w:val="1"/>
        </w:numPr>
        <w:spacing w:line="360" w:lineRule="auto"/>
        <w:rPr>
          <w:rFonts w:ascii="Arial" w:hAnsi="Arial" w:cs="Arial"/>
          <w:b/>
          <w:bCs/>
        </w:rPr>
      </w:pPr>
      <w:r w:rsidRPr="000F6CBB">
        <w:rPr>
          <w:rFonts w:ascii="Arial" w:hAnsi="Arial" w:cs="Arial"/>
          <w:b/>
          <w:bCs/>
        </w:rPr>
        <w:lastRenderedPageBreak/>
        <w:t>I</w:t>
      </w:r>
      <w:r w:rsidRPr="000F6CBB">
        <w:rPr>
          <w:rFonts w:ascii="Arial" w:hAnsi="Arial" w:cs="Arial"/>
          <w:b/>
          <w:bCs/>
        </w:rPr>
        <w:t>ntroduction</w:t>
      </w:r>
    </w:p>
    <w:p w14:paraId="5D734E9E" w14:textId="77777777" w:rsidR="000F6CBB" w:rsidRDefault="000F6CBB" w:rsidP="000F6CBB">
      <w:pPr>
        <w:spacing w:line="360" w:lineRule="auto"/>
        <w:rPr>
          <w:rFonts w:ascii="Arial" w:hAnsi="Arial" w:cs="Arial"/>
        </w:rPr>
      </w:pPr>
      <w:r w:rsidRPr="000F6CBB">
        <w:rPr>
          <w:rFonts w:ascii="Arial" w:hAnsi="Arial" w:cs="Arial"/>
        </w:rPr>
        <w:t xml:space="preserve">This report </w:t>
      </w:r>
      <w:r>
        <w:rPr>
          <w:rFonts w:ascii="Arial" w:hAnsi="Arial" w:cs="Arial"/>
        </w:rPr>
        <w:t>analyses</w:t>
      </w:r>
      <w:r w:rsidRPr="000F6CBB">
        <w:rPr>
          <w:rFonts w:ascii="Arial" w:hAnsi="Arial" w:cs="Arial"/>
        </w:rPr>
        <w:t xml:space="preserve"> and compares Amazon's financial performance in its annual financial statements for the years ending December 31, </w:t>
      </w:r>
      <w:r w:rsidRPr="000F6CBB">
        <w:rPr>
          <w:rFonts w:ascii="Arial" w:hAnsi="Arial" w:cs="Arial"/>
        </w:rPr>
        <w:t>2024,</w:t>
      </w:r>
      <w:r w:rsidRPr="000F6CBB">
        <w:rPr>
          <w:rFonts w:ascii="Arial" w:hAnsi="Arial" w:cs="Arial"/>
        </w:rPr>
        <w:t xml:space="preserve"> and 2025. The ratio analysis that will be used to </w:t>
      </w:r>
      <w:r>
        <w:rPr>
          <w:rFonts w:ascii="Arial" w:hAnsi="Arial" w:cs="Arial"/>
        </w:rPr>
        <w:t>analyse</w:t>
      </w:r>
      <w:r w:rsidRPr="000F6CBB">
        <w:rPr>
          <w:rFonts w:ascii="Arial" w:hAnsi="Arial" w:cs="Arial"/>
        </w:rPr>
        <w:t xml:space="preserve"> Amazon's financial performance converts large monetary amounts in the financial statements to comparable measurements of profitability, liquidity, efficiency, and solvency.</w:t>
      </w:r>
    </w:p>
    <w:p w14:paraId="572E66D3" w14:textId="19E16C87" w:rsidR="000F6CBB" w:rsidRPr="000F6CBB" w:rsidRDefault="000F6CBB" w:rsidP="000F6CBB">
      <w:pPr>
        <w:spacing w:line="360" w:lineRule="auto"/>
        <w:rPr>
          <w:rFonts w:ascii="Arial" w:hAnsi="Arial" w:cs="Arial"/>
        </w:rPr>
      </w:pPr>
      <w:r w:rsidRPr="000F6CBB">
        <w:rPr>
          <w:rFonts w:ascii="Arial" w:hAnsi="Arial" w:cs="Arial"/>
        </w:rPr>
        <w:t xml:space="preserve">Amazon.com, Inc., is an appropriate company for a comparative analysis because it produces annual audited financial statements that are made public and illustrates how an </w:t>
      </w:r>
      <w:r>
        <w:rPr>
          <w:rFonts w:ascii="Arial" w:hAnsi="Arial" w:cs="Arial"/>
        </w:rPr>
        <w:t>organisation</w:t>
      </w:r>
      <w:r w:rsidRPr="000F6CBB">
        <w:rPr>
          <w:rFonts w:ascii="Arial" w:hAnsi="Arial" w:cs="Arial"/>
        </w:rPr>
        <w:t xml:space="preserve"> runs multiple businesses across many countries, including retail sales, cloud computing, logistics (warehouses), advertising, and digital services.</w:t>
      </w:r>
    </w:p>
    <w:p w14:paraId="657CA2CB" w14:textId="472FF2AB" w:rsidR="000F6CBB" w:rsidRPr="000F6CBB" w:rsidRDefault="000F6CBB" w:rsidP="000F6CBB">
      <w:pPr>
        <w:spacing w:line="360" w:lineRule="auto"/>
        <w:rPr>
          <w:rFonts w:ascii="Arial" w:hAnsi="Arial" w:cs="Arial"/>
        </w:rPr>
      </w:pPr>
      <w:r w:rsidRPr="000F6CBB">
        <w:rPr>
          <w:rFonts w:ascii="Arial" w:hAnsi="Arial" w:cs="Arial"/>
        </w:rPr>
        <w:t>Amazon's revenue increased from $637.959 billion in 2024 to $716.917 billion in 2025. Operating income increased from $68.593 billion to $79.975 billion. In addition to the revenue and operating income increases, Amazon's total assets also increased dramatically, from $624.894 billion as of December 31, 2024</w:t>
      </w:r>
      <w:r>
        <w:rPr>
          <w:rFonts w:ascii="Arial" w:hAnsi="Arial" w:cs="Arial"/>
        </w:rPr>
        <w:t>,</w:t>
      </w:r>
      <w:r w:rsidRPr="000F6CBB">
        <w:rPr>
          <w:rFonts w:ascii="Arial" w:hAnsi="Arial" w:cs="Arial"/>
        </w:rPr>
        <w:t xml:space="preserve"> to $818.042 billion as of December 31, 2025</w:t>
      </w:r>
      <w:r>
        <w:rPr>
          <w:rFonts w:ascii="Arial" w:hAnsi="Arial" w:cs="Arial"/>
        </w:rPr>
        <w:t>,</w:t>
      </w:r>
      <w:r w:rsidRPr="000F6CBB">
        <w:rPr>
          <w:rFonts w:ascii="Arial" w:hAnsi="Arial" w:cs="Arial"/>
        </w:rPr>
        <w:t xml:space="preserve"> indicating continued strong business growth through aggressive expansion.</w:t>
      </w:r>
    </w:p>
    <w:p w14:paraId="79998C1D" w14:textId="661A0CDF" w:rsidR="000F6CBB" w:rsidRPr="000F6CBB" w:rsidRDefault="000F6CBB" w:rsidP="000F6CBB">
      <w:pPr>
        <w:pStyle w:val="ListParagraph"/>
        <w:numPr>
          <w:ilvl w:val="0"/>
          <w:numId w:val="1"/>
        </w:numPr>
        <w:spacing w:line="360" w:lineRule="auto"/>
        <w:rPr>
          <w:rFonts w:ascii="Arial" w:hAnsi="Arial" w:cs="Arial"/>
          <w:b/>
          <w:bCs/>
        </w:rPr>
      </w:pPr>
      <w:r w:rsidRPr="000F6CBB">
        <w:rPr>
          <w:rFonts w:ascii="Arial" w:hAnsi="Arial" w:cs="Arial"/>
          <w:b/>
          <w:bCs/>
        </w:rPr>
        <w:t>Financial Data Used for Ratio Calculations</w:t>
      </w:r>
    </w:p>
    <w:p w14:paraId="4CBED06D" w14:textId="77777777" w:rsidR="000F6CBB" w:rsidRPr="000F6CBB" w:rsidRDefault="000F6CBB" w:rsidP="000F6CBB">
      <w:pPr>
        <w:spacing w:line="360" w:lineRule="auto"/>
        <w:rPr>
          <w:rFonts w:ascii="Arial" w:hAnsi="Arial" w:cs="Arial"/>
        </w:rPr>
      </w:pPr>
      <w:r w:rsidRPr="000F6CBB">
        <w:rPr>
          <w:rFonts w:ascii="Arial" w:hAnsi="Arial" w:cs="Arial"/>
        </w:rPr>
        <w:t>The calculations of the ratios to be used throughout this report are derived from Amazon's consolidated financial statements and include:</w:t>
      </w:r>
    </w:p>
    <w:p w14:paraId="1A18E89D" w14:textId="0687B0C7" w:rsidR="000F6CBB" w:rsidRPr="000F6CBB" w:rsidRDefault="000F6CBB" w:rsidP="000F6CBB">
      <w:pPr>
        <w:spacing w:line="360" w:lineRule="auto"/>
        <w:rPr>
          <w:rFonts w:ascii="Arial" w:hAnsi="Arial" w:cs="Arial"/>
          <w:b/>
          <w:bCs/>
        </w:rPr>
      </w:pPr>
      <w:r w:rsidRPr="000F6CBB">
        <w:rPr>
          <w:rFonts w:ascii="Arial" w:hAnsi="Arial" w:cs="Arial"/>
          <w:b/>
          <w:bCs/>
        </w:rPr>
        <w:t>Revenues</w:t>
      </w:r>
    </w:p>
    <w:p w14:paraId="48A08F53" w14:textId="3A885A5A" w:rsidR="000F6CBB" w:rsidRPr="000F6CBB" w:rsidRDefault="000F6CBB" w:rsidP="000F6CBB">
      <w:pPr>
        <w:pStyle w:val="ListParagraph"/>
        <w:numPr>
          <w:ilvl w:val="0"/>
          <w:numId w:val="3"/>
        </w:numPr>
        <w:spacing w:line="360" w:lineRule="auto"/>
        <w:rPr>
          <w:rFonts w:ascii="Arial" w:hAnsi="Arial" w:cs="Arial"/>
        </w:rPr>
      </w:pPr>
      <w:r w:rsidRPr="000F6CBB">
        <w:rPr>
          <w:rFonts w:ascii="Arial" w:hAnsi="Arial" w:cs="Arial"/>
        </w:rPr>
        <w:t xml:space="preserve">($637.959 billion </w:t>
      </w:r>
      <w:r w:rsidRPr="000F6CBB">
        <w:rPr>
          <w:rFonts w:ascii="Arial" w:hAnsi="Arial" w:cs="Arial"/>
        </w:rPr>
        <w:t>on</w:t>
      </w:r>
      <w:r w:rsidRPr="000F6CBB">
        <w:rPr>
          <w:rFonts w:ascii="Arial" w:hAnsi="Arial" w:cs="Arial"/>
        </w:rPr>
        <w:t xml:space="preserve"> December 31, 2024)</w:t>
      </w:r>
    </w:p>
    <w:p w14:paraId="52A73725" w14:textId="409351C8" w:rsidR="000F6CBB" w:rsidRPr="000F6CBB" w:rsidRDefault="000F6CBB" w:rsidP="000F6CBB">
      <w:pPr>
        <w:pStyle w:val="ListParagraph"/>
        <w:numPr>
          <w:ilvl w:val="0"/>
          <w:numId w:val="3"/>
        </w:numPr>
        <w:spacing w:line="360" w:lineRule="auto"/>
        <w:rPr>
          <w:rFonts w:ascii="Arial" w:hAnsi="Arial" w:cs="Arial"/>
        </w:rPr>
      </w:pPr>
      <w:r w:rsidRPr="000F6CBB">
        <w:rPr>
          <w:rFonts w:ascii="Arial" w:hAnsi="Arial" w:cs="Arial"/>
        </w:rPr>
        <w:t xml:space="preserve">($716.917 billion </w:t>
      </w:r>
      <w:r w:rsidRPr="000F6CBB">
        <w:rPr>
          <w:rFonts w:ascii="Arial" w:hAnsi="Arial" w:cs="Arial"/>
        </w:rPr>
        <w:t>on</w:t>
      </w:r>
      <w:r w:rsidRPr="000F6CBB">
        <w:rPr>
          <w:rFonts w:ascii="Arial" w:hAnsi="Arial" w:cs="Arial"/>
        </w:rPr>
        <w:t xml:space="preserve"> December 31, 2025)</w:t>
      </w:r>
    </w:p>
    <w:p w14:paraId="1138B2D6" w14:textId="21AC84CE" w:rsidR="000F6CBB" w:rsidRPr="000F6CBB" w:rsidRDefault="000F6CBB" w:rsidP="000F6CBB">
      <w:pPr>
        <w:spacing w:line="360" w:lineRule="auto"/>
        <w:rPr>
          <w:rFonts w:ascii="Arial" w:hAnsi="Arial" w:cs="Arial"/>
          <w:b/>
          <w:bCs/>
        </w:rPr>
      </w:pPr>
      <w:r w:rsidRPr="000F6CBB">
        <w:rPr>
          <w:rFonts w:ascii="Arial" w:hAnsi="Arial" w:cs="Arial"/>
          <w:b/>
          <w:bCs/>
        </w:rPr>
        <w:t>Operating Income</w:t>
      </w:r>
    </w:p>
    <w:p w14:paraId="47316CD2" w14:textId="434B42CD" w:rsidR="000F6CBB" w:rsidRPr="000F6CBB" w:rsidRDefault="000F6CBB" w:rsidP="000F6CBB">
      <w:pPr>
        <w:pStyle w:val="ListParagraph"/>
        <w:numPr>
          <w:ilvl w:val="0"/>
          <w:numId w:val="3"/>
        </w:numPr>
        <w:spacing w:line="360" w:lineRule="auto"/>
        <w:rPr>
          <w:rFonts w:ascii="Arial" w:hAnsi="Arial" w:cs="Arial"/>
        </w:rPr>
      </w:pPr>
      <w:r w:rsidRPr="000F6CBB">
        <w:rPr>
          <w:rFonts w:ascii="Arial" w:hAnsi="Arial" w:cs="Arial"/>
        </w:rPr>
        <w:t xml:space="preserve">($68.593 billion </w:t>
      </w:r>
      <w:r w:rsidRPr="000F6CBB">
        <w:rPr>
          <w:rFonts w:ascii="Arial" w:hAnsi="Arial" w:cs="Arial"/>
        </w:rPr>
        <w:t>on</w:t>
      </w:r>
      <w:r w:rsidRPr="000F6CBB">
        <w:rPr>
          <w:rFonts w:ascii="Arial" w:hAnsi="Arial" w:cs="Arial"/>
        </w:rPr>
        <w:t xml:space="preserve"> December 31, 2024)</w:t>
      </w:r>
    </w:p>
    <w:p w14:paraId="4E288D27" w14:textId="14025AE7" w:rsidR="000F6CBB" w:rsidRPr="000F6CBB" w:rsidRDefault="000F6CBB" w:rsidP="000F6CBB">
      <w:pPr>
        <w:pStyle w:val="ListParagraph"/>
        <w:numPr>
          <w:ilvl w:val="0"/>
          <w:numId w:val="3"/>
        </w:numPr>
        <w:spacing w:line="360" w:lineRule="auto"/>
        <w:rPr>
          <w:rFonts w:ascii="Arial" w:hAnsi="Arial" w:cs="Arial"/>
        </w:rPr>
      </w:pPr>
      <w:r w:rsidRPr="000F6CBB">
        <w:rPr>
          <w:rFonts w:ascii="Arial" w:hAnsi="Arial" w:cs="Arial"/>
        </w:rPr>
        <w:t xml:space="preserve">($79.975 billion </w:t>
      </w:r>
      <w:r w:rsidRPr="000F6CBB">
        <w:rPr>
          <w:rFonts w:ascii="Arial" w:hAnsi="Arial" w:cs="Arial"/>
        </w:rPr>
        <w:t>on</w:t>
      </w:r>
      <w:r w:rsidRPr="000F6CBB">
        <w:rPr>
          <w:rFonts w:ascii="Arial" w:hAnsi="Arial" w:cs="Arial"/>
        </w:rPr>
        <w:t xml:space="preserve"> December 31, 2025)</w:t>
      </w:r>
    </w:p>
    <w:p w14:paraId="3AA62135" w14:textId="1C014FD2" w:rsidR="000F6CBB" w:rsidRPr="000F6CBB" w:rsidRDefault="000F6CBB" w:rsidP="000F6CBB">
      <w:pPr>
        <w:spacing w:line="360" w:lineRule="auto"/>
        <w:rPr>
          <w:rFonts w:ascii="Arial" w:hAnsi="Arial" w:cs="Arial"/>
          <w:b/>
          <w:bCs/>
        </w:rPr>
      </w:pPr>
      <w:r w:rsidRPr="000F6CBB">
        <w:rPr>
          <w:rFonts w:ascii="Arial" w:hAnsi="Arial" w:cs="Arial"/>
          <w:b/>
          <w:bCs/>
        </w:rPr>
        <w:t>Net Income</w:t>
      </w:r>
    </w:p>
    <w:p w14:paraId="1254B79D" w14:textId="1459A377" w:rsidR="000F6CBB" w:rsidRPr="000F6CBB" w:rsidRDefault="000F6CBB" w:rsidP="000F6CBB">
      <w:pPr>
        <w:pStyle w:val="ListParagraph"/>
        <w:numPr>
          <w:ilvl w:val="0"/>
          <w:numId w:val="3"/>
        </w:numPr>
        <w:spacing w:line="360" w:lineRule="auto"/>
        <w:rPr>
          <w:rFonts w:ascii="Arial" w:hAnsi="Arial" w:cs="Arial"/>
        </w:rPr>
      </w:pPr>
      <w:r w:rsidRPr="000F6CBB">
        <w:rPr>
          <w:rFonts w:ascii="Arial" w:hAnsi="Arial" w:cs="Arial"/>
        </w:rPr>
        <w:t xml:space="preserve">($59.248 billion </w:t>
      </w:r>
      <w:r w:rsidRPr="000F6CBB">
        <w:rPr>
          <w:rFonts w:ascii="Arial" w:hAnsi="Arial" w:cs="Arial"/>
        </w:rPr>
        <w:t>on</w:t>
      </w:r>
      <w:r w:rsidRPr="000F6CBB">
        <w:rPr>
          <w:rFonts w:ascii="Arial" w:hAnsi="Arial" w:cs="Arial"/>
        </w:rPr>
        <w:t xml:space="preserve"> December 31, 2024)</w:t>
      </w:r>
    </w:p>
    <w:p w14:paraId="5714AED7" w14:textId="4637E59C" w:rsidR="000F6CBB" w:rsidRPr="000F6CBB" w:rsidRDefault="000F6CBB" w:rsidP="000F6CBB">
      <w:pPr>
        <w:pStyle w:val="ListParagraph"/>
        <w:numPr>
          <w:ilvl w:val="0"/>
          <w:numId w:val="3"/>
        </w:numPr>
        <w:spacing w:line="360" w:lineRule="auto"/>
        <w:rPr>
          <w:rFonts w:ascii="Arial" w:hAnsi="Arial" w:cs="Arial"/>
        </w:rPr>
      </w:pPr>
      <w:r w:rsidRPr="000F6CBB">
        <w:rPr>
          <w:rFonts w:ascii="Arial" w:hAnsi="Arial" w:cs="Arial"/>
        </w:rPr>
        <w:t xml:space="preserve">($77.670 billion </w:t>
      </w:r>
      <w:r w:rsidRPr="000F6CBB">
        <w:rPr>
          <w:rFonts w:ascii="Arial" w:hAnsi="Arial" w:cs="Arial"/>
        </w:rPr>
        <w:t>on</w:t>
      </w:r>
      <w:r w:rsidRPr="000F6CBB">
        <w:rPr>
          <w:rFonts w:ascii="Arial" w:hAnsi="Arial" w:cs="Arial"/>
        </w:rPr>
        <w:t xml:space="preserve"> December 31, 2025)</w:t>
      </w:r>
    </w:p>
    <w:p w14:paraId="25D6F7B4" w14:textId="77777777" w:rsidR="000F6CBB" w:rsidRDefault="000F6CBB" w:rsidP="000F6CBB">
      <w:pPr>
        <w:spacing w:line="360" w:lineRule="auto"/>
        <w:rPr>
          <w:rFonts w:ascii="Arial" w:hAnsi="Arial" w:cs="Arial"/>
        </w:rPr>
      </w:pPr>
    </w:p>
    <w:p w14:paraId="245AF776" w14:textId="4A83300B" w:rsidR="000F6CBB" w:rsidRPr="000F6CBB" w:rsidRDefault="000F6CBB" w:rsidP="000F6CBB">
      <w:pPr>
        <w:spacing w:line="360" w:lineRule="auto"/>
        <w:rPr>
          <w:rFonts w:ascii="Arial" w:hAnsi="Arial" w:cs="Arial"/>
          <w:b/>
          <w:bCs/>
        </w:rPr>
      </w:pPr>
      <w:r w:rsidRPr="000F6CBB">
        <w:rPr>
          <w:rFonts w:ascii="Arial" w:hAnsi="Arial" w:cs="Arial"/>
          <w:b/>
          <w:bCs/>
        </w:rPr>
        <w:lastRenderedPageBreak/>
        <w:t>Current Assets</w:t>
      </w:r>
    </w:p>
    <w:p w14:paraId="50D43D1D" w14:textId="1A86868B" w:rsidR="000F6CBB" w:rsidRPr="000F6CBB" w:rsidRDefault="000F6CBB" w:rsidP="000F6CBB">
      <w:pPr>
        <w:pStyle w:val="ListParagraph"/>
        <w:numPr>
          <w:ilvl w:val="0"/>
          <w:numId w:val="3"/>
        </w:numPr>
        <w:spacing w:line="360" w:lineRule="auto"/>
        <w:rPr>
          <w:rFonts w:ascii="Arial" w:hAnsi="Arial" w:cs="Arial"/>
        </w:rPr>
      </w:pPr>
      <w:r w:rsidRPr="000F6CBB">
        <w:rPr>
          <w:rFonts w:ascii="Arial" w:hAnsi="Arial" w:cs="Arial"/>
        </w:rPr>
        <w:t xml:space="preserve">($190.867 billion </w:t>
      </w:r>
      <w:r w:rsidRPr="000F6CBB">
        <w:rPr>
          <w:rFonts w:ascii="Arial" w:hAnsi="Arial" w:cs="Arial"/>
        </w:rPr>
        <w:t>on</w:t>
      </w:r>
      <w:r w:rsidRPr="000F6CBB">
        <w:rPr>
          <w:rFonts w:ascii="Arial" w:hAnsi="Arial" w:cs="Arial"/>
        </w:rPr>
        <w:t xml:space="preserve"> December 31, 2024)</w:t>
      </w:r>
    </w:p>
    <w:p w14:paraId="793953CE" w14:textId="11084B56" w:rsidR="000F6CBB" w:rsidRPr="000F6CBB" w:rsidRDefault="000F6CBB" w:rsidP="000F6CBB">
      <w:pPr>
        <w:pStyle w:val="ListParagraph"/>
        <w:numPr>
          <w:ilvl w:val="0"/>
          <w:numId w:val="3"/>
        </w:numPr>
        <w:spacing w:line="360" w:lineRule="auto"/>
        <w:rPr>
          <w:rFonts w:ascii="Arial" w:hAnsi="Arial" w:cs="Arial"/>
        </w:rPr>
      </w:pPr>
      <w:r w:rsidRPr="000F6CBB">
        <w:rPr>
          <w:rFonts w:ascii="Arial" w:hAnsi="Arial" w:cs="Arial"/>
        </w:rPr>
        <w:t xml:space="preserve">($229.083 billion </w:t>
      </w:r>
      <w:r w:rsidRPr="000F6CBB">
        <w:rPr>
          <w:rFonts w:ascii="Arial" w:hAnsi="Arial" w:cs="Arial"/>
        </w:rPr>
        <w:t>on</w:t>
      </w:r>
      <w:r w:rsidRPr="000F6CBB">
        <w:rPr>
          <w:rFonts w:ascii="Arial" w:hAnsi="Arial" w:cs="Arial"/>
        </w:rPr>
        <w:t xml:space="preserve"> December 31, 2025)</w:t>
      </w:r>
    </w:p>
    <w:p w14:paraId="672B645D" w14:textId="34E176C6" w:rsidR="000F6CBB" w:rsidRPr="000F6CBB" w:rsidRDefault="000F6CBB" w:rsidP="000F6CBB">
      <w:pPr>
        <w:spacing w:line="360" w:lineRule="auto"/>
        <w:rPr>
          <w:rFonts w:ascii="Arial" w:hAnsi="Arial" w:cs="Arial"/>
          <w:b/>
          <w:bCs/>
        </w:rPr>
      </w:pPr>
      <w:r w:rsidRPr="000F6CBB">
        <w:rPr>
          <w:rFonts w:ascii="Arial" w:hAnsi="Arial" w:cs="Arial"/>
          <w:b/>
          <w:bCs/>
        </w:rPr>
        <w:t>Current Liabilities</w:t>
      </w:r>
    </w:p>
    <w:p w14:paraId="06B63FDF" w14:textId="19DE8530" w:rsidR="000F6CBB" w:rsidRPr="000F6CBB" w:rsidRDefault="000F6CBB" w:rsidP="000F6CBB">
      <w:pPr>
        <w:pStyle w:val="ListParagraph"/>
        <w:numPr>
          <w:ilvl w:val="0"/>
          <w:numId w:val="3"/>
        </w:numPr>
        <w:spacing w:line="360" w:lineRule="auto"/>
        <w:rPr>
          <w:rFonts w:ascii="Arial" w:hAnsi="Arial" w:cs="Arial"/>
        </w:rPr>
      </w:pPr>
      <w:r w:rsidRPr="000F6CBB">
        <w:rPr>
          <w:rFonts w:ascii="Arial" w:hAnsi="Arial" w:cs="Arial"/>
        </w:rPr>
        <w:t xml:space="preserve">($179.431 billion </w:t>
      </w:r>
      <w:r w:rsidRPr="000F6CBB">
        <w:rPr>
          <w:rFonts w:ascii="Arial" w:hAnsi="Arial" w:cs="Arial"/>
        </w:rPr>
        <w:t>on</w:t>
      </w:r>
      <w:r w:rsidRPr="000F6CBB">
        <w:rPr>
          <w:rFonts w:ascii="Arial" w:hAnsi="Arial" w:cs="Arial"/>
        </w:rPr>
        <w:t xml:space="preserve"> December 31, 2024)</w:t>
      </w:r>
    </w:p>
    <w:p w14:paraId="18BCF9B3" w14:textId="2E15F773" w:rsidR="000F6CBB" w:rsidRPr="000F6CBB" w:rsidRDefault="000F6CBB" w:rsidP="000F6CBB">
      <w:pPr>
        <w:pStyle w:val="ListParagraph"/>
        <w:numPr>
          <w:ilvl w:val="0"/>
          <w:numId w:val="3"/>
        </w:numPr>
        <w:spacing w:line="360" w:lineRule="auto"/>
        <w:rPr>
          <w:rFonts w:ascii="Arial" w:hAnsi="Arial" w:cs="Arial"/>
        </w:rPr>
      </w:pPr>
      <w:r w:rsidRPr="000F6CBB">
        <w:rPr>
          <w:rFonts w:ascii="Arial" w:hAnsi="Arial" w:cs="Arial"/>
        </w:rPr>
        <w:t xml:space="preserve">($218.005 billion </w:t>
      </w:r>
      <w:r w:rsidRPr="000F6CBB">
        <w:rPr>
          <w:rFonts w:ascii="Arial" w:hAnsi="Arial" w:cs="Arial"/>
        </w:rPr>
        <w:t>on</w:t>
      </w:r>
      <w:r w:rsidRPr="000F6CBB">
        <w:rPr>
          <w:rFonts w:ascii="Arial" w:hAnsi="Arial" w:cs="Arial"/>
        </w:rPr>
        <w:t xml:space="preserve"> December 31, 2025)</w:t>
      </w:r>
    </w:p>
    <w:p w14:paraId="0CFBFC65" w14:textId="204A016A" w:rsidR="000F6CBB" w:rsidRPr="000F6CBB" w:rsidRDefault="000F6CBB" w:rsidP="000F6CBB">
      <w:pPr>
        <w:spacing w:line="360" w:lineRule="auto"/>
        <w:rPr>
          <w:rFonts w:ascii="Arial" w:hAnsi="Arial" w:cs="Arial"/>
          <w:b/>
          <w:bCs/>
        </w:rPr>
      </w:pPr>
      <w:r w:rsidRPr="000F6CBB">
        <w:rPr>
          <w:rFonts w:ascii="Arial" w:hAnsi="Arial" w:cs="Arial"/>
          <w:b/>
          <w:bCs/>
        </w:rPr>
        <w:t>I</w:t>
      </w:r>
      <w:r w:rsidRPr="000F6CBB">
        <w:rPr>
          <w:rFonts w:ascii="Arial" w:hAnsi="Arial" w:cs="Arial"/>
          <w:b/>
          <w:bCs/>
        </w:rPr>
        <w:t>nventory</w:t>
      </w:r>
    </w:p>
    <w:p w14:paraId="3A0E55F4" w14:textId="11BD23F9" w:rsidR="000F6CBB" w:rsidRPr="000F6CBB" w:rsidRDefault="000F6CBB" w:rsidP="000F6CBB">
      <w:pPr>
        <w:pStyle w:val="ListParagraph"/>
        <w:numPr>
          <w:ilvl w:val="0"/>
          <w:numId w:val="3"/>
        </w:numPr>
        <w:spacing w:line="360" w:lineRule="auto"/>
        <w:rPr>
          <w:rFonts w:ascii="Arial" w:hAnsi="Arial" w:cs="Arial"/>
        </w:rPr>
      </w:pPr>
      <w:r w:rsidRPr="000F6CBB">
        <w:rPr>
          <w:rFonts w:ascii="Arial" w:hAnsi="Arial" w:cs="Arial"/>
        </w:rPr>
        <w:t xml:space="preserve">($34.214 billion </w:t>
      </w:r>
      <w:r w:rsidRPr="000F6CBB">
        <w:rPr>
          <w:rFonts w:ascii="Arial" w:hAnsi="Arial" w:cs="Arial"/>
        </w:rPr>
        <w:t>on</w:t>
      </w:r>
      <w:r w:rsidRPr="000F6CBB">
        <w:rPr>
          <w:rFonts w:ascii="Arial" w:hAnsi="Arial" w:cs="Arial"/>
        </w:rPr>
        <w:t xml:space="preserve"> December 31, 2024)</w:t>
      </w:r>
    </w:p>
    <w:p w14:paraId="5304525F" w14:textId="16E00C18" w:rsidR="000F6CBB" w:rsidRPr="000F6CBB" w:rsidRDefault="000F6CBB" w:rsidP="000F6CBB">
      <w:pPr>
        <w:pStyle w:val="ListParagraph"/>
        <w:numPr>
          <w:ilvl w:val="0"/>
          <w:numId w:val="3"/>
        </w:numPr>
        <w:spacing w:line="360" w:lineRule="auto"/>
        <w:rPr>
          <w:rFonts w:ascii="Arial" w:hAnsi="Arial" w:cs="Arial"/>
        </w:rPr>
      </w:pPr>
      <w:r w:rsidRPr="000F6CBB">
        <w:rPr>
          <w:rFonts w:ascii="Arial" w:hAnsi="Arial" w:cs="Arial"/>
        </w:rPr>
        <w:t xml:space="preserve">($38.325 billion </w:t>
      </w:r>
      <w:r w:rsidRPr="000F6CBB">
        <w:rPr>
          <w:rFonts w:ascii="Arial" w:hAnsi="Arial" w:cs="Arial"/>
        </w:rPr>
        <w:t>on</w:t>
      </w:r>
      <w:r w:rsidRPr="000F6CBB">
        <w:rPr>
          <w:rFonts w:ascii="Arial" w:hAnsi="Arial" w:cs="Arial"/>
        </w:rPr>
        <w:t xml:space="preserve"> December 31, 2025)</w:t>
      </w:r>
    </w:p>
    <w:p w14:paraId="0900AD65" w14:textId="3A372C04" w:rsidR="000F6CBB" w:rsidRPr="000F6CBB" w:rsidRDefault="000F6CBB" w:rsidP="000F6CBB">
      <w:pPr>
        <w:spacing w:line="360" w:lineRule="auto"/>
        <w:rPr>
          <w:rFonts w:ascii="Arial" w:hAnsi="Arial" w:cs="Arial"/>
          <w:b/>
          <w:bCs/>
        </w:rPr>
      </w:pPr>
      <w:r w:rsidRPr="000F6CBB">
        <w:rPr>
          <w:rFonts w:ascii="Arial" w:hAnsi="Arial" w:cs="Arial"/>
          <w:b/>
          <w:bCs/>
        </w:rPr>
        <w:t>Total Assets</w:t>
      </w:r>
    </w:p>
    <w:p w14:paraId="7A089FA7" w14:textId="4057E4CE" w:rsidR="000F6CBB" w:rsidRPr="000F6CBB" w:rsidRDefault="000F6CBB" w:rsidP="000F6CBB">
      <w:pPr>
        <w:pStyle w:val="ListParagraph"/>
        <w:numPr>
          <w:ilvl w:val="0"/>
          <w:numId w:val="3"/>
        </w:numPr>
        <w:spacing w:line="360" w:lineRule="auto"/>
        <w:rPr>
          <w:rFonts w:ascii="Arial" w:hAnsi="Arial" w:cs="Arial"/>
        </w:rPr>
      </w:pPr>
      <w:r w:rsidRPr="000F6CBB">
        <w:rPr>
          <w:rFonts w:ascii="Arial" w:hAnsi="Arial" w:cs="Arial"/>
        </w:rPr>
        <w:t xml:space="preserve">($624.894 billion </w:t>
      </w:r>
      <w:r w:rsidRPr="000F6CBB">
        <w:rPr>
          <w:rFonts w:ascii="Arial" w:hAnsi="Arial" w:cs="Arial"/>
        </w:rPr>
        <w:t>on</w:t>
      </w:r>
      <w:r w:rsidRPr="000F6CBB">
        <w:rPr>
          <w:rFonts w:ascii="Arial" w:hAnsi="Arial" w:cs="Arial"/>
        </w:rPr>
        <w:t xml:space="preserve"> December 31, 2024)</w:t>
      </w:r>
    </w:p>
    <w:p w14:paraId="37E1D110" w14:textId="78EB7A55" w:rsidR="000F6CBB" w:rsidRPr="000F6CBB" w:rsidRDefault="000F6CBB" w:rsidP="000F6CBB">
      <w:pPr>
        <w:pStyle w:val="ListParagraph"/>
        <w:numPr>
          <w:ilvl w:val="0"/>
          <w:numId w:val="3"/>
        </w:numPr>
        <w:spacing w:line="360" w:lineRule="auto"/>
        <w:rPr>
          <w:rFonts w:ascii="Arial" w:hAnsi="Arial" w:cs="Arial"/>
        </w:rPr>
      </w:pPr>
      <w:r w:rsidRPr="000F6CBB">
        <w:rPr>
          <w:rFonts w:ascii="Arial" w:hAnsi="Arial" w:cs="Arial"/>
        </w:rPr>
        <w:t xml:space="preserve">($818.042 billion </w:t>
      </w:r>
      <w:r w:rsidRPr="000F6CBB">
        <w:rPr>
          <w:rFonts w:ascii="Arial" w:hAnsi="Arial" w:cs="Arial"/>
        </w:rPr>
        <w:t>on</w:t>
      </w:r>
      <w:r w:rsidRPr="000F6CBB">
        <w:rPr>
          <w:rFonts w:ascii="Arial" w:hAnsi="Arial" w:cs="Arial"/>
        </w:rPr>
        <w:t xml:space="preserve"> December 31, 2025)</w:t>
      </w:r>
    </w:p>
    <w:p w14:paraId="3AF14557" w14:textId="120E112D" w:rsidR="000F6CBB" w:rsidRPr="000F6CBB" w:rsidRDefault="000F6CBB" w:rsidP="000F6CBB">
      <w:pPr>
        <w:spacing w:line="360" w:lineRule="auto"/>
        <w:rPr>
          <w:rFonts w:ascii="Arial" w:hAnsi="Arial" w:cs="Arial"/>
          <w:b/>
          <w:bCs/>
        </w:rPr>
      </w:pPr>
      <w:r w:rsidRPr="000F6CBB">
        <w:rPr>
          <w:rFonts w:ascii="Arial" w:hAnsi="Arial" w:cs="Arial"/>
          <w:b/>
          <w:bCs/>
        </w:rPr>
        <w:t xml:space="preserve">Total Liabilities (Calculated as Total Assets minus Equity) </w:t>
      </w:r>
    </w:p>
    <w:p w14:paraId="54FDE276" w14:textId="3BD33FE3" w:rsidR="000F6CBB" w:rsidRPr="000F6CBB" w:rsidRDefault="000F6CBB" w:rsidP="000F6CBB">
      <w:pPr>
        <w:pStyle w:val="ListParagraph"/>
        <w:numPr>
          <w:ilvl w:val="0"/>
          <w:numId w:val="3"/>
        </w:numPr>
        <w:spacing w:line="360" w:lineRule="auto"/>
        <w:rPr>
          <w:rFonts w:ascii="Arial" w:hAnsi="Arial" w:cs="Arial"/>
        </w:rPr>
      </w:pPr>
      <w:r w:rsidRPr="000F6CBB">
        <w:rPr>
          <w:rFonts w:ascii="Arial" w:hAnsi="Arial" w:cs="Arial"/>
        </w:rPr>
        <w:t xml:space="preserve">($338.924 billion </w:t>
      </w:r>
      <w:r w:rsidRPr="000F6CBB">
        <w:rPr>
          <w:rFonts w:ascii="Arial" w:hAnsi="Arial" w:cs="Arial"/>
        </w:rPr>
        <w:t>on</w:t>
      </w:r>
      <w:r w:rsidRPr="000F6CBB">
        <w:rPr>
          <w:rFonts w:ascii="Arial" w:hAnsi="Arial" w:cs="Arial"/>
        </w:rPr>
        <w:t xml:space="preserve"> December 31, 2024)</w:t>
      </w:r>
    </w:p>
    <w:p w14:paraId="2AE5AA20" w14:textId="07B6A0CF" w:rsidR="000F6CBB" w:rsidRPr="000F6CBB" w:rsidRDefault="000F6CBB" w:rsidP="000F6CBB">
      <w:pPr>
        <w:pStyle w:val="ListParagraph"/>
        <w:numPr>
          <w:ilvl w:val="0"/>
          <w:numId w:val="3"/>
        </w:numPr>
        <w:spacing w:line="360" w:lineRule="auto"/>
        <w:rPr>
          <w:rFonts w:ascii="Arial" w:hAnsi="Arial" w:cs="Arial"/>
        </w:rPr>
      </w:pPr>
      <w:r w:rsidRPr="000F6CBB">
        <w:rPr>
          <w:rFonts w:ascii="Arial" w:hAnsi="Arial" w:cs="Arial"/>
        </w:rPr>
        <w:t xml:space="preserve">($406.977 billion </w:t>
      </w:r>
      <w:r w:rsidRPr="000F6CBB">
        <w:rPr>
          <w:rFonts w:ascii="Arial" w:hAnsi="Arial" w:cs="Arial"/>
        </w:rPr>
        <w:t>on</w:t>
      </w:r>
      <w:r w:rsidRPr="000F6CBB">
        <w:rPr>
          <w:rFonts w:ascii="Arial" w:hAnsi="Arial" w:cs="Arial"/>
        </w:rPr>
        <w:t xml:space="preserve"> December 31, 2025)</w:t>
      </w:r>
    </w:p>
    <w:p w14:paraId="2086E12A" w14:textId="60897276" w:rsidR="000F6CBB" w:rsidRPr="000F6CBB" w:rsidRDefault="000F6CBB" w:rsidP="000F6CBB">
      <w:pPr>
        <w:spacing w:line="360" w:lineRule="auto"/>
        <w:rPr>
          <w:rFonts w:ascii="Arial" w:hAnsi="Arial" w:cs="Arial"/>
          <w:b/>
          <w:bCs/>
        </w:rPr>
      </w:pPr>
      <w:r w:rsidRPr="000F6CBB">
        <w:rPr>
          <w:rFonts w:ascii="Arial" w:hAnsi="Arial" w:cs="Arial"/>
          <w:b/>
          <w:bCs/>
        </w:rPr>
        <w:t>Equity</w:t>
      </w:r>
    </w:p>
    <w:p w14:paraId="7178D535" w14:textId="164DB7F6" w:rsidR="000F6CBB" w:rsidRPr="000F6CBB" w:rsidRDefault="000F6CBB" w:rsidP="000F6CBB">
      <w:pPr>
        <w:pStyle w:val="ListParagraph"/>
        <w:numPr>
          <w:ilvl w:val="0"/>
          <w:numId w:val="3"/>
        </w:numPr>
        <w:spacing w:line="360" w:lineRule="auto"/>
        <w:rPr>
          <w:rFonts w:ascii="Arial" w:hAnsi="Arial" w:cs="Arial"/>
        </w:rPr>
      </w:pPr>
      <w:r w:rsidRPr="000F6CBB">
        <w:rPr>
          <w:rFonts w:ascii="Arial" w:hAnsi="Arial" w:cs="Arial"/>
        </w:rPr>
        <w:t xml:space="preserve">($285.970 billion </w:t>
      </w:r>
      <w:r w:rsidRPr="000F6CBB">
        <w:rPr>
          <w:rFonts w:ascii="Arial" w:hAnsi="Arial" w:cs="Arial"/>
        </w:rPr>
        <w:t>on</w:t>
      </w:r>
      <w:r w:rsidRPr="000F6CBB">
        <w:rPr>
          <w:rFonts w:ascii="Arial" w:hAnsi="Arial" w:cs="Arial"/>
        </w:rPr>
        <w:t xml:space="preserve"> December 31, 2024)</w:t>
      </w:r>
    </w:p>
    <w:p w14:paraId="439840FF" w14:textId="449144ED" w:rsidR="000F6CBB" w:rsidRPr="000F6CBB" w:rsidRDefault="000F6CBB" w:rsidP="000F6CBB">
      <w:pPr>
        <w:pStyle w:val="ListParagraph"/>
        <w:numPr>
          <w:ilvl w:val="0"/>
          <w:numId w:val="3"/>
        </w:numPr>
        <w:spacing w:line="360" w:lineRule="auto"/>
        <w:rPr>
          <w:rFonts w:ascii="Arial" w:hAnsi="Arial" w:cs="Arial"/>
        </w:rPr>
      </w:pPr>
      <w:r w:rsidRPr="000F6CBB">
        <w:rPr>
          <w:rFonts w:ascii="Arial" w:hAnsi="Arial" w:cs="Arial"/>
        </w:rPr>
        <w:t xml:space="preserve">($411.065 billion </w:t>
      </w:r>
      <w:r w:rsidRPr="000F6CBB">
        <w:rPr>
          <w:rFonts w:ascii="Arial" w:hAnsi="Arial" w:cs="Arial"/>
        </w:rPr>
        <w:t>on</w:t>
      </w:r>
      <w:r w:rsidRPr="000F6CBB">
        <w:rPr>
          <w:rFonts w:ascii="Arial" w:hAnsi="Arial" w:cs="Arial"/>
        </w:rPr>
        <w:t xml:space="preserve"> December 31, 2025)</w:t>
      </w:r>
    </w:p>
    <w:p w14:paraId="4D880AF4" w14:textId="77F5F6D6" w:rsidR="000F6CBB" w:rsidRPr="000F6CBB" w:rsidRDefault="000F6CBB" w:rsidP="000F6CBB">
      <w:pPr>
        <w:spacing w:line="360" w:lineRule="auto"/>
        <w:rPr>
          <w:rFonts w:ascii="Arial" w:hAnsi="Arial" w:cs="Arial"/>
          <w:b/>
          <w:bCs/>
        </w:rPr>
      </w:pPr>
      <w:r w:rsidRPr="000F6CBB">
        <w:rPr>
          <w:rFonts w:ascii="Arial" w:hAnsi="Arial" w:cs="Arial"/>
          <w:b/>
          <w:bCs/>
        </w:rPr>
        <w:t>Cost of Sales</w:t>
      </w:r>
    </w:p>
    <w:p w14:paraId="7719146B" w14:textId="35E8D40D" w:rsidR="000F6CBB" w:rsidRPr="000F6CBB" w:rsidRDefault="000F6CBB" w:rsidP="000F6CBB">
      <w:pPr>
        <w:pStyle w:val="ListParagraph"/>
        <w:numPr>
          <w:ilvl w:val="0"/>
          <w:numId w:val="3"/>
        </w:numPr>
        <w:spacing w:line="360" w:lineRule="auto"/>
        <w:rPr>
          <w:rFonts w:ascii="Arial" w:hAnsi="Arial" w:cs="Arial"/>
        </w:rPr>
      </w:pPr>
      <w:r w:rsidRPr="000F6CBB">
        <w:rPr>
          <w:rFonts w:ascii="Arial" w:hAnsi="Arial" w:cs="Arial"/>
        </w:rPr>
        <w:t xml:space="preserve">($326.288 billion </w:t>
      </w:r>
      <w:r w:rsidRPr="000F6CBB">
        <w:rPr>
          <w:rFonts w:ascii="Arial" w:hAnsi="Arial" w:cs="Arial"/>
        </w:rPr>
        <w:t>on</w:t>
      </w:r>
      <w:r w:rsidRPr="000F6CBB">
        <w:rPr>
          <w:rFonts w:ascii="Arial" w:hAnsi="Arial" w:cs="Arial"/>
        </w:rPr>
        <w:t xml:space="preserve"> December 31, 2024)</w:t>
      </w:r>
    </w:p>
    <w:p w14:paraId="79A261EF" w14:textId="01E4269D" w:rsidR="000F6CBB" w:rsidRDefault="000F6CBB" w:rsidP="000F6CBB">
      <w:pPr>
        <w:pStyle w:val="ListParagraph"/>
        <w:numPr>
          <w:ilvl w:val="0"/>
          <w:numId w:val="3"/>
        </w:numPr>
        <w:spacing w:line="360" w:lineRule="auto"/>
        <w:rPr>
          <w:rFonts w:ascii="Arial" w:hAnsi="Arial" w:cs="Arial"/>
        </w:rPr>
      </w:pPr>
      <w:r w:rsidRPr="000F6CBB">
        <w:rPr>
          <w:rFonts w:ascii="Arial" w:hAnsi="Arial" w:cs="Arial"/>
        </w:rPr>
        <w:t xml:space="preserve">($356.414 billion </w:t>
      </w:r>
      <w:r w:rsidRPr="000F6CBB">
        <w:rPr>
          <w:rFonts w:ascii="Arial" w:hAnsi="Arial" w:cs="Arial"/>
        </w:rPr>
        <w:t>on</w:t>
      </w:r>
      <w:r w:rsidRPr="000F6CBB">
        <w:rPr>
          <w:rFonts w:ascii="Arial" w:hAnsi="Arial" w:cs="Arial"/>
        </w:rPr>
        <w:t xml:space="preserve"> December 31</w:t>
      </w:r>
      <w:r>
        <w:rPr>
          <w:rFonts w:ascii="Arial" w:hAnsi="Arial" w:cs="Arial"/>
        </w:rPr>
        <w:t>, 2025</w:t>
      </w:r>
    </w:p>
    <w:p w14:paraId="19709844" w14:textId="0F8E28B2" w:rsidR="000F6CBB" w:rsidRPr="000F6CBB" w:rsidRDefault="000F6CBB" w:rsidP="000F6CBB">
      <w:pPr>
        <w:pStyle w:val="ListParagraph"/>
        <w:numPr>
          <w:ilvl w:val="0"/>
          <w:numId w:val="1"/>
        </w:numPr>
        <w:spacing w:line="360" w:lineRule="auto"/>
        <w:rPr>
          <w:rFonts w:ascii="Arial" w:hAnsi="Arial" w:cs="Arial"/>
          <w:b/>
          <w:bCs/>
        </w:rPr>
      </w:pPr>
      <w:r w:rsidRPr="000F6CBB">
        <w:rPr>
          <w:rFonts w:ascii="Arial" w:hAnsi="Arial" w:cs="Arial"/>
          <w:b/>
          <w:bCs/>
        </w:rPr>
        <w:t xml:space="preserve">Ratios for determining </w:t>
      </w:r>
      <w:r w:rsidRPr="000F6CBB">
        <w:rPr>
          <w:rFonts w:ascii="Arial" w:hAnsi="Arial" w:cs="Arial"/>
          <w:b/>
          <w:bCs/>
        </w:rPr>
        <w:t xml:space="preserve">the </w:t>
      </w:r>
      <w:r w:rsidRPr="000F6CBB">
        <w:rPr>
          <w:rFonts w:ascii="Arial" w:hAnsi="Arial" w:cs="Arial"/>
          <w:b/>
          <w:bCs/>
        </w:rPr>
        <w:t>profitability of a company</w:t>
      </w:r>
    </w:p>
    <w:p w14:paraId="36A300DC" w14:textId="245F5C15" w:rsidR="000F6CBB" w:rsidRPr="000F6CBB" w:rsidRDefault="000F6CBB" w:rsidP="000F6CBB">
      <w:pPr>
        <w:pStyle w:val="ListParagraph"/>
        <w:numPr>
          <w:ilvl w:val="1"/>
          <w:numId w:val="1"/>
        </w:numPr>
        <w:spacing w:line="360" w:lineRule="auto"/>
        <w:rPr>
          <w:rFonts w:ascii="Arial" w:hAnsi="Arial" w:cs="Arial"/>
          <w:b/>
          <w:bCs/>
        </w:rPr>
      </w:pPr>
      <w:r w:rsidRPr="000F6CBB">
        <w:rPr>
          <w:rFonts w:ascii="Arial" w:hAnsi="Arial" w:cs="Arial"/>
          <w:b/>
          <w:bCs/>
        </w:rPr>
        <w:t>Operating Profit Margin</w:t>
      </w:r>
    </w:p>
    <w:p w14:paraId="697F746C" w14:textId="77777777" w:rsidR="000F6CBB" w:rsidRDefault="000F6CBB" w:rsidP="000F6CBB">
      <w:pPr>
        <w:spacing w:line="360" w:lineRule="auto"/>
        <w:rPr>
          <w:rFonts w:ascii="Arial" w:hAnsi="Arial" w:cs="Arial"/>
        </w:rPr>
      </w:pPr>
      <w:r>
        <w:rPr>
          <w:rFonts w:ascii="Arial" w:hAnsi="Arial" w:cs="Arial"/>
        </w:rPr>
        <w:t>The formula</w:t>
      </w:r>
      <w:r w:rsidRPr="000F6CBB">
        <w:rPr>
          <w:rFonts w:ascii="Arial" w:hAnsi="Arial" w:cs="Arial"/>
        </w:rPr>
        <w:t xml:space="preserve"> for calculating Operating Profit Margin is:</w:t>
      </w:r>
      <w:r>
        <w:rPr>
          <w:rFonts w:ascii="Arial" w:hAnsi="Arial" w:cs="Arial"/>
        </w:rPr>
        <w:t xml:space="preserve"> </w:t>
      </w:r>
    </w:p>
    <w:p w14:paraId="2664C77F" w14:textId="416AF840" w:rsidR="000F6CBB" w:rsidRPr="000F6CBB" w:rsidRDefault="000F6CBB" w:rsidP="000F6CBB">
      <w:pPr>
        <w:spacing w:line="360" w:lineRule="auto"/>
        <w:rPr>
          <w:rFonts w:ascii="Arial" w:hAnsi="Arial" w:cs="Arial"/>
          <w:b/>
          <w:bCs/>
          <w:u w:val="thick"/>
        </w:rPr>
      </w:pPr>
      <w:r w:rsidRPr="000F6CBB">
        <w:rPr>
          <w:rFonts w:ascii="Arial" w:hAnsi="Arial" w:cs="Arial"/>
          <w:b/>
          <w:bCs/>
          <w:u w:val="thick"/>
        </w:rPr>
        <w:t xml:space="preserve">OPM (%) = Operating Income </w:t>
      </w:r>
      <w:r w:rsidRPr="000F6CBB">
        <w:rPr>
          <w:rFonts w:ascii="Arial" w:hAnsi="Arial" w:cs="Arial"/>
          <w:b/>
          <w:bCs/>
          <w:u w:val="thick"/>
        </w:rPr>
        <w:t>/</w:t>
      </w:r>
      <w:r w:rsidRPr="000F6CBB">
        <w:rPr>
          <w:rFonts w:ascii="Arial" w:hAnsi="Arial" w:cs="Arial"/>
          <w:b/>
          <w:bCs/>
          <w:u w:val="thick"/>
        </w:rPr>
        <w:t xml:space="preserve"> Revenue × 100</w:t>
      </w:r>
    </w:p>
    <w:p w14:paraId="0346293C" w14:textId="25553141" w:rsidR="000F6CBB" w:rsidRPr="000F6CBB" w:rsidRDefault="000F6CBB" w:rsidP="000F6CBB">
      <w:pPr>
        <w:spacing w:line="360" w:lineRule="auto"/>
        <w:rPr>
          <w:rFonts w:ascii="Arial" w:hAnsi="Arial" w:cs="Arial"/>
        </w:rPr>
      </w:pPr>
      <w:r w:rsidRPr="000F6CBB">
        <w:rPr>
          <w:rFonts w:ascii="Arial" w:hAnsi="Arial" w:cs="Arial"/>
        </w:rPr>
        <w:t xml:space="preserve">Operating Profit Margin for 2024 = 68.593 </w:t>
      </w:r>
      <w:r>
        <w:rPr>
          <w:rFonts w:ascii="Arial" w:hAnsi="Arial" w:cs="Arial"/>
        </w:rPr>
        <w:t>/</w:t>
      </w:r>
      <w:r w:rsidRPr="000F6CBB">
        <w:rPr>
          <w:rFonts w:ascii="Arial" w:hAnsi="Arial" w:cs="Arial"/>
        </w:rPr>
        <w:t xml:space="preserve"> 637.959 × 100 = 10.75%</w:t>
      </w:r>
    </w:p>
    <w:p w14:paraId="0BF2D04E" w14:textId="77777777" w:rsidR="000F6CBB" w:rsidRDefault="000F6CBB" w:rsidP="000F6CBB">
      <w:pPr>
        <w:spacing w:line="360" w:lineRule="auto"/>
        <w:rPr>
          <w:rFonts w:ascii="Arial" w:hAnsi="Arial" w:cs="Arial"/>
        </w:rPr>
      </w:pPr>
      <w:r w:rsidRPr="000F6CBB">
        <w:rPr>
          <w:rFonts w:ascii="Arial" w:hAnsi="Arial" w:cs="Arial"/>
        </w:rPr>
        <w:t xml:space="preserve">Operating Profit Margin for 2025 = 79.975 </w:t>
      </w:r>
      <w:r>
        <w:rPr>
          <w:rFonts w:ascii="Arial" w:hAnsi="Arial" w:cs="Arial"/>
        </w:rPr>
        <w:t>/</w:t>
      </w:r>
      <w:r w:rsidRPr="000F6CBB">
        <w:rPr>
          <w:rFonts w:ascii="Arial" w:hAnsi="Arial" w:cs="Arial"/>
        </w:rPr>
        <w:t xml:space="preserve"> 716.917 × 100 = 11.16%</w:t>
      </w:r>
    </w:p>
    <w:p w14:paraId="1DE7C0A2" w14:textId="77454596" w:rsidR="000F6CBB" w:rsidRPr="000F6CBB" w:rsidRDefault="000F6CBB" w:rsidP="000F6CBB">
      <w:pPr>
        <w:spacing w:line="360" w:lineRule="auto"/>
        <w:rPr>
          <w:rFonts w:ascii="Arial" w:hAnsi="Arial" w:cs="Arial"/>
        </w:rPr>
      </w:pPr>
      <w:r w:rsidRPr="000F6CBB">
        <w:rPr>
          <w:rFonts w:ascii="Arial" w:hAnsi="Arial" w:cs="Arial"/>
        </w:rPr>
        <w:lastRenderedPageBreak/>
        <w:t>The operating profit margin increased .41% from 10.75% to 11.16%, indicating that in 2025</w:t>
      </w:r>
      <w:r>
        <w:rPr>
          <w:rFonts w:ascii="Arial" w:hAnsi="Arial" w:cs="Arial"/>
        </w:rPr>
        <w:t>,</w:t>
      </w:r>
      <w:r w:rsidRPr="000F6CBB">
        <w:rPr>
          <w:rFonts w:ascii="Arial" w:hAnsi="Arial" w:cs="Arial"/>
        </w:rPr>
        <w:t xml:space="preserve"> Amazon produced greater operating profits per dollar of sales due to improved cost control and scale efficiencies in </w:t>
      </w:r>
      <w:r>
        <w:rPr>
          <w:rFonts w:ascii="Arial" w:hAnsi="Arial" w:cs="Arial"/>
        </w:rPr>
        <w:t>its</w:t>
      </w:r>
      <w:r w:rsidRPr="000F6CBB">
        <w:rPr>
          <w:rFonts w:ascii="Arial" w:hAnsi="Arial" w:cs="Arial"/>
        </w:rPr>
        <w:t xml:space="preserve"> AWS business and service-based activities versus product retail sales (Charles &amp; Uford, 2023). Therefore, this data is aligned with research supporting that the company's long-term success will come from the expansion of higher-margin businesses, including AWS, subscriptions and advertising, and not by growing their low-margin retail business (Tarasoff &amp; McCormack, 2013; Qureshi &amp; Yadav</w:t>
      </w:r>
      <w:r>
        <w:rPr>
          <w:rFonts w:ascii="Arial" w:hAnsi="Arial" w:cs="Arial"/>
        </w:rPr>
        <w:t>,</w:t>
      </w:r>
      <w:r w:rsidRPr="000F6CBB">
        <w:rPr>
          <w:rFonts w:ascii="Arial" w:hAnsi="Arial" w:cs="Arial"/>
        </w:rPr>
        <w:t xml:space="preserve"> 2020).</w:t>
      </w:r>
    </w:p>
    <w:p w14:paraId="5ED5D959" w14:textId="70BE686A" w:rsidR="000F6CBB" w:rsidRPr="000F6CBB" w:rsidRDefault="000F6CBB" w:rsidP="000F6CBB">
      <w:pPr>
        <w:pStyle w:val="ListParagraph"/>
        <w:numPr>
          <w:ilvl w:val="1"/>
          <w:numId w:val="1"/>
        </w:numPr>
        <w:spacing w:line="360" w:lineRule="auto"/>
        <w:rPr>
          <w:rFonts w:ascii="Arial" w:hAnsi="Arial" w:cs="Arial"/>
          <w:b/>
          <w:bCs/>
        </w:rPr>
      </w:pPr>
      <w:r w:rsidRPr="000F6CBB">
        <w:rPr>
          <w:rFonts w:ascii="Arial" w:hAnsi="Arial" w:cs="Arial"/>
          <w:b/>
          <w:bCs/>
        </w:rPr>
        <w:t>Net Profit Margin</w:t>
      </w:r>
    </w:p>
    <w:p w14:paraId="5FEE0796" w14:textId="77777777" w:rsidR="000F6CBB" w:rsidRDefault="000F6CBB" w:rsidP="000F6CBB">
      <w:pPr>
        <w:spacing w:line="360" w:lineRule="auto"/>
        <w:rPr>
          <w:rFonts w:ascii="Arial" w:hAnsi="Arial" w:cs="Arial"/>
        </w:rPr>
      </w:pPr>
      <w:r>
        <w:rPr>
          <w:rFonts w:ascii="Arial" w:hAnsi="Arial" w:cs="Arial"/>
        </w:rPr>
        <w:t>The formula</w:t>
      </w:r>
      <w:r w:rsidRPr="000F6CBB">
        <w:rPr>
          <w:rFonts w:ascii="Arial" w:hAnsi="Arial" w:cs="Arial"/>
        </w:rPr>
        <w:t xml:space="preserve"> for calculating Net Profit Margin is: </w:t>
      </w:r>
    </w:p>
    <w:p w14:paraId="4D0004A5" w14:textId="7BF9CB99" w:rsidR="000F6CBB" w:rsidRPr="000F6CBB" w:rsidRDefault="000F6CBB" w:rsidP="000F6CBB">
      <w:pPr>
        <w:spacing w:line="360" w:lineRule="auto"/>
        <w:rPr>
          <w:rFonts w:ascii="Arial" w:hAnsi="Arial" w:cs="Arial"/>
          <w:b/>
          <w:bCs/>
          <w:u w:val="thick"/>
        </w:rPr>
      </w:pPr>
      <w:r w:rsidRPr="000F6CBB">
        <w:rPr>
          <w:rFonts w:ascii="Arial" w:hAnsi="Arial" w:cs="Arial"/>
          <w:b/>
          <w:bCs/>
          <w:u w:val="thick"/>
        </w:rPr>
        <w:t xml:space="preserve">NPM (%) = Net Income </w:t>
      </w:r>
      <w:r w:rsidRPr="000F6CBB">
        <w:rPr>
          <w:rFonts w:ascii="Arial" w:hAnsi="Arial" w:cs="Arial"/>
          <w:b/>
          <w:bCs/>
          <w:u w:val="thick"/>
        </w:rPr>
        <w:t>/</w:t>
      </w:r>
      <w:r w:rsidRPr="000F6CBB">
        <w:rPr>
          <w:rFonts w:ascii="Arial" w:hAnsi="Arial" w:cs="Arial"/>
          <w:b/>
          <w:bCs/>
          <w:u w:val="thick"/>
        </w:rPr>
        <w:t xml:space="preserve"> Revenue × 100</w:t>
      </w:r>
    </w:p>
    <w:p w14:paraId="14BF1B91" w14:textId="03AA69AB" w:rsidR="000F6CBB" w:rsidRPr="000F6CBB" w:rsidRDefault="000F6CBB" w:rsidP="000F6CBB">
      <w:pPr>
        <w:spacing w:line="360" w:lineRule="auto"/>
        <w:rPr>
          <w:rFonts w:ascii="Arial" w:hAnsi="Arial" w:cs="Arial"/>
        </w:rPr>
      </w:pPr>
      <w:r w:rsidRPr="000F6CBB">
        <w:rPr>
          <w:rFonts w:ascii="Arial" w:hAnsi="Arial" w:cs="Arial"/>
        </w:rPr>
        <w:t xml:space="preserve">Net Profit Margin for 2024 = 59.248 </w:t>
      </w:r>
      <w:r>
        <w:rPr>
          <w:rFonts w:ascii="Arial" w:hAnsi="Arial" w:cs="Arial"/>
        </w:rPr>
        <w:t>/</w:t>
      </w:r>
      <w:r w:rsidRPr="000F6CBB">
        <w:rPr>
          <w:rFonts w:ascii="Arial" w:hAnsi="Arial" w:cs="Arial"/>
        </w:rPr>
        <w:t xml:space="preserve"> 637.959 × 100 = 9.29%</w:t>
      </w:r>
    </w:p>
    <w:p w14:paraId="02913331" w14:textId="2D5A9249" w:rsidR="000F6CBB" w:rsidRPr="000F6CBB" w:rsidRDefault="000F6CBB" w:rsidP="000F6CBB">
      <w:pPr>
        <w:spacing w:line="360" w:lineRule="auto"/>
        <w:rPr>
          <w:rFonts w:ascii="Arial" w:hAnsi="Arial" w:cs="Arial"/>
        </w:rPr>
      </w:pPr>
      <w:r w:rsidRPr="000F6CBB">
        <w:rPr>
          <w:rFonts w:ascii="Arial" w:hAnsi="Arial" w:cs="Arial"/>
        </w:rPr>
        <w:t xml:space="preserve">Net Profit Margin for 2025 = 77.670 </w:t>
      </w:r>
      <w:r>
        <w:rPr>
          <w:rFonts w:ascii="Arial" w:hAnsi="Arial" w:cs="Arial"/>
        </w:rPr>
        <w:t>/</w:t>
      </w:r>
      <w:r w:rsidRPr="000F6CBB">
        <w:rPr>
          <w:rFonts w:ascii="Arial" w:hAnsi="Arial" w:cs="Arial"/>
        </w:rPr>
        <w:t xml:space="preserve"> 716.917 × 100 = 10.83%</w:t>
      </w:r>
    </w:p>
    <w:p w14:paraId="1765840B" w14:textId="3BC29665" w:rsidR="000F6CBB" w:rsidRPr="000F6CBB" w:rsidRDefault="000F6CBB" w:rsidP="000F6CBB">
      <w:pPr>
        <w:spacing w:line="360" w:lineRule="auto"/>
        <w:rPr>
          <w:rFonts w:ascii="Arial" w:hAnsi="Arial" w:cs="Arial"/>
        </w:rPr>
      </w:pPr>
      <w:r w:rsidRPr="000F6CBB">
        <w:rPr>
          <w:rFonts w:ascii="Arial" w:hAnsi="Arial" w:cs="Arial"/>
        </w:rPr>
        <w:t xml:space="preserve">The increase in the net profit margin was greater than the increase in the operating profit margin, thus reflecting stronger performance on the </w:t>
      </w:r>
      <w:r>
        <w:rPr>
          <w:rFonts w:ascii="Arial" w:hAnsi="Arial" w:cs="Arial"/>
        </w:rPr>
        <w:t>bottom line</w:t>
      </w:r>
      <w:r w:rsidRPr="000F6CBB">
        <w:rPr>
          <w:rFonts w:ascii="Arial" w:hAnsi="Arial" w:cs="Arial"/>
        </w:rPr>
        <w:t xml:space="preserve"> in 2025 versus 2024. Part of the increase in the net profit margin resulted from the growth of the company</w:t>
      </w:r>
      <w:r>
        <w:rPr>
          <w:rFonts w:ascii="Arial" w:hAnsi="Arial" w:cs="Arial"/>
        </w:rPr>
        <w:t>;</w:t>
      </w:r>
      <w:r w:rsidRPr="000F6CBB">
        <w:rPr>
          <w:rFonts w:ascii="Arial" w:hAnsi="Arial" w:cs="Arial"/>
        </w:rPr>
        <w:t xml:space="preserve"> however, both the 2024 and 2025 reports indicate large increases in other income items such as investment-related income. Thus, some of the overall profitability improvements from 2025 resulted from </w:t>
      </w:r>
      <w:r>
        <w:rPr>
          <w:rFonts w:ascii="Arial" w:hAnsi="Arial" w:cs="Arial"/>
        </w:rPr>
        <w:t>higher-than-average</w:t>
      </w:r>
      <w:r w:rsidRPr="000F6CBB">
        <w:rPr>
          <w:rFonts w:ascii="Arial" w:hAnsi="Arial" w:cs="Arial"/>
        </w:rPr>
        <w:t xml:space="preserve"> levels of income which were generated, and therefore, part of the increase in the net profit margin in 2025 was due to activities outside of core </w:t>
      </w:r>
      <w:r w:rsidRPr="000F6CBB">
        <w:rPr>
          <w:rFonts w:ascii="Arial" w:hAnsi="Arial" w:cs="Arial"/>
        </w:rPr>
        <w:t>operations. Additionally</w:t>
      </w:r>
      <w:r w:rsidRPr="000F6CBB">
        <w:rPr>
          <w:rFonts w:ascii="Arial" w:hAnsi="Arial" w:cs="Arial"/>
        </w:rPr>
        <w:t xml:space="preserve">, academic research articles claim that the success of Amazon is heavily based upon its capacity </w:t>
      </w:r>
      <w:r>
        <w:rPr>
          <w:rFonts w:ascii="Arial" w:hAnsi="Arial" w:cs="Arial"/>
        </w:rPr>
        <w:t>to produce</w:t>
      </w:r>
      <w:r w:rsidRPr="000F6CBB">
        <w:rPr>
          <w:rFonts w:ascii="Arial" w:hAnsi="Arial" w:cs="Arial"/>
        </w:rPr>
        <w:t xml:space="preserve"> financial returns from both strategic investments and daily operational activities (Kelley, Hora, &amp; Margheim, 2010; Darcy, 2023). </w:t>
      </w:r>
    </w:p>
    <w:p w14:paraId="49B10AC3" w14:textId="308C0364" w:rsidR="000F6CBB" w:rsidRPr="000F6CBB" w:rsidRDefault="000F6CBB" w:rsidP="000F6CBB">
      <w:pPr>
        <w:pStyle w:val="ListParagraph"/>
        <w:numPr>
          <w:ilvl w:val="0"/>
          <w:numId w:val="1"/>
        </w:numPr>
        <w:spacing w:line="360" w:lineRule="auto"/>
        <w:rPr>
          <w:rFonts w:ascii="Arial" w:hAnsi="Arial" w:cs="Arial"/>
        </w:rPr>
      </w:pPr>
      <w:r w:rsidRPr="000F6CBB">
        <w:rPr>
          <w:rFonts w:ascii="Arial" w:hAnsi="Arial" w:cs="Arial"/>
        </w:rPr>
        <w:t>Current Ratio</w:t>
      </w:r>
    </w:p>
    <w:p w14:paraId="27F6AA31" w14:textId="4EFF7D75" w:rsidR="000F6CBB" w:rsidRPr="000F6CBB" w:rsidRDefault="000F6CBB" w:rsidP="000F6CBB">
      <w:pPr>
        <w:spacing w:line="360" w:lineRule="auto"/>
        <w:rPr>
          <w:rFonts w:ascii="Arial" w:hAnsi="Arial" w:cs="Arial"/>
          <w:b/>
          <w:bCs/>
          <w:u w:val="thick"/>
        </w:rPr>
      </w:pPr>
      <w:r w:rsidRPr="000F6CBB">
        <w:rPr>
          <w:rFonts w:ascii="Arial" w:hAnsi="Arial" w:cs="Arial"/>
          <w:b/>
          <w:bCs/>
          <w:u w:val="thick"/>
        </w:rPr>
        <w:t xml:space="preserve">Current Ratio = Current Assets </w:t>
      </w:r>
      <w:r>
        <w:rPr>
          <w:rFonts w:ascii="Arial" w:hAnsi="Arial" w:cs="Arial"/>
          <w:b/>
          <w:bCs/>
          <w:u w:val="thick"/>
        </w:rPr>
        <w:t>/</w:t>
      </w:r>
      <w:r w:rsidRPr="000F6CBB">
        <w:rPr>
          <w:rFonts w:ascii="Arial" w:hAnsi="Arial" w:cs="Arial"/>
          <w:b/>
          <w:bCs/>
          <w:u w:val="thick"/>
        </w:rPr>
        <w:t xml:space="preserve"> Current Liabilities</w:t>
      </w:r>
    </w:p>
    <w:p w14:paraId="3F3CF6CC" w14:textId="604FA39D" w:rsidR="000F6CBB" w:rsidRPr="000F6CBB" w:rsidRDefault="000F6CBB" w:rsidP="000F6CBB">
      <w:pPr>
        <w:spacing w:line="360" w:lineRule="auto"/>
        <w:rPr>
          <w:rFonts w:ascii="Arial" w:hAnsi="Arial" w:cs="Arial"/>
        </w:rPr>
      </w:pPr>
      <w:r w:rsidRPr="000F6CBB">
        <w:rPr>
          <w:rFonts w:ascii="Arial" w:hAnsi="Arial" w:cs="Arial"/>
        </w:rPr>
        <w:t xml:space="preserve">2024: 190.867 </w:t>
      </w:r>
      <w:r>
        <w:rPr>
          <w:rFonts w:ascii="Arial" w:hAnsi="Arial" w:cs="Arial"/>
        </w:rPr>
        <w:t>/</w:t>
      </w:r>
      <w:r w:rsidRPr="000F6CBB">
        <w:rPr>
          <w:rFonts w:ascii="Arial" w:hAnsi="Arial" w:cs="Arial"/>
        </w:rPr>
        <w:t xml:space="preserve"> 179.431 = 1.06</w:t>
      </w:r>
    </w:p>
    <w:p w14:paraId="203A0B18" w14:textId="6726BFA7" w:rsidR="000F6CBB" w:rsidRPr="000F6CBB" w:rsidRDefault="000F6CBB" w:rsidP="000F6CBB">
      <w:pPr>
        <w:spacing w:line="360" w:lineRule="auto"/>
        <w:rPr>
          <w:rFonts w:ascii="Arial" w:hAnsi="Arial" w:cs="Arial"/>
        </w:rPr>
      </w:pPr>
      <w:r w:rsidRPr="000F6CBB">
        <w:rPr>
          <w:rFonts w:ascii="Arial" w:hAnsi="Arial" w:cs="Arial"/>
        </w:rPr>
        <w:t xml:space="preserve">2025: 229.083 </w:t>
      </w:r>
      <w:r>
        <w:rPr>
          <w:rFonts w:ascii="Arial" w:hAnsi="Arial" w:cs="Arial"/>
        </w:rPr>
        <w:t>/</w:t>
      </w:r>
      <w:r w:rsidRPr="000F6CBB">
        <w:rPr>
          <w:rFonts w:ascii="Arial" w:hAnsi="Arial" w:cs="Arial"/>
        </w:rPr>
        <w:t xml:space="preserve"> 218.005 = 1.05</w:t>
      </w:r>
    </w:p>
    <w:p w14:paraId="6DC86B30" w14:textId="77777777" w:rsidR="000F6CBB" w:rsidRPr="000F6CBB" w:rsidRDefault="000F6CBB" w:rsidP="000F6CBB">
      <w:pPr>
        <w:spacing w:line="360" w:lineRule="auto"/>
        <w:rPr>
          <w:rFonts w:ascii="Arial" w:hAnsi="Arial" w:cs="Arial"/>
        </w:rPr>
      </w:pPr>
    </w:p>
    <w:p w14:paraId="48586A07" w14:textId="34D8D2A0" w:rsidR="000F6CBB" w:rsidRPr="000F6CBB" w:rsidRDefault="000F6CBB" w:rsidP="000F6CBB">
      <w:pPr>
        <w:spacing w:line="360" w:lineRule="auto"/>
        <w:rPr>
          <w:rFonts w:ascii="Arial" w:hAnsi="Arial" w:cs="Arial"/>
          <w:b/>
          <w:bCs/>
          <w:u w:val="thick"/>
        </w:rPr>
      </w:pPr>
      <w:r w:rsidRPr="000F6CBB">
        <w:rPr>
          <w:rFonts w:ascii="Arial" w:hAnsi="Arial" w:cs="Arial"/>
          <w:b/>
          <w:bCs/>
          <w:u w:val="thick"/>
        </w:rPr>
        <w:lastRenderedPageBreak/>
        <w:t xml:space="preserve">Quick Ratio = (Current Assets – Inventory) </w:t>
      </w:r>
      <w:r>
        <w:rPr>
          <w:rFonts w:ascii="Arial" w:hAnsi="Arial" w:cs="Arial"/>
          <w:b/>
          <w:bCs/>
          <w:u w:val="thick"/>
        </w:rPr>
        <w:t>/</w:t>
      </w:r>
      <w:r w:rsidRPr="000F6CBB">
        <w:rPr>
          <w:rFonts w:ascii="Arial" w:hAnsi="Arial" w:cs="Arial"/>
          <w:b/>
          <w:bCs/>
          <w:u w:val="thick"/>
        </w:rPr>
        <w:t xml:space="preserve"> Current Liabilities</w:t>
      </w:r>
    </w:p>
    <w:p w14:paraId="2ADC338C" w14:textId="4E1B9B81" w:rsidR="000F6CBB" w:rsidRPr="000F6CBB" w:rsidRDefault="000F6CBB" w:rsidP="000F6CBB">
      <w:pPr>
        <w:spacing w:line="360" w:lineRule="auto"/>
        <w:rPr>
          <w:rFonts w:ascii="Arial" w:hAnsi="Arial" w:cs="Arial"/>
        </w:rPr>
      </w:pPr>
      <w:r w:rsidRPr="000F6CBB">
        <w:rPr>
          <w:rFonts w:ascii="Arial" w:hAnsi="Arial" w:cs="Arial"/>
        </w:rPr>
        <w:t xml:space="preserve">2024: (190.867 - 34.214) </w:t>
      </w:r>
      <w:r w:rsidR="00836746">
        <w:rPr>
          <w:rFonts w:ascii="Arial" w:hAnsi="Arial" w:cs="Arial"/>
        </w:rPr>
        <w:t>/</w:t>
      </w:r>
      <w:r w:rsidRPr="000F6CBB">
        <w:rPr>
          <w:rFonts w:ascii="Arial" w:hAnsi="Arial" w:cs="Arial"/>
        </w:rPr>
        <w:t xml:space="preserve"> 179.431 = 156.653 </w:t>
      </w:r>
      <w:r w:rsidR="00836746">
        <w:rPr>
          <w:rFonts w:ascii="Arial" w:hAnsi="Arial" w:cs="Arial"/>
        </w:rPr>
        <w:t>/</w:t>
      </w:r>
      <w:r w:rsidRPr="000F6CBB">
        <w:rPr>
          <w:rFonts w:ascii="Arial" w:hAnsi="Arial" w:cs="Arial"/>
        </w:rPr>
        <w:t xml:space="preserve"> 179.431 = 0.87</w:t>
      </w:r>
    </w:p>
    <w:p w14:paraId="411E8E95" w14:textId="5B4124D8" w:rsidR="000F6CBB" w:rsidRPr="000F6CBB" w:rsidRDefault="000F6CBB" w:rsidP="000F6CBB">
      <w:pPr>
        <w:spacing w:line="360" w:lineRule="auto"/>
        <w:rPr>
          <w:rFonts w:ascii="Arial" w:hAnsi="Arial" w:cs="Arial"/>
        </w:rPr>
      </w:pPr>
      <w:r w:rsidRPr="000F6CBB">
        <w:rPr>
          <w:rFonts w:ascii="Arial" w:hAnsi="Arial" w:cs="Arial"/>
        </w:rPr>
        <w:t xml:space="preserve">2025: (229.083 - 38.325) </w:t>
      </w:r>
      <w:r w:rsidR="00836746">
        <w:rPr>
          <w:rFonts w:ascii="Arial" w:hAnsi="Arial" w:cs="Arial"/>
        </w:rPr>
        <w:t>/</w:t>
      </w:r>
      <w:r w:rsidRPr="000F6CBB">
        <w:rPr>
          <w:rFonts w:ascii="Arial" w:hAnsi="Arial" w:cs="Arial"/>
        </w:rPr>
        <w:t xml:space="preserve"> 218.005 = 190.758 ÷</w:t>
      </w:r>
      <w:r w:rsidR="00836746">
        <w:rPr>
          <w:rFonts w:ascii="Arial" w:hAnsi="Arial" w:cs="Arial"/>
        </w:rPr>
        <w:t>/</w:t>
      </w:r>
      <w:r w:rsidRPr="000F6CBB">
        <w:rPr>
          <w:rFonts w:ascii="Arial" w:hAnsi="Arial" w:cs="Arial"/>
        </w:rPr>
        <w:t xml:space="preserve"> 218.005 = 0.88</w:t>
      </w:r>
    </w:p>
    <w:p w14:paraId="51557472" w14:textId="14297F81" w:rsidR="000F6CBB" w:rsidRPr="00836746" w:rsidRDefault="000F6CBB" w:rsidP="000F6CBB">
      <w:pPr>
        <w:spacing w:line="360" w:lineRule="auto"/>
        <w:rPr>
          <w:rFonts w:ascii="Arial" w:hAnsi="Arial" w:cs="Arial"/>
          <w:b/>
          <w:bCs/>
        </w:rPr>
      </w:pPr>
      <w:r w:rsidRPr="00836746">
        <w:rPr>
          <w:rFonts w:ascii="Arial" w:hAnsi="Arial" w:cs="Arial"/>
          <w:b/>
          <w:bCs/>
        </w:rPr>
        <w:t>Analysis</w:t>
      </w:r>
    </w:p>
    <w:p w14:paraId="6762BCCE" w14:textId="75C96A6E" w:rsidR="000F6CBB" w:rsidRPr="000F6CBB" w:rsidRDefault="000F6CBB" w:rsidP="000F6CBB">
      <w:pPr>
        <w:spacing w:line="360" w:lineRule="auto"/>
        <w:rPr>
          <w:rFonts w:ascii="Arial" w:hAnsi="Arial" w:cs="Arial"/>
        </w:rPr>
      </w:pPr>
      <w:r w:rsidRPr="000F6CBB">
        <w:rPr>
          <w:rFonts w:ascii="Arial" w:hAnsi="Arial" w:cs="Arial"/>
        </w:rPr>
        <w:t>The Company's Liquidity remained unchanged. The current ratio was continuously above 1.0</w:t>
      </w:r>
      <w:r w:rsidR="00836746">
        <w:rPr>
          <w:rFonts w:ascii="Arial" w:hAnsi="Arial" w:cs="Arial"/>
        </w:rPr>
        <w:t>,</w:t>
      </w:r>
      <w:r w:rsidRPr="000F6CBB">
        <w:rPr>
          <w:rFonts w:ascii="Arial" w:hAnsi="Arial" w:cs="Arial"/>
        </w:rPr>
        <w:t xml:space="preserve"> which indicates that they had enough available </w:t>
      </w:r>
      <w:r w:rsidR="00836746">
        <w:rPr>
          <w:rFonts w:ascii="Arial" w:hAnsi="Arial" w:cs="Arial"/>
        </w:rPr>
        <w:t>short-term</w:t>
      </w:r>
      <w:r w:rsidRPr="000F6CBB">
        <w:rPr>
          <w:rFonts w:ascii="Arial" w:hAnsi="Arial" w:cs="Arial"/>
        </w:rPr>
        <w:t xml:space="preserve"> assets to meet their </w:t>
      </w:r>
      <w:r w:rsidR="00836746">
        <w:rPr>
          <w:rFonts w:ascii="Arial" w:hAnsi="Arial" w:cs="Arial"/>
        </w:rPr>
        <w:t>short-term</w:t>
      </w:r>
      <w:r w:rsidRPr="000F6CBB">
        <w:rPr>
          <w:rFonts w:ascii="Arial" w:hAnsi="Arial" w:cs="Arial"/>
        </w:rPr>
        <w:t xml:space="preserve"> liabilities. Although quick ratio remained under a 1.0 in both years, Amazon's operating model provides the company with drastic cash inflow and rapid inventory turnover and from an operational standpoint therefore it does not need to keep a larger than necessary balance of stagnant liquid assets as it uses its large volume of sales, cash generated and effective management of working capital to meet its current obligations (Xiang &amp; Wang, 2021; Charles &amp; Uford, 2023). </w:t>
      </w:r>
    </w:p>
    <w:p w14:paraId="516A1BD0" w14:textId="638CFAE4" w:rsidR="000F6CBB" w:rsidRPr="00836746" w:rsidRDefault="000F6CBB" w:rsidP="00836746">
      <w:pPr>
        <w:pStyle w:val="ListParagraph"/>
        <w:numPr>
          <w:ilvl w:val="0"/>
          <w:numId w:val="1"/>
        </w:numPr>
        <w:spacing w:line="360" w:lineRule="auto"/>
        <w:rPr>
          <w:rFonts w:ascii="Arial" w:hAnsi="Arial" w:cs="Arial"/>
          <w:b/>
          <w:bCs/>
        </w:rPr>
      </w:pPr>
      <w:r w:rsidRPr="00836746">
        <w:rPr>
          <w:rFonts w:ascii="Arial" w:hAnsi="Arial" w:cs="Arial"/>
          <w:b/>
          <w:bCs/>
        </w:rPr>
        <w:t>Efficiency Ratios</w:t>
      </w:r>
    </w:p>
    <w:p w14:paraId="316AC289" w14:textId="5673D9F2" w:rsidR="000F6CBB" w:rsidRPr="00061260" w:rsidRDefault="000F6CBB" w:rsidP="000F6CBB">
      <w:pPr>
        <w:spacing w:line="360" w:lineRule="auto"/>
        <w:rPr>
          <w:rFonts w:ascii="Arial" w:hAnsi="Arial" w:cs="Arial"/>
          <w:b/>
          <w:bCs/>
          <w:u w:val="thick"/>
        </w:rPr>
      </w:pPr>
      <w:r w:rsidRPr="00061260">
        <w:rPr>
          <w:rFonts w:ascii="Arial" w:hAnsi="Arial" w:cs="Arial"/>
          <w:b/>
          <w:bCs/>
          <w:u w:val="thick"/>
        </w:rPr>
        <w:t xml:space="preserve">Asset Turnover = Revenue </w:t>
      </w:r>
      <w:r w:rsidR="00061260" w:rsidRPr="00061260">
        <w:rPr>
          <w:rFonts w:ascii="Arial" w:hAnsi="Arial" w:cs="Arial"/>
          <w:b/>
          <w:bCs/>
          <w:u w:val="thick"/>
        </w:rPr>
        <w:t>/</w:t>
      </w:r>
      <w:r w:rsidRPr="00061260">
        <w:rPr>
          <w:rFonts w:ascii="Arial" w:hAnsi="Arial" w:cs="Arial"/>
          <w:b/>
          <w:bCs/>
          <w:u w:val="thick"/>
        </w:rPr>
        <w:t xml:space="preserve"> Total Assets</w:t>
      </w:r>
    </w:p>
    <w:p w14:paraId="46384709" w14:textId="57BB887D" w:rsidR="000F6CBB" w:rsidRPr="000F6CBB" w:rsidRDefault="000F6CBB" w:rsidP="000F6CBB">
      <w:pPr>
        <w:spacing w:line="360" w:lineRule="auto"/>
        <w:rPr>
          <w:rFonts w:ascii="Arial" w:hAnsi="Arial" w:cs="Arial"/>
        </w:rPr>
      </w:pPr>
      <w:r w:rsidRPr="000F6CBB">
        <w:rPr>
          <w:rFonts w:ascii="Arial" w:hAnsi="Arial" w:cs="Arial"/>
        </w:rPr>
        <w:t xml:space="preserve">2024 = 637.959 </w:t>
      </w:r>
      <w:r w:rsidR="00836746">
        <w:rPr>
          <w:rFonts w:ascii="Arial" w:hAnsi="Arial" w:cs="Arial"/>
        </w:rPr>
        <w:t>/</w:t>
      </w:r>
      <w:r w:rsidRPr="000F6CBB">
        <w:rPr>
          <w:rFonts w:ascii="Arial" w:hAnsi="Arial" w:cs="Arial"/>
        </w:rPr>
        <w:t xml:space="preserve"> 624.894 = 1.02 times</w:t>
      </w:r>
    </w:p>
    <w:p w14:paraId="30C29CBA" w14:textId="763330D0" w:rsidR="000F6CBB" w:rsidRPr="000F6CBB" w:rsidRDefault="000F6CBB" w:rsidP="000F6CBB">
      <w:pPr>
        <w:spacing w:line="360" w:lineRule="auto"/>
        <w:rPr>
          <w:rFonts w:ascii="Arial" w:hAnsi="Arial" w:cs="Arial"/>
        </w:rPr>
      </w:pPr>
      <w:r w:rsidRPr="000F6CBB">
        <w:rPr>
          <w:rFonts w:ascii="Arial" w:hAnsi="Arial" w:cs="Arial"/>
        </w:rPr>
        <w:t xml:space="preserve">2025 = 716.917 </w:t>
      </w:r>
      <w:r w:rsidR="00836746">
        <w:rPr>
          <w:rFonts w:ascii="Arial" w:hAnsi="Arial" w:cs="Arial"/>
        </w:rPr>
        <w:t>/</w:t>
      </w:r>
      <w:r w:rsidRPr="000F6CBB">
        <w:rPr>
          <w:rFonts w:ascii="Arial" w:hAnsi="Arial" w:cs="Arial"/>
        </w:rPr>
        <w:t xml:space="preserve"> 818.042 = 0.88 times</w:t>
      </w:r>
    </w:p>
    <w:p w14:paraId="5C73548B" w14:textId="24E48823" w:rsidR="000F6CBB" w:rsidRPr="00836746" w:rsidRDefault="000F6CBB" w:rsidP="000F6CBB">
      <w:pPr>
        <w:spacing w:line="360" w:lineRule="auto"/>
        <w:rPr>
          <w:rFonts w:ascii="Arial" w:hAnsi="Arial" w:cs="Arial"/>
          <w:b/>
          <w:bCs/>
        </w:rPr>
      </w:pPr>
      <w:r w:rsidRPr="00836746">
        <w:rPr>
          <w:rFonts w:ascii="Arial" w:hAnsi="Arial" w:cs="Arial"/>
          <w:b/>
          <w:bCs/>
        </w:rPr>
        <w:t>Analysis</w:t>
      </w:r>
    </w:p>
    <w:p w14:paraId="6A05011A" w14:textId="77777777" w:rsidR="007D5EA5" w:rsidRDefault="000F6CBB" w:rsidP="000F6CBB">
      <w:pPr>
        <w:spacing w:line="360" w:lineRule="auto"/>
        <w:rPr>
          <w:rFonts w:ascii="Arial" w:hAnsi="Arial" w:cs="Arial"/>
        </w:rPr>
      </w:pPr>
      <w:r w:rsidRPr="000F6CBB">
        <w:rPr>
          <w:rFonts w:ascii="Arial" w:hAnsi="Arial" w:cs="Arial"/>
        </w:rPr>
        <w:t xml:space="preserve">Amazon’s asset turnover decreased from 1.02 to 0.88. The decreased asset turnover means that Amazon generated </w:t>
      </w:r>
      <w:r w:rsidR="00836746">
        <w:rPr>
          <w:rFonts w:ascii="Arial" w:hAnsi="Arial" w:cs="Arial"/>
        </w:rPr>
        <w:t>less</w:t>
      </w:r>
      <w:r w:rsidRPr="000F6CBB">
        <w:rPr>
          <w:rFonts w:ascii="Arial" w:hAnsi="Arial" w:cs="Arial"/>
        </w:rPr>
        <w:t xml:space="preserve"> revenue per dollar of total assets in 2025 than </w:t>
      </w:r>
      <w:r w:rsidR="00836746">
        <w:rPr>
          <w:rFonts w:ascii="Arial" w:hAnsi="Arial" w:cs="Arial"/>
        </w:rPr>
        <w:t xml:space="preserve">in </w:t>
      </w:r>
      <w:r w:rsidRPr="000F6CBB">
        <w:rPr>
          <w:rFonts w:ascii="Arial" w:hAnsi="Arial" w:cs="Arial"/>
        </w:rPr>
        <w:t xml:space="preserve">2024. This trend is attributed to the significant increase in total assets, particularly </w:t>
      </w:r>
      <w:r w:rsidR="00836746" w:rsidRPr="000F6CBB">
        <w:rPr>
          <w:rFonts w:ascii="Arial" w:hAnsi="Arial" w:cs="Arial"/>
        </w:rPr>
        <w:t>around</w:t>
      </w:r>
      <w:r w:rsidRPr="000F6CBB">
        <w:rPr>
          <w:rFonts w:ascii="Arial" w:hAnsi="Arial" w:cs="Arial"/>
        </w:rPr>
        <w:t xml:space="preserve"> property, equipment and </w:t>
      </w:r>
      <w:r w:rsidR="00836746" w:rsidRPr="000F6CBB">
        <w:rPr>
          <w:rFonts w:ascii="Arial" w:hAnsi="Arial" w:cs="Arial"/>
        </w:rPr>
        <w:t>infrastructure. Nonetheless</w:t>
      </w:r>
      <w:r w:rsidRPr="000F6CBB">
        <w:rPr>
          <w:rFonts w:ascii="Arial" w:hAnsi="Arial" w:cs="Arial"/>
        </w:rPr>
        <w:t xml:space="preserve">, the above cannot be solely viewed in a negative light. With many billions of dollars being invested by Amazon into not just data centre and AI capacity, logistics and technology infrastructure, these investments have outpaced the company’s revenue growth in the short term due to large asset growth relative to sales. Prior research has consistently shown that when Amazon makes longer-term investments that may, at least in the short term, have a low efficiency, they do so because they expect these investments </w:t>
      </w:r>
      <w:r w:rsidR="00836746">
        <w:rPr>
          <w:rFonts w:ascii="Arial" w:hAnsi="Arial" w:cs="Arial"/>
        </w:rPr>
        <w:t>to</w:t>
      </w:r>
      <w:r w:rsidRPr="000F6CBB">
        <w:rPr>
          <w:rFonts w:ascii="Arial" w:hAnsi="Arial" w:cs="Arial"/>
        </w:rPr>
        <w:t xml:space="preserve"> lead to improvements in cash flow and competitive advantage in the long run (Akdemir &amp; Şimşek, 2023; Zhao, 2025).</w:t>
      </w:r>
    </w:p>
    <w:p w14:paraId="033C0AEF" w14:textId="788A3AF7" w:rsidR="000F6CBB" w:rsidRPr="007D5EA5" w:rsidRDefault="000F6CBB" w:rsidP="000F6CBB">
      <w:pPr>
        <w:spacing w:line="360" w:lineRule="auto"/>
        <w:rPr>
          <w:rFonts w:ascii="Arial" w:hAnsi="Arial" w:cs="Arial"/>
        </w:rPr>
      </w:pPr>
      <w:r w:rsidRPr="00836746">
        <w:rPr>
          <w:rFonts w:ascii="Arial" w:hAnsi="Arial" w:cs="Arial"/>
          <w:b/>
          <w:bCs/>
        </w:rPr>
        <w:lastRenderedPageBreak/>
        <w:t>Inventory Turnover</w:t>
      </w:r>
    </w:p>
    <w:p w14:paraId="317C258D" w14:textId="71684EC4" w:rsidR="000F6CBB" w:rsidRPr="00061260" w:rsidRDefault="00061260" w:rsidP="000F6CBB">
      <w:pPr>
        <w:spacing w:line="360" w:lineRule="auto"/>
        <w:rPr>
          <w:rFonts w:ascii="Arial" w:hAnsi="Arial" w:cs="Arial"/>
          <w:b/>
          <w:bCs/>
          <w:u w:val="thick"/>
        </w:rPr>
      </w:pPr>
      <w:r w:rsidRPr="00061260">
        <w:rPr>
          <w:rFonts w:ascii="Arial" w:hAnsi="Arial" w:cs="Arial"/>
          <w:b/>
          <w:bCs/>
          <w:u w:val="thick"/>
        </w:rPr>
        <w:t>Cost</w:t>
      </w:r>
      <w:r w:rsidR="000F6CBB" w:rsidRPr="00061260">
        <w:rPr>
          <w:rFonts w:ascii="Arial" w:hAnsi="Arial" w:cs="Arial"/>
          <w:b/>
          <w:bCs/>
          <w:u w:val="thick"/>
        </w:rPr>
        <w:t xml:space="preserve"> of Sales / Inventory</w:t>
      </w:r>
    </w:p>
    <w:p w14:paraId="1E486C6E" w14:textId="77777777" w:rsidR="000F6CBB" w:rsidRPr="000F6CBB" w:rsidRDefault="000F6CBB" w:rsidP="000F6CBB">
      <w:pPr>
        <w:spacing w:line="360" w:lineRule="auto"/>
        <w:rPr>
          <w:rFonts w:ascii="Arial" w:hAnsi="Arial" w:cs="Arial"/>
        </w:rPr>
      </w:pPr>
      <w:r w:rsidRPr="000F6CBB">
        <w:rPr>
          <w:rFonts w:ascii="Arial" w:hAnsi="Arial" w:cs="Arial"/>
        </w:rPr>
        <w:t>2024 Calculation: 326.288 / 34.214 = 9.54 times</w:t>
      </w:r>
    </w:p>
    <w:p w14:paraId="5B747960" w14:textId="77777777" w:rsidR="000F6CBB" w:rsidRPr="000F6CBB" w:rsidRDefault="000F6CBB" w:rsidP="000F6CBB">
      <w:pPr>
        <w:spacing w:line="360" w:lineRule="auto"/>
        <w:rPr>
          <w:rFonts w:ascii="Arial" w:hAnsi="Arial" w:cs="Arial"/>
        </w:rPr>
      </w:pPr>
      <w:r w:rsidRPr="000F6CBB">
        <w:rPr>
          <w:rFonts w:ascii="Arial" w:hAnsi="Arial" w:cs="Arial"/>
        </w:rPr>
        <w:t>2025 Calculation: 356.414 / 38.325 = 9.30 times</w:t>
      </w:r>
    </w:p>
    <w:p w14:paraId="4D5A6438" w14:textId="77777777" w:rsidR="00836746" w:rsidRPr="00836746" w:rsidRDefault="000F6CBB" w:rsidP="000F6CBB">
      <w:pPr>
        <w:spacing w:line="360" w:lineRule="auto"/>
        <w:rPr>
          <w:rFonts w:ascii="Arial" w:hAnsi="Arial" w:cs="Arial"/>
          <w:b/>
          <w:bCs/>
        </w:rPr>
      </w:pPr>
      <w:r w:rsidRPr="00836746">
        <w:rPr>
          <w:rFonts w:ascii="Arial" w:hAnsi="Arial" w:cs="Arial"/>
          <w:b/>
          <w:bCs/>
        </w:rPr>
        <w:t>Analysis</w:t>
      </w:r>
    </w:p>
    <w:p w14:paraId="12B9FFC6" w14:textId="033CBDC7" w:rsidR="000F6CBB" w:rsidRPr="000F6CBB" w:rsidRDefault="000F6CBB" w:rsidP="000F6CBB">
      <w:pPr>
        <w:spacing w:line="360" w:lineRule="auto"/>
        <w:rPr>
          <w:rFonts w:ascii="Arial" w:hAnsi="Arial" w:cs="Arial"/>
        </w:rPr>
      </w:pPr>
      <w:r w:rsidRPr="000F6CBB">
        <w:rPr>
          <w:rFonts w:ascii="Arial" w:hAnsi="Arial" w:cs="Arial"/>
        </w:rPr>
        <w:t xml:space="preserve">The slight decline in Amazon’s inventory turnover in 2025 suggests that the company’s inventory remained in the system longer in 2025 than in 2024. The company made many changes to its inventory holdings, including, but not limited to, an increase </w:t>
      </w:r>
      <w:r w:rsidR="00836746">
        <w:rPr>
          <w:rFonts w:ascii="Arial" w:hAnsi="Arial" w:cs="Arial"/>
        </w:rPr>
        <w:t>in</w:t>
      </w:r>
      <w:r w:rsidRPr="000F6CBB">
        <w:rPr>
          <w:rFonts w:ascii="Arial" w:hAnsi="Arial" w:cs="Arial"/>
        </w:rPr>
        <w:t xml:space="preserve"> the number of products available to its customers and a significant investment </w:t>
      </w:r>
      <w:r w:rsidR="00836746">
        <w:rPr>
          <w:rFonts w:ascii="Arial" w:hAnsi="Arial" w:cs="Arial"/>
        </w:rPr>
        <w:t>in</w:t>
      </w:r>
      <w:r w:rsidRPr="000F6CBB">
        <w:rPr>
          <w:rFonts w:ascii="Arial" w:hAnsi="Arial" w:cs="Arial"/>
        </w:rPr>
        <w:t xml:space="preserve"> improving the speed of fulfilment for products via same-day and grocery expansion. As a result, while Amazon’s lower inventory turnover ratio may imply that Amazon has poorly managed its inventory, it may also imply that the company strategically chose to invest in improving its service level and product selection. Research conducted on Amazon’s inventory and logistics systems indicates that Amazon’s inventory management is a trade-off between minimising costs and providing high levels of convenience to its customers (Singh et al., 2026; </w:t>
      </w:r>
      <w:proofErr w:type="spellStart"/>
      <w:r w:rsidRPr="000F6CBB">
        <w:rPr>
          <w:rFonts w:ascii="Arial" w:hAnsi="Arial" w:cs="Arial"/>
        </w:rPr>
        <w:t>Alalade</w:t>
      </w:r>
      <w:proofErr w:type="spellEnd"/>
      <w:r w:rsidRPr="000F6CBB">
        <w:rPr>
          <w:rFonts w:ascii="Arial" w:hAnsi="Arial" w:cs="Arial"/>
        </w:rPr>
        <w:t>, 2025).</w:t>
      </w:r>
    </w:p>
    <w:p w14:paraId="6E613DDD" w14:textId="238F2B64" w:rsidR="00836746" w:rsidRPr="00836746" w:rsidRDefault="000F6CBB" w:rsidP="00836746">
      <w:pPr>
        <w:pStyle w:val="ListParagraph"/>
        <w:numPr>
          <w:ilvl w:val="0"/>
          <w:numId w:val="1"/>
        </w:numPr>
        <w:spacing w:line="360" w:lineRule="auto"/>
        <w:rPr>
          <w:rFonts w:ascii="Arial" w:hAnsi="Arial" w:cs="Arial"/>
          <w:b/>
          <w:bCs/>
        </w:rPr>
      </w:pPr>
      <w:r w:rsidRPr="00836746">
        <w:rPr>
          <w:rFonts w:ascii="Arial" w:hAnsi="Arial" w:cs="Arial"/>
          <w:b/>
          <w:bCs/>
        </w:rPr>
        <w:t>Solvency Ratio</w:t>
      </w:r>
    </w:p>
    <w:p w14:paraId="0A588E93" w14:textId="3FB06D63" w:rsidR="000F6CBB" w:rsidRPr="00836746" w:rsidRDefault="000F6CBB" w:rsidP="00836746">
      <w:pPr>
        <w:spacing w:line="360" w:lineRule="auto"/>
        <w:rPr>
          <w:rFonts w:ascii="Arial" w:hAnsi="Arial" w:cs="Arial"/>
          <w:b/>
          <w:bCs/>
        </w:rPr>
      </w:pPr>
      <w:r w:rsidRPr="00836746">
        <w:rPr>
          <w:rFonts w:ascii="Arial" w:hAnsi="Arial" w:cs="Arial"/>
          <w:b/>
          <w:bCs/>
        </w:rPr>
        <w:t>Debt-to-Equity Ratio</w:t>
      </w:r>
    </w:p>
    <w:p w14:paraId="02625F32" w14:textId="28C4E01F" w:rsidR="000F6CBB" w:rsidRPr="00061260" w:rsidRDefault="000F6CBB" w:rsidP="000F6CBB">
      <w:pPr>
        <w:spacing w:line="360" w:lineRule="auto"/>
        <w:rPr>
          <w:rFonts w:ascii="Arial" w:hAnsi="Arial" w:cs="Arial"/>
          <w:b/>
          <w:bCs/>
          <w:u w:val="thick"/>
        </w:rPr>
      </w:pPr>
      <w:r w:rsidRPr="00061260">
        <w:rPr>
          <w:rFonts w:ascii="Arial" w:hAnsi="Arial" w:cs="Arial"/>
          <w:b/>
          <w:bCs/>
          <w:u w:val="thick"/>
        </w:rPr>
        <w:t>Total Liabilities / Equity</w:t>
      </w:r>
    </w:p>
    <w:p w14:paraId="4E242BA7" w14:textId="77777777" w:rsidR="000F6CBB" w:rsidRPr="000F6CBB" w:rsidRDefault="000F6CBB" w:rsidP="000F6CBB">
      <w:pPr>
        <w:spacing w:line="360" w:lineRule="auto"/>
        <w:rPr>
          <w:rFonts w:ascii="Arial" w:hAnsi="Arial" w:cs="Arial"/>
        </w:rPr>
      </w:pPr>
      <w:r w:rsidRPr="000F6CBB">
        <w:rPr>
          <w:rFonts w:ascii="Arial" w:hAnsi="Arial" w:cs="Arial"/>
        </w:rPr>
        <w:t>2024 Calculation: 338.924 / 285.970 = 1.19</w:t>
      </w:r>
    </w:p>
    <w:p w14:paraId="5CAB85BA" w14:textId="77777777" w:rsidR="000F6CBB" w:rsidRPr="000F6CBB" w:rsidRDefault="000F6CBB" w:rsidP="000F6CBB">
      <w:pPr>
        <w:spacing w:line="360" w:lineRule="auto"/>
        <w:rPr>
          <w:rFonts w:ascii="Arial" w:hAnsi="Arial" w:cs="Arial"/>
        </w:rPr>
      </w:pPr>
      <w:r w:rsidRPr="000F6CBB">
        <w:rPr>
          <w:rFonts w:ascii="Arial" w:hAnsi="Arial" w:cs="Arial"/>
        </w:rPr>
        <w:t>2025 Calculation: 406.977 / 411.065 = 0.99</w:t>
      </w:r>
    </w:p>
    <w:p w14:paraId="136B18E6" w14:textId="77777777" w:rsidR="00836746" w:rsidRPr="00836746" w:rsidRDefault="000F6CBB" w:rsidP="000F6CBB">
      <w:pPr>
        <w:spacing w:line="360" w:lineRule="auto"/>
        <w:rPr>
          <w:rFonts w:ascii="Arial" w:hAnsi="Arial" w:cs="Arial"/>
          <w:b/>
          <w:bCs/>
        </w:rPr>
      </w:pPr>
      <w:r w:rsidRPr="00836746">
        <w:rPr>
          <w:rFonts w:ascii="Arial" w:hAnsi="Arial" w:cs="Arial"/>
          <w:b/>
          <w:bCs/>
        </w:rPr>
        <w:t>Analysis</w:t>
      </w:r>
    </w:p>
    <w:p w14:paraId="2270F8DF" w14:textId="4BCA1D47" w:rsidR="000F6CBB" w:rsidRPr="000F6CBB" w:rsidRDefault="000F6CBB" w:rsidP="000F6CBB">
      <w:pPr>
        <w:spacing w:line="360" w:lineRule="auto"/>
        <w:rPr>
          <w:rFonts w:ascii="Arial" w:hAnsi="Arial" w:cs="Arial"/>
        </w:rPr>
      </w:pPr>
      <w:r w:rsidRPr="000F6CBB">
        <w:rPr>
          <w:rFonts w:ascii="Arial" w:hAnsi="Arial" w:cs="Arial"/>
        </w:rPr>
        <w:t xml:space="preserve">Amazon’s debt-to-equity ratio improved from 1.19 in 2024 to 0.99 in 2025. This shows that Amazon has become less reliant upon liabilities when compared to </w:t>
      </w:r>
      <w:r w:rsidR="00836746">
        <w:rPr>
          <w:rFonts w:ascii="Arial" w:hAnsi="Arial" w:cs="Arial"/>
        </w:rPr>
        <w:t>its</w:t>
      </w:r>
      <w:r w:rsidRPr="000F6CBB">
        <w:rPr>
          <w:rFonts w:ascii="Arial" w:hAnsi="Arial" w:cs="Arial"/>
        </w:rPr>
        <w:t xml:space="preserve"> shareholders’ </w:t>
      </w:r>
      <w:r w:rsidR="00836746" w:rsidRPr="000F6CBB">
        <w:rPr>
          <w:rFonts w:ascii="Arial" w:hAnsi="Arial" w:cs="Arial"/>
        </w:rPr>
        <w:t>equity. The</w:t>
      </w:r>
      <w:r w:rsidRPr="000F6CBB">
        <w:rPr>
          <w:rFonts w:ascii="Arial" w:hAnsi="Arial" w:cs="Arial"/>
        </w:rPr>
        <w:t xml:space="preserve"> improvements in retained earnings and other comprehensive income resulted in a significant increase in Amazon’s total equity. Therefore, Amazon has a much stronger capital base, which makes it more resilient and helps it to finance future growth through internal means. Overall, it supports the </w:t>
      </w:r>
      <w:r w:rsidRPr="000F6CBB">
        <w:rPr>
          <w:rFonts w:ascii="Arial" w:hAnsi="Arial" w:cs="Arial"/>
        </w:rPr>
        <w:lastRenderedPageBreak/>
        <w:t>argument that Amazon follows a pattern of financing that leads to greater internal funding capacity, while still using external debt when it strategically makes sense to do so (Zhao, 2025).</w:t>
      </w:r>
    </w:p>
    <w:p w14:paraId="500A8975" w14:textId="10D3515A" w:rsidR="000F6CBB" w:rsidRPr="007D5EA5" w:rsidRDefault="000F6CBB" w:rsidP="007D5EA5">
      <w:pPr>
        <w:pStyle w:val="ListParagraph"/>
        <w:numPr>
          <w:ilvl w:val="0"/>
          <w:numId w:val="1"/>
        </w:numPr>
        <w:spacing w:line="360" w:lineRule="auto"/>
        <w:rPr>
          <w:rFonts w:ascii="Arial" w:hAnsi="Arial" w:cs="Arial"/>
          <w:b/>
          <w:bCs/>
        </w:rPr>
      </w:pPr>
      <w:r w:rsidRPr="007D5EA5">
        <w:rPr>
          <w:rFonts w:ascii="Arial" w:hAnsi="Arial" w:cs="Arial"/>
          <w:b/>
          <w:bCs/>
        </w:rPr>
        <w:t>Reasons for the Shift in Performance</w:t>
      </w:r>
    </w:p>
    <w:p w14:paraId="4E7068C3" w14:textId="1CE11ACC" w:rsidR="000F6CBB" w:rsidRPr="000F6CBB" w:rsidRDefault="000F6CBB" w:rsidP="000F6CBB">
      <w:pPr>
        <w:spacing w:line="360" w:lineRule="auto"/>
        <w:rPr>
          <w:rFonts w:ascii="Arial" w:hAnsi="Arial" w:cs="Arial"/>
        </w:rPr>
      </w:pPr>
      <w:r w:rsidRPr="000F6CBB">
        <w:rPr>
          <w:rFonts w:ascii="Arial" w:hAnsi="Arial" w:cs="Arial"/>
        </w:rPr>
        <w:t xml:space="preserve">The year 2025 showed that Amazon had better overall performance than 2024 due to greater profitability, improved equity positions, and increased revenue growth through their major revenue segments. Amazon’s 2025 annual report stated that AWS revenue increased significantly, total revenue increased by 12%, and operating income increased by 17%. Conversely, Amazon reported a decrease in free cash flow from $38Million to $11Million, </w:t>
      </w:r>
      <w:r w:rsidR="007D5EA5" w:rsidRPr="000F6CBB">
        <w:rPr>
          <w:rFonts w:ascii="Arial" w:hAnsi="Arial" w:cs="Arial"/>
        </w:rPr>
        <w:t>because of</w:t>
      </w:r>
      <w:r w:rsidRPr="000F6CBB">
        <w:rPr>
          <w:rFonts w:ascii="Arial" w:hAnsi="Arial" w:cs="Arial"/>
        </w:rPr>
        <w:t xml:space="preserve"> significant capital expenditures associated with property and/or equipment acquisition, specifically those related to artificial intelligence.</w:t>
      </w:r>
    </w:p>
    <w:p w14:paraId="61CC2666" w14:textId="77777777" w:rsidR="000F6CBB" w:rsidRPr="000F6CBB" w:rsidRDefault="000F6CBB" w:rsidP="000F6CBB">
      <w:pPr>
        <w:spacing w:line="360" w:lineRule="auto"/>
        <w:rPr>
          <w:rFonts w:ascii="Arial" w:hAnsi="Arial" w:cs="Arial"/>
        </w:rPr>
      </w:pPr>
      <w:r w:rsidRPr="000F6CBB">
        <w:rPr>
          <w:rFonts w:ascii="Arial" w:hAnsi="Arial" w:cs="Arial"/>
        </w:rPr>
        <w:t>This means that while the company has performed well in terms of accounting profitability, there have been short-term cash flow difficulties associated with its investments. Additionally, Amazon has a long history of accepting short-term cash flow pressure in exchange for long-term market leadership (Tarasoff &amp; McCormack, 2013). Furthermore, digital transformation, supply chain expansion, and AI infrastructure expansion are now critical to the core of Amazon’s business model (</w:t>
      </w:r>
      <w:proofErr w:type="spellStart"/>
      <w:r w:rsidRPr="000F6CBB">
        <w:rPr>
          <w:rFonts w:ascii="Arial" w:hAnsi="Arial" w:cs="Arial"/>
        </w:rPr>
        <w:t>Alalade</w:t>
      </w:r>
      <w:proofErr w:type="spellEnd"/>
      <w:r w:rsidRPr="000F6CBB">
        <w:rPr>
          <w:rFonts w:ascii="Arial" w:hAnsi="Arial" w:cs="Arial"/>
        </w:rPr>
        <w:t>, 2025). The 2025 annual report includes comments about how legal settlements, tax dispute resolutions, depreciation changes, and other items that were one-offs may affect the company’s financial performance, which could help explain the disparity between improved ratios and its decreased asset turnover/ free cash flow ratios.</w:t>
      </w:r>
    </w:p>
    <w:p w14:paraId="01D8D8AC" w14:textId="2F55FA42" w:rsidR="000F6CBB" w:rsidRPr="007D5EA5" w:rsidRDefault="000F6CBB" w:rsidP="007D5EA5">
      <w:pPr>
        <w:pStyle w:val="ListParagraph"/>
        <w:numPr>
          <w:ilvl w:val="0"/>
          <w:numId w:val="1"/>
        </w:numPr>
        <w:spacing w:line="360" w:lineRule="auto"/>
        <w:rPr>
          <w:rFonts w:ascii="Arial" w:hAnsi="Arial" w:cs="Arial"/>
          <w:b/>
          <w:bCs/>
        </w:rPr>
      </w:pPr>
      <w:r w:rsidRPr="007D5EA5">
        <w:rPr>
          <w:rFonts w:ascii="Arial" w:hAnsi="Arial" w:cs="Arial"/>
          <w:b/>
          <w:bCs/>
        </w:rPr>
        <w:t>Suggestions for Improvement</w:t>
      </w:r>
    </w:p>
    <w:p w14:paraId="5ED5D352" w14:textId="1ADE5CC3" w:rsidR="000F6CBB" w:rsidRPr="000F6CBB" w:rsidRDefault="000F6CBB" w:rsidP="000F6CBB">
      <w:pPr>
        <w:spacing w:line="360" w:lineRule="auto"/>
        <w:rPr>
          <w:rFonts w:ascii="Arial" w:hAnsi="Arial" w:cs="Arial"/>
        </w:rPr>
      </w:pPr>
      <w:r w:rsidRPr="000F6CBB">
        <w:rPr>
          <w:rFonts w:ascii="Arial" w:hAnsi="Arial" w:cs="Arial"/>
        </w:rPr>
        <w:t xml:space="preserve">Amazon should be making three major improvements: First, Amazon should focus on </w:t>
      </w:r>
      <w:r w:rsidR="007D5EA5" w:rsidRPr="000F6CBB">
        <w:rPr>
          <w:rFonts w:ascii="Arial" w:hAnsi="Arial" w:cs="Arial"/>
        </w:rPr>
        <w:t>internally</w:t>
      </w:r>
      <w:r w:rsidRPr="000F6CBB">
        <w:rPr>
          <w:rFonts w:ascii="Arial" w:hAnsi="Arial" w:cs="Arial"/>
        </w:rPr>
        <w:t xml:space="preserve"> funding (making internal funds efficient) through increased capital investment in its large AI and infrastructure investments so they will yield higher returns over time (Akdemir &amp; </w:t>
      </w:r>
      <w:proofErr w:type="spellStart"/>
      <w:r w:rsidRPr="000F6CBB">
        <w:rPr>
          <w:rFonts w:ascii="Arial" w:hAnsi="Arial" w:cs="Arial"/>
        </w:rPr>
        <w:t>Şimsek</w:t>
      </w:r>
      <w:proofErr w:type="spellEnd"/>
      <w:r w:rsidRPr="000F6CBB">
        <w:rPr>
          <w:rFonts w:ascii="Arial" w:hAnsi="Arial" w:cs="Arial"/>
        </w:rPr>
        <w:t xml:space="preserve">, 2023); Second, Amazon should continue to improve on its inventory management and supply chain efficiency so customers have improved customer service but without having excessive working capital (Singh, Z.; et al., 2026); and Third, Amazon should advance its sustainable practices and strategies in areas such as Climate Action, Circular Economy Practices, Water Use, </w:t>
      </w:r>
      <w:r w:rsidRPr="000F6CBB">
        <w:rPr>
          <w:rFonts w:ascii="Arial" w:hAnsi="Arial" w:cs="Arial"/>
        </w:rPr>
        <w:lastRenderedPageBreak/>
        <w:t xml:space="preserve">and Employee Welfare as improved sustainability performance can promote long-term resiliency and investor confidence (Yu, A., Hassan, Z., &amp; </w:t>
      </w:r>
      <w:proofErr w:type="spellStart"/>
      <w:r w:rsidRPr="000F6CBB">
        <w:rPr>
          <w:rFonts w:ascii="Arial" w:hAnsi="Arial" w:cs="Arial"/>
        </w:rPr>
        <w:t>Adhikariparajuli</w:t>
      </w:r>
      <w:proofErr w:type="spellEnd"/>
      <w:r w:rsidRPr="000F6CBB">
        <w:rPr>
          <w:rFonts w:ascii="Arial" w:hAnsi="Arial" w:cs="Arial"/>
        </w:rPr>
        <w:t>, 2022; Tian, J., Hwang, Y., &amp; Blake, J., 2026).</w:t>
      </w:r>
    </w:p>
    <w:p w14:paraId="6DB51912" w14:textId="73E945B0" w:rsidR="000F6CBB" w:rsidRPr="00061260" w:rsidRDefault="00AC4A28" w:rsidP="00061260">
      <w:pPr>
        <w:pStyle w:val="ListParagraph"/>
        <w:numPr>
          <w:ilvl w:val="0"/>
          <w:numId w:val="1"/>
        </w:numPr>
        <w:spacing w:line="360" w:lineRule="auto"/>
        <w:rPr>
          <w:rFonts w:ascii="Arial" w:hAnsi="Arial" w:cs="Arial"/>
          <w:b/>
          <w:bCs/>
        </w:rPr>
      </w:pPr>
      <w:r w:rsidRPr="00061260">
        <w:rPr>
          <w:rFonts w:ascii="Arial" w:hAnsi="Arial" w:cs="Arial"/>
          <w:b/>
          <w:bCs/>
        </w:rPr>
        <w:t xml:space="preserve">Conclusion </w:t>
      </w:r>
    </w:p>
    <w:p w14:paraId="22C66E4A" w14:textId="396E89BF" w:rsidR="000F6CBB" w:rsidRDefault="000F6CBB" w:rsidP="000F6CBB">
      <w:pPr>
        <w:spacing w:line="360" w:lineRule="auto"/>
        <w:rPr>
          <w:rFonts w:ascii="Arial" w:hAnsi="Arial" w:cs="Arial"/>
        </w:rPr>
      </w:pPr>
      <w:r w:rsidRPr="000F6CBB">
        <w:rPr>
          <w:rFonts w:ascii="Arial" w:hAnsi="Arial" w:cs="Arial"/>
        </w:rPr>
        <w:t xml:space="preserve">The ratio analysis has provided useful information about the strengths and stresses currently facing Amazon. The primary conclusions from the analysis indicate that Amazon experienced greater profitability, improved </w:t>
      </w:r>
      <w:r w:rsidR="00061260">
        <w:rPr>
          <w:rFonts w:ascii="Arial" w:hAnsi="Arial" w:cs="Arial"/>
        </w:rPr>
        <w:t>capitalisation</w:t>
      </w:r>
      <w:r w:rsidRPr="000F6CBB">
        <w:rPr>
          <w:rFonts w:ascii="Arial" w:hAnsi="Arial" w:cs="Arial"/>
        </w:rPr>
        <w:t xml:space="preserve"> position, and increased safety in terms of gearing at the end of 2025 than it did at the end of 2024. However, due to increased strategic capital investments, Amazon’s efficiency of </w:t>
      </w:r>
      <w:r w:rsidR="00061260">
        <w:rPr>
          <w:rFonts w:ascii="Arial" w:hAnsi="Arial" w:cs="Arial"/>
        </w:rPr>
        <w:t>asset</w:t>
      </w:r>
      <w:r w:rsidRPr="000F6CBB">
        <w:rPr>
          <w:rFonts w:ascii="Arial" w:hAnsi="Arial" w:cs="Arial"/>
        </w:rPr>
        <w:t xml:space="preserve"> usage has declined</w:t>
      </w:r>
      <w:r w:rsidR="00061260">
        <w:rPr>
          <w:rFonts w:ascii="Arial" w:hAnsi="Arial" w:cs="Arial"/>
        </w:rPr>
        <w:t>,</w:t>
      </w:r>
      <w:r w:rsidRPr="000F6CBB">
        <w:rPr>
          <w:rFonts w:ascii="Arial" w:hAnsi="Arial" w:cs="Arial"/>
        </w:rPr>
        <w:t xml:space="preserve"> and its free cash flow has decreased. Therefore, according to the ratio analysis, although Amazon’s overall performance was stronger in 2025 than in 2024, the improvements occurred as Amazon’s capital intensity (use of capital resources) increased. Also, the ratio analysis has provided a greater understanding of how finances are evaluated, including how to assist in the development of future decisions by management (Charles &amp; Uford, 2023; Akdemir &amp; </w:t>
      </w:r>
      <w:r w:rsidR="00061260" w:rsidRPr="000F6CBB">
        <w:rPr>
          <w:rFonts w:ascii="Arial" w:hAnsi="Arial" w:cs="Arial"/>
        </w:rPr>
        <w:t>Simes</w:t>
      </w:r>
      <w:r w:rsidRPr="000F6CBB">
        <w:rPr>
          <w:rFonts w:ascii="Arial" w:hAnsi="Arial" w:cs="Arial"/>
        </w:rPr>
        <w:t>, 2023).</w:t>
      </w:r>
    </w:p>
    <w:p w14:paraId="0875E67E" w14:textId="77777777" w:rsidR="00061260" w:rsidRDefault="00061260" w:rsidP="000F6CBB">
      <w:pPr>
        <w:spacing w:line="360" w:lineRule="auto"/>
        <w:rPr>
          <w:rFonts w:ascii="Arial" w:hAnsi="Arial" w:cs="Arial"/>
        </w:rPr>
      </w:pPr>
    </w:p>
    <w:p w14:paraId="6D4CB418" w14:textId="77777777" w:rsidR="00061260" w:rsidRDefault="00061260" w:rsidP="000F6CBB">
      <w:pPr>
        <w:spacing w:line="360" w:lineRule="auto"/>
        <w:rPr>
          <w:rFonts w:ascii="Arial" w:hAnsi="Arial" w:cs="Arial"/>
        </w:rPr>
      </w:pPr>
    </w:p>
    <w:p w14:paraId="236F0C4C" w14:textId="77777777" w:rsidR="00061260" w:rsidRDefault="00061260" w:rsidP="000F6CBB">
      <w:pPr>
        <w:spacing w:line="360" w:lineRule="auto"/>
        <w:rPr>
          <w:rFonts w:ascii="Arial" w:hAnsi="Arial" w:cs="Arial"/>
        </w:rPr>
      </w:pPr>
    </w:p>
    <w:p w14:paraId="490D3BBE" w14:textId="77777777" w:rsidR="00061260" w:rsidRDefault="00061260" w:rsidP="000F6CBB">
      <w:pPr>
        <w:spacing w:line="360" w:lineRule="auto"/>
        <w:rPr>
          <w:rFonts w:ascii="Arial" w:hAnsi="Arial" w:cs="Arial"/>
        </w:rPr>
      </w:pPr>
    </w:p>
    <w:p w14:paraId="3DE228E4" w14:textId="77777777" w:rsidR="00061260" w:rsidRDefault="00061260" w:rsidP="000F6CBB">
      <w:pPr>
        <w:spacing w:line="360" w:lineRule="auto"/>
        <w:rPr>
          <w:rFonts w:ascii="Arial" w:hAnsi="Arial" w:cs="Arial"/>
        </w:rPr>
      </w:pPr>
    </w:p>
    <w:p w14:paraId="5D06011E" w14:textId="77777777" w:rsidR="00061260" w:rsidRDefault="00061260" w:rsidP="000F6CBB">
      <w:pPr>
        <w:spacing w:line="360" w:lineRule="auto"/>
        <w:rPr>
          <w:rFonts w:ascii="Arial" w:hAnsi="Arial" w:cs="Arial"/>
        </w:rPr>
      </w:pPr>
    </w:p>
    <w:p w14:paraId="3DA046D0" w14:textId="77777777" w:rsidR="00061260" w:rsidRDefault="00061260" w:rsidP="000F6CBB">
      <w:pPr>
        <w:spacing w:line="360" w:lineRule="auto"/>
        <w:rPr>
          <w:rFonts w:ascii="Arial" w:hAnsi="Arial" w:cs="Arial"/>
        </w:rPr>
      </w:pPr>
    </w:p>
    <w:p w14:paraId="71466024" w14:textId="77777777" w:rsidR="00061260" w:rsidRDefault="00061260" w:rsidP="000F6CBB">
      <w:pPr>
        <w:spacing w:line="360" w:lineRule="auto"/>
        <w:rPr>
          <w:rFonts w:ascii="Arial" w:hAnsi="Arial" w:cs="Arial"/>
        </w:rPr>
      </w:pPr>
    </w:p>
    <w:p w14:paraId="30B7AEF9" w14:textId="77777777" w:rsidR="00061260" w:rsidRDefault="00061260" w:rsidP="000F6CBB">
      <w:pPr>
        <w:spacing w:line="360" w:lineRule="auto"/>
        <w:rPr>
          <w:rFonts w:ascii="Arial" w:hAnsi="Arial" w:cs="Arial"/>
        </w:rPr>
      </w:pPr>
    </w:p>
    <w:p w14:paraId="1B973CA8" w14:textId="77777777" w:rsidR="00061260" w:rsidRDefault="00061260" w:rsidP="000F6CBB">
      <w:pPr>
        <w:spacing w:line="360" w:lineRule="auto"/>
        <w:rPr>
          <w:rFonts w:ascii="Arial" w:hAnsi="Arial" w:cs="Arial"/>
        </w:rPr>
      </w:pPr>
    </w:p>
    <w:p w14:paraId="2CD0A187" w14:textId="77777777" w:rsidR="00061260" w:rsidRDefault="00061260" w:rsidP="000F6CBB">
      <w:pPr>
        <w:spacing w:line="360" w:lineRule="auto"/>
        <w:rPr>
          <w:rFonts w:ascii="Arial" w:hAnsi="Arial" w:cs="Arial"/>
        </w:rPr>
      </w:pPr>
    </w:p>
    <w:p w14:paraId="341005B3" w14:textId="77777777" w:rsidR="00061260" w:rsidRDefault="00061260" w:rsidP="000F6CBB">
      <w:pPr>
        <w:spacing w:line="360" w:lineRule="auto"/>
        <w:rPr>
          <w:rFonts w:ascii="Arial" w:hAnsi="Arial" w:cs="Arial"/>
        </w:rPr>
      </w:pPr>
    </w:p>
    <w:p w14:paraId="47F20706" w14:textId="182AE5C9" w:rsidR="00061260" w:rsidRPr="00061260" w:rsidRDefault="00061260" w:rsidP="000F6CBB">
      <w:pPr>
        <w:spacing w:line="360" w:lineRule="auto"/>
        <w:rPr>
          <w:rFonts w:ascii="Arial" w:hAnsi="Arial" w:cs="Arial"/>
          <w:b/>
          <w:bCs/>
        </w:rPr>
      </w:pPr>
      <w:r w:rsidRPr="00061260">
        <w:rPr>
          <w:rFonts w:ascii="Arial" w:hAnsi="Arial" w:cs="Arial"/>
          <w:b/>
          <w:bCs/>
        </w:rPr>
        <w:lastRenderedPageBreak/>
        <w:t xml:space="preserve">References </w:t>
      </w:r>
    </w:p>
    <w:p w14:paraId="14103FD4" w14:textId="77777777" w:rsidR="00061260" w:rsidRPr="00061260" w:rsidRDefault="00061260" w:rsidP="00061260">
      <w:pPr>
        <w:spacing w:line="360" w:lineRule="auto"/>
        <w:rPr>
          <w:rFonts w:ascii="Arial" w:hAnsi="Arial" w:cs="Arial"/>
        </w:rPr>
      </w:pPr>
      <w:r w:rsidRPr="00061260">
        <w:rPr>
          <w:rFonts w:ascii="Arial" w:hAnsi="Arial" w:cs="Arial"/>
        </w:rPr>
        <w:t>Akdemir, D. M., &amp; Şimşek, O. (2023). A financial performance evaluation via hybrid MCDM methods: A case of Amazon.com Inc</w:t>
      </w:r>
      <w:r w:rsidRPr="00061260">
        <w:rPr>
          <w:rFonts w:ascii="Arial" w:hAnsi="Arial" w:cs="Arial"/>
          <w:i/>
          <w:iCs/>
        </w:rPr>
        <w:t>. Istanbul Business Research, 52</w:t>
      </w:r>
      <w:r w:rsidRPr="00061260">
        <w:rPr>
          <w:rFonts w:ascii="Arial" w:hAnsi="Arial" w:cs="Arial"/>
        </w:rPr>
        <w:t>(1), 199–232.</w:t>
      </w:r>
    </w:p>
    <w:p w14:paraId="54E2DC5E" w14:textId="77777777" w:rsidR="00061260" w:rsidRPr="00061260" w:rsidRDefault="00061260" w:rsidP="00061260">
      <w:pPr>
        <w:spacing w:line="360" w:lineRule="auto"/>
        <w:rPr>
          <w:rFonts w:ascii="Arial" w:hAnsi="Arial" w:cs="Arial"/>
        </w:rPr>
      </w:pPr>
      <w:proofErr w:type="spellStart"/>
      <w:r w:rsidRPr="00061260">
        <w:rPr>
          <w:rFonts w:ascii="Arial" w:hAnsi="Arial" w:cs="Arial"/>
        </w:rPr>
        <w:t>Alalade</w:t>
      </w:r>
      <w:proofErr w:type="spellEnd"/>
      <w:r w:rsidRPr="00061260">
        <w:rPr>
          <w:rFonts w:ascii="Arial" w:hAnsi="Arial" w:cs="Arial"/>
        </w:rPr>
        <w:t xml:space="preserve">, E. O. (2025). Digital transformation and supply chain efficiency: A case of Amazon Inc. </w:t>
      </w:r>
      <w:r w:rsidRPr="00061260">
        <w:rPr>
          <w:rFonts w:ascii="Arial" w:hAnsi="Arial" w:cs="Arial"/>
          <w:i/>
          <w:iCs/>
        </w:rPr>
        <w:t>International Journal of Research and Innovation in Social Science (IJRISS), 8,</w:t>
      </w:r>
      <w:r w:rsidRPr="00061260">
        <w:rPr>
          <w:rFonts w:ascii="Arial" w:hAnsi="Arial" w:cs="Arial"/>
        </w:rPr>
        <w:t xml:space="preserve"> 3931–3944.</w:t>
      </w:r>
    </w:p>
    <w:p w14:paraId="39A72E98" w14:textId="3A330B38" w:rsidR="00061260" w:rsidRPr="00061260" w:rsidRDefault="00061260" w:rsidP="00061260">
      <w:pPr>
        <w:spacing w:line="360" w:lineRule="auto"/>
        <w:rPr>
          <w:rFonts w:ascii="Arial" w:hAnsi="Arial" w:cs="Arial"/>
        </w:rPr>
      </w:pPr>
      <w:r w:rsidRPr="00061260">
        <w:rPr>
          <w:rFonts w:ascii="Arial" w:hAnsi="Arial" w:cs="Arial"/>
        </w:rPr>
        <w:t xml:space="preserve">Celestin, M. (2022). The role of corporate mergers and acquisitions in financial performance: </w:t>
      </w:r>
      <w:r>
        <w:rPr>
          <w:rFonts w:ascii="Arial" w:hAnsi="Arial" w:cs="Arial"/>
        </w:rPr>
        <w:t>Analysing</w:t>
      </w:r>
      <w:r w:rsidRPr="00061260">
        <w:rPr>
          <w:rFonts w:ascii="Arial" w:hAnsi="Arial" w:cs="Arial"/>
        </w:rPr>
        <w:t xml:space="preserve"> the success and failures of major M&amp;A deals. </w:t>
      </w:r>
      <w:proofErr w:type="spellStart"/>
      <w:r w:rsidRPr="00061260">
        <w:rPr>
          <w:rFonts w:ascii="Arial" w:hAnsi="Arial" w:cs="Arial"/>
          <w:i/>
          <w:iCs/>
        </w:rPr>
        <w:t>Brainae</w:t>
      </w:r>
      <w:proofErr w:type="spellEnd"/>
      <w:r w:rsidRPr="00061260">
        <w:rPr>
          <w:rFonts w:ascii="Arial" w:hAnsi="Arial" w:cs="Arial"/>
          <w:i/>
          <w:iCs/>
        </w:rPr>
        <w:t xml:space="preserve"> Journal of Business, Sciences and Technology, 6</w:t>
      </w:r>
      <w:r w:rsidRPr="00061260">
        <w:rPr>
          <w:rFonts w:ascii="Arial" w:hAnsi="Arial" w:cs="Arial"/>
        </w:rPr>
        <w:t>(4), 930–940.</w:t>
      </w:r>
    </w:p>
    <w:p w14:paraId="40347942" w14:textId="5E1C88CE" w:rsidR="00061260" w:rsidRPr="00061260" w:rsidRDefault="00061260" w:rsidP="00061260">
      <w:pPr>
        <w:spacing w:line="360" w:lineRule="auto"/>
        <w:rPr>
          <w:rFonts w:ascii="Arial" w:hAnsi="Arial" w:cs="Arial"/>
        </w:rPr>
      </w:pPr>
      <w:r w:rsidRPr="00061260">
        <w:rPr>
          <w:rFonts w:ascii="Arial" w:hAnsi="Arial" w:cs="Arial"/>
        </w:rPr>
        <w:t xml:space="preserve">Charles, I. I., &amp; Uford, I. C. (2023). Comparative analysis and evaluation of </w:t>
      </w:r>
      <w:r>
        <w:rPr>
          <w:rFonts w:ascii="Arial" w:hAnsi="Arial" w:cs="Arial"/>
        </w:rPr>
        <w:t xml:space="preserve">the </w:t>
      </w:r>
      <w:r w:rsidRPr="00061260">
        <w:rPr>
          <w:rFonts w:ascii="Arial" w:hAnsi="Arial" w:cs="Arial"/>
        </w:rPr>
        <w:t xml:space="preserve">business and financial performance of Amazon.com: </w:t>
      </w:r>
      <w:r>
        <w:rPr>
          <w:rFonts w:ascii="Arial" w:hAnsi="Arial" w:cs="Arial"/>
        </w:rPr>
        <w:t>Three years</w:t>
      </w:r>
      <w:r w:rsidRPr="00061260">
        <w:rPr>
          <w:rFonts w:ascii="Arial" w:hAnsi="Arial" w:cs="Arial"/>
        </w:rPr>
        <w:t xml:space="preserve"> critical review of exceptional success. </w:t>
      </w:r>
      <w:r w:rsidRPr="00061260">
        <w:rPr>
          <w:rFonts w:ascii="Arial" w:hAnsi="Arial" w:cs="Arial"/>
          <w:i/>
          <w:iCs/>
        </w:rPr>
        <w:t>European Journal of Business, Economics and Accountancy, 11</w:t>
      </w:r>
      <w:r w:rsidRPr="00061260">
        <w:rPr>
          <w:rFonts w:ascii="Arial" w:hAnsi="Arial" w:cs="Arial"/>
        </w:rPr>
        <w:t>(2), 69–92.</w:t>
      </w:r>
    </w:p>
    <w:p w14:paraId="3D055021" w14:textId="5F7732C1" w:rsidR="00061260" w:rsidRPr="00061260" w:rsidRDefault="00061260" w:rsidP="00061260">
      <w:pPr>
        <w:spacing w:line="360" w:lineRule="auto"/>
        <w:rPr>
          <w:rFonts w:ascii="Arial" w:hAnsi="Arial" w:cs="Arial"/>
        </w:rPr>
      </w:pPr>
      <w:r w:rsidRPr="00061260">
        <w:rPr>
          <w:rFonts w:ascii="Arial" w:hAnsi="Arial" w:cs="Arial"/>
        </w:rPr>
        <w:t xml:space="preserve">Darcy, L. G. (2023). </w:t>
      </w:r>
      <w:r w:rsidRPr="00061260">
        <w:rPr>
          <w:rFonts w:ascii="Arial" w:hAnsi="Arial" w:cs="Arial"/>
          <w:i/>
          <w:iCs/>
        </w:rPr>
        <w:t>Equity valuation: Amazon.com Inc</w:t>
      </w:r>
      <w:r w:rsidRPr="00061260">
        <w:rPr>
          <w:rFonts w:ascii="Arial" w:hAnsi="Arial" w:cs="Arial"/>
        </w:rPr>
        <w:t>. (</w:t>
      </w:r>
      <w:r w:rsidRPr="00061260">
        <w:rPr>
          <w:rFonts w:ascii="Arial" w:hAnsi="Arial" w:cs="Arial"/>
        </w:rPr>
        <w:t>master’s</w:t>
      </w:r>
      <w:r w:rsidRPr="00061260">
        <w:rPr>
          <w:rFonts w:ascii="Arial" w:hAnsi="Arial" w:cs="Arial"/>
        </w:rPr>
        <w:t xml:space="preserve"> thesis, </w:t>
      </w:r>
      <w:r w:rsidRPr="00061260">
        <w:rPr>
          <w:rFonts w:ascii="Arial" w:hAnsi="Arial" w:cs="Arial"/>
        </w:rPr>
        <w:t>Universidad</w:t>
      </w:r>
      <w:r w:rsidRPr="00061260">
        <w:rPr>
          <w:rFonts w:ascii="Arial" w:hAnsi="Arial" w:cs="Arial"/>
        </w:rPr>
        <w:t xml:space="preserve"> Católica Portuguesa).</w:t>
      </w:r>
    </w:p>
    <w:p w14:paraId="181B5B8C" w14:textId="77777777" w:rsidR="00061260" w:rsidRPr="00061260" w:rsidRDefault="00061260" w:rsidP="00061260">
      <w:pPr>
        <w:spacing w:line="360" w:lineRule="auto"/>
        <w:rPr>
          <w:rFonts w:ascii="Arial" w:hAnsi="Arial" w:cs="Arial"/>
        </w:rPr>
      </w:pPr>
      <w:r w:rsidRPr="00061260">
        <w:rPr>
          <w:rFonts w:ascii="Arial" w:hAnsi="Arial" w:cs="Arial"/>
        </w:rPr>
        <w:t xml:space="preserve">Kelley, T., Hora, J. A., &amp; Margheim, L. (2010). A financial analysis case of Amazon.com and Barnes &amp; Noble with emphasis on the impact of ROE versus EPS: Accounting case and instructor notes. </w:t>
      </w:r>
      <w:r w:rsidRPr="00061260">
        <w:rPr>
          <w:rFonts w:ascii="Arial" w:hAnsi="Arial" w:cs="Arial"/>
          <w:i/>
          <w:iCs/>
        </w:rPr>
        <w:t>Journal of Business Case Studies, 6</w:t>
      </w:r>
      <w:r w:rsidRPr="00061260">
        <w:rPr>
          <w:rFonts w:ascii="Arial" w:hAnsi="Arial" w:cs="Arial"/>
        </w:rPr>
        <w:t>(3), 21–30.</w:t>
      </w:r>
    </w:p>
    <w:p w14:paraId="7BA53478" w14:textId="58E7820A" w:rsidR="00061260" w:rsidRPr="00061260" w:rsidRDefault="00061260" w:rsidP="00061260">
      <w:pPr>
        <w:spacing w:line="360" w:lineRule="auto"/>
        <w:rPr>
          <w:rFonts w:ascii="Arial" w:hAnsi="Arial" w:cs="Arial"/>
        </w:rPr>
      </w:pPr>
      <w:r w:rsidRPr="00061260">
        <w:rPr>
          <w:rFonts w:ascii="Arial" w:hAnsi="Arial" w:cs="Arial"/>
        </w:rPr>
        <w:t xml:space="preserve">Qureshi, M. M., &amp; Yadav, S. K. S. (2020). A comparative financial analysis between </w:t>
      </w:r>
      <w:r>
        <w:rPr>
          <w:rFonts w:ascii="Arial" w:hAnsi="Arial" w:cs="Arial"/>
        </w:rPr>
        <w:t>the world's</w:t>
      </w:r>
      <w:r w:rsidRPr="00061260">
        <w:rPr>
          <w:rFonts w:ascii="Arial" w:hAnsi="Arial" w:cs="Arial"/>
        </w:rPr>
        <w:t xml:space="preserve"> top two e-commerce companies: Amazon and Alibaba. </w:t>
      </w:r>
      <w:r w:rsidRPr="00061260">
        <w:rPr>
          <w:rFonts w:ascii="Arial" w:hAnsi="Arial" w:cs="Arial"/>
          <w:i/>
          <w:iCs/>
        </w:rPr>
        <w:t>International Journal of Trade and Commerce-IIARTC, 10</w:t>
      </w:r>
      <w:r w:rsidRPr="00061260">
        <w:rPr>
          <w:rFonts w:ascii="Arial" w:hAnsi="Arial" w:cs="Arial"/>
        </w:rPr>
        <w:t>(2), 256–268.</w:t>
      </w:r>
    </w:p>
    <w:p w14:paraId="67A2DD06" w14:textId="50198C94" w:rsidR="00061260" w:rsidRPr="00061260" w:rsidRDefault="00061260" w:rsidP="00061260">
      <w:pPr>
        <w:spacing w:line="360" w:lineRule="auto"/>
        <w:rPr>
          <w:rFonts w:ascii="Arial" w:hAnsi="Arial" w:cs="Arial"/>
        </w:rPr>
      </w:pPr>
      <w:r w:rsidRPr="00061260">
        <w:rPr>
          <w:rFonts w:ascii="Arial" w:hAnsi="Arial" w:cs="Arial"/>
        </w:rPr>
        <w:t xml:space="preserve">Singh, K., Vasudevan, A., Mohammad, S., &amp; Raja, N. (2026). </w:t>
      </w:r>
      <w:r>
        <w:rPr>
          <w:rFonts w:ascii="Arial" w:hAnsi="Arial" w:cs="Arial"/>
        </w:rPr>
        <w:t>Factors</w:t>
      </w:r>
      <w:r w:rsidRPr="00061260">
        <w:rPr>
          <w:rFonts w:ascii="Arial" w:hAnsi="Arial" w:cs="Arial"/>
        </w:rPr>
        <w:t xml:space="preserve"> influencing inventory management </w:t>
      </w:r>
      <w:r>
        <w:rPr>
          <w:rFonts w:ascii="Arial" w:hAnsi="Arial" w:cs="Arial"/>
        </w:rPr>
        <w:t>in minimising</w:t>
      </w:r>
      <w:r w:rsidRPr="00061260">
        <w:rPr>
          <w:rFonts w:ascii="Arial" w:hAnsi="Arial" w:cs="Arial"/>
        </w:rPr>
        <w:t xml:space="preserve"> cost with reference </w:t>
      </w:r>
      <w:r>
        <w:rPr>
          <w:rFonts w:ascii="Arial" w:hAnsi="Arial" w:cs="Arial"/>
        </w:rPr>
        <w:t>to</w:t>
      </w:r>
      <w:r w:rsidRPr="00061260">
        <w:rPr>
          <w:rFonts w:ascii="Arial" w:hAnsi="Arial" w:cs="Arial"/>
        </w:rPr>
        <w:t xml:space="preserve"> business analysis in Amazon India: Case study. </w:t>
      </w:r>
      <w:r w:rsidRPr="00061260">
        <w:rPr>
          <w:rFonts w:ascii="Arial" w:hAnsi="Arial" w:cs="Arial"/>
          <w:i/>
          <w:iCs/>
        </w:rPr>
        <w:t>Architecture Image Studies, 7</w:t>
      </w:r>
      <w:r w:rsidRPr="00061260">
        <w:rPr>
          <w:rFonts w:ascii="Arial" w:hAnsi="Arial" w:cs="Arial"/>
        </w:rPr>
        <w:t>(1), 217–228.</w:t>
      </w:r>
    </w:p>
    <w:p w14:paraId="1E2CB356" w14:textId="77777777" w:rsidR="00061260" w:rsidRDefault="00061260" w:rsidP="00061260">
      <w:pPr>
        <w:spacing w:line="360" w:lineRule="auto"/>
        <w:rPr>
          <w:rFonts w:ascii="Arial" w:hAnsi="Arial" w:cs="Arial"/>
        </w:rPr>
      </w:pPr>
      <w:r w:rsidRPr="00061260">
        <w:rPr>
          <w:rFonts w:ascii="Arial" w:hAnsi="Arial" w:cs="Arial"/>
        </w:rPr>
        <w:t xml:space="preserve">Tarasoff, J., &amp; McCormack, J. (2013). How to create value without earnings: The case of Amazon. </w:t>
      </w:r>
      <w:r w:rsidRPr="00061260">
        <w:rPr>
          <w:rFonts w:ascii="Arial" w:hAnsi="Arial" w:cs="Arial"/>
          <w:i/>
          <w:iCs/>
        </w:rPr>
        <w:t>Journal of Applied Corporate Finance, 25</w:t>
      </w:r>
      <w:r w:rsidRPr="00061260">
        <w:rPr>
          <w:rFonts w:ascii="Arial" w:hAnsi="Arial" w:cs="Arial"/>
        </w:rPr>
        <w:t>(3), 39–43.</w:t>
      </w:r>
    </w:p>
    <w:p w14:paraId="00FE8913" w14:textId="68A507E4" w:rsidR="00061260" w:rsidRPr="00061260" w:rsidRDefault="00061260" w:rsidP="00061260">
      <w:pPr>
        <w:spacing w:line="360" w:lineRule="auto"/>
        <w:rPr>
          <w:rFonts w:ascii="Arial" w:hAnsi="Arial" w:cs="Arial"/>
        </w:rPr>
      </w:pPr>
      <w:r w:rsidRPr="00061260">
        <w:rPr>
          <w:rFonts w:ascii="Arial" w:hAnsi="Arial" w:cs="Arial"/>
        </w:rPr>
        <w:lastRenderedPageBreak/>
        <w:t xml:space="preserve">Tian, Y., Hwang, N. C. R., &amp; Blake, C. (2026). Would immaterial CSR performance influence investors’ investment decisions when firms have </w:t>
      </w:r>
      <w:r>
        <w:rPr>
          <w:rFonts w:ascii="Arial" w:hAnsi="Arial" w:cs="Arial"/>
        </w:rPr>
        <w:t>unfavourable</w:t>
      </w:r>
      <w:r w:rsidRPr="00061260">
        <w:rPr>
          <w:rFonts w:ascii="Arial" w:hAnsi="Arial" w:cs="Arial"/>
        </w:rPr>
        <w:t xml:space="preserve"> financial performance? An experiment. </w:t>
      </w:r>
      <w:r w:rsidRPr="00061260">
        <w:rPr>
          <w:rFonts w:ascii="Arial" w:hAnsi="Arial" w:cs="Arial"/>
          <w:i/>
          <w:iCs/>
        </w:rPr>
        <w:t>Accounting Research Journal, 39</w:t>
      </w:r>
      <w:r w:rsidRPr="00061260">
        <w:rPr>
          <w:rFonts w:ascii="Arial" w:hAnsi="Arial" w:cs="Arial"/>
        </w:rPr>
        <w:t>(1), 104–121.</w:t>
      </w:r>
    </w:p>
    <w:p w14:paraId="25434D8C" w14:textId="77777777" w:rsidR="00061260" w:rsidRPr="00061260" w:rsidRDefault="00061260" w:rsidP="00061260">
      <w:pPr>
        <w:spacing w:line="360" w:lineRule="auto"/>
        <w:rPr>
          <w:rFonts w:ascii="Arial" w:hAnsi="Arial" w:cs="Arial"/>
        </w:rPr>
      </w:pPr>
      <w:r w:rsidRPr="00061260">
        <w:rPr>
          <w:rFonts w:ascii="Arial" w:hAnsi="Arial" w:cs="Arial"/>
        </w:rPr>
        <w:t xml:space="preserve">Xiang, J., &amp; Wang, B. (2021). Amazon financial model. </w:t>
      </w:r>
      <w:r w:rsidRPr="00061260">
        <w:rPr>
          <w:rFonts w:ascii="Arial" w:hAnsi="Arial" w:cs="Arial"/>
          <w:i/>
          <w:iCs/>
        </w:rPr>
        <w:t xml:space="preserve">European Journal of Economics and Management Sciences, </w:t>
      </w:r>
      <w:r w:rsidRPr="00061260">
        <w:rPr>
          <w:rFonts w:ascii="Arial" w:hAnsi="Arial" w:cs="Arial"/>
        </w:rPr>
        <w:t>(2), 16–28.</w:t>
      </w:r>
    </w:p>
    <w:p w14:paraId="5DFF3BB4" w14:textId="7F647D16" w:rsidR="00061260" w:rsidRPr="00061260" w:rsidRDefault="00061260" w:rsidP="00061260">
      <w:pPr>
        <w:spacing w:line="360" w:lineRule="auto"/>
        <w:rPr>
          <w:rFonts w:ascii="Arial" w:hAnsi="Arial" w:cs="Arial"/>
        </w:rPr>
      </w:pPr>
      <w:r w:rsidRPr="00061260">
        <w:rPr>
          <w:rFonts w:ascii="Arial" w:hAnsi="Arial" w:cs="Arial"/>
        </w:rPr>
        <w:t xml:space="preserve">Yu, W., Hassan, A., &amp; </w:t>
      </w:r>
      <w:proofErr w:type="spellStart"/>
      <w:r w:rsidRPr="00061260">
        <w:rPr>
          <w:rFonts w:ascii="Arial" w:hAnsi="Arial" w:cs="Arial"/>
        </w:rPr>
        <w:t>Adhikariparajuli</w:t>
      </w:r>
      <w:proofErr w:type="spellEnd"/>
      <w:r w:rsidRPr="00061260">
        <w:rPr>
          <w:rFonts w:ascii="Arial" w:hAnsi="Arial" w:cs="Arial"/>
        </w:rPr>
        <w:t>, M. (2022). How did Amazon achieve CSR and some sustainable development goals (SDGs)</w:t>
      </w:r>
      <w:r>
        <w:rPr>
          <w:rFonts w:ascii="Arial" w:hAnsi="Arial" w:cs="Arial"/>
        </w:rPr>
        <w:t>-</w:t>
      </w:r>
      <w:r w:rsidRPr="00061260">
        <w:rPr>
          <w:rFonts w:ascii="Arial" w:hAnsi="Arial" w:cs="Arial"/>
        </w:rPr>
        <w:t xml:space="preserve">climate change, circular economy, water resources and employee rights during COVID-19? </w:t>
      </w:r>
      <w:r w:rsidRPr="00061260">
        <w:rPr>
          <w:rFonts w:ascii="Arial" w:hAnsi="Arial" w:cs="Arial"/>
          <w:i/>
          <w:iCs/>
        </w:rPr>
        <w:t>Journal of Risk and Financial Management, 15</w:t>
      </w:r>
      <w:r w:rsidRPr="00061260">
        <w:rPr>
          <w:rFonts w:ascii="Arial" w:hAnsi="Arial" w:cs="Arial"/>
        </w:rPr>
        <w:t>(8), 364.</w:t>
      </w:r>
    </w:p>
    <w:p w14:paraId="5705D4E0" w14:textId="224F690E" w:rsidR="00061260" w:rsidRPr="000F6CBB" w:rsidRDefault="00061260" w:rsidP="00061260">
      <w:pPr>
        <w:spacing w:line="360" w:lineRule="auto"/>
        <w:rPr>
          <w:rFonts w:ascii="Arial" w:hAnsi="Arial" w:cs="Arial"/>
        </w:rPr>
      </w:pPr>
      <w:r w:rsidRPr="00061260">
        <w:rPr>
          <w:rFonts w:ascii="Arial" w:hAnsi="Arial" w:cs="Arial"/>
        </w:rPr>
        <w:t xml:space="preserve">Zhao, Y. (2025). Navigating financing challenges: A case study of Amazon's application of pecking order theory. </w:t>
      </w:r>
      <w:r w:rsidRPr="00061260">
        <w:rPr>
          <w:rFonts w:ascii="Arial" w:hAnsi="Arial" w:cs="Arial"/>
          <w:i/>
          <w:iCs/>
        </w:rPr>
        <w:t>Journal of Education, Humanities and Social Sciences, 61,</w:t>
      </w:r>
      <w:r w:rsidRPr="00061260">
        <w:rPr>
          <w:rFonts w:ascii="Arial" w:hAnsi="Arial" w:cs="Arial"/>
        </w:rPr>
        <w:t xml:space="preserve"> 335–341.</w:t>
      </w:r>
    </w:p>
    <w:sectPr w:rsidR="00061260" w:rsidRPr="000F6CBB" w:rsidSect="0086127F">
      <w:head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0804F" w14:textId="77777777" w:rsidR="00D64E54" w:rsidRDefault="00D64E54" w:rsidP="00061260">
      <w:pPr>
        <w:spacing w:after="0" w:line="240" w:lineRule="auto"/>
      </w:pPr>
      <w:r>
        <w:separator/>
      </w:r>
    </w:p>
  </w:endnote>
  <w:endnote w:type="continuationSeparator" w:id="0">
    <w:p w14:paraId="4734006A" w14:textId="77777777" w:rsidR="00D64E54" w:rsidRDefault="00D64E54" w:rsidP="000612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5D311" w14:textId="77777777" w:rsidR="00D64E54" w:rsidRDefault="00D64E54" w:rsidP="00061260">
      <w:pPr>
        <w:spacing w:after="0" w:line="240" w:lineRule="auto"/>
      </w:pPr>
      <w:r>
        <w:separator/>
      </w:r>
    </w:p>
  </w:footnote>
  <w:footnote w:type="continuationSeparator" w:id="0">
    <w:p w14:paraId="6DC3CC03" w14:textId="77777777" w:rsidR="00D64E54" w:rsidRDefault="00D64E54" w:rsidP="000612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001394472"/>
      <w:docPartObj>
        <w:docPartGallery w:val="Page Numbers (Top of Page)"/>
        <w:docPartUnique/>
      </w:docPartObj>
    </w:sdtPr>
    <w:sdtEndPr>
      <w:rPr>
        <w:b/>
        <w:bCs/>
        <w:noProof/>
        <w:color w:val="auto"/>
        <w:spacing w:val="0"/>
      </w:rPr>
    </w:sdtEndPr>
    <w:sdtContent>
      <w:p w14:paraId="2B4FA3A3" w14:textId="003F7780" w:rsidR="0086127F" w:rsidRDefault="0086127F">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3C36513C" w14:textId="77777777" w:rsidR="0086127F" w:rsidRDefault="008612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46FCB"/>
    <w:multiLevelType w:val="hybridMultilevel"/>
    <w:tmpl w:val="3F260840"/>
    <w:lvl w:ilvl="0" w:tplc="5240B17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C64E0D"/>
    <w:multiLevelType w:val="hybridMultilevel"/>
    <w:tmpl w:val="4C8A9C24"/>
    <w:lvl w:ilvl="0" w:tplc="5240B17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E73564"/>
    <w:multiLevelType w:val="hybridMultilevel"/>
    <w:tmpl w:val="14C08186"/>
    <w:lvl w:ilvl="0" w:tplc="5240B17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FA22DC"/>
    <w:multiLevelType w:val="hybridMultilevel"/>
    <w:tmpl w:val="F5382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EE27B0"/>
    <w:multiLevelType w:val="hybridMultilevel"/>
    <w:tmpl w:val="8E02491E"/>
    <w:lvl w:ilvl="0" w:tplc="5240B17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2E6E20"/>
    <w:multiLevelType w:val="multilevel"/>
    <w:tmpl w:val="1B6429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6" w15:restartNumberingAfterBreak="0">
    <w:nsid w:val="553D560C"/>
    <w:multiLevelType w:val="hybridMultilevel"/>
    <w:tmpl w:val="A9A4802C"/>
    <w:lvl w:ilvl="0" w:tplc="5240B17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321734"/>
    <w:multiLevelType w:val="hybridMultilevel"/>
    <w:tmpl w:val="A8AC3F64"/>
    <w:lvl w:ilvl="0" w:tplc="5240B17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A42397"/>
    <w:multiLevelType w:val="hybridMultilevel"/>
    <w:tmpl w:val="194CC1C6"/>
    <w:lvl w:ilvl="0" w:tplc="5240B17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C13686"/>
    <w:multiLevelType w:val="hybridMultilevel"/>
    <w:tmpl w:val="01EE4044"/>
    <w:lvl w:ilvl="0" w:tplc="5240B17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845327"/>
    <w:multiLevelType w:val="hybridMultilevel"/>
    <w:tmpl w:val="798C5016"/>
    <w:lvl w:ilvl="0" w:tplc="5240B17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A65001"/>
    <w:multiLevelType w:val="hybridMultilevel"/>
    <w:tmpl w:val="0B0C1C2E"/>
    <w:lvl w:ilvl="0" w:tplc="5240B17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206420">
    <w:abstractNumId w:val="5"/>
  </w:num>
  <w:num w:numId="2" w16cid:durableId="918173040">
    <w:abstractNumId w:val="3"/>
  </w:num>
  <w:num w:numId="3" w16cid:durableId="1853647549">
    <w:abstractNumId w:val="1"/>
  </w:num>
  <w:num w:numId="4" w16cid:durableId="1528133842">
    <w:abstractNumId w:val="8"/>
  </w:num>
  <w:num w:numId="5" w16cid:durableId="1423843835">
    <w:abstractNumId w:val="6"/>
  </w:num>
  <w:num w:numId="6" w16cid:durableId="436678811">
    <w:abstractNumId w:val="10"/>
  </w:num>
  <w:num w:numId="7" w16cid:durableId="178129653">
    <w:abstractNumId w:val="0"/>
  </w:num>
  <w:num w:numId="8" w16cid:durableId="1055392265">
    <w:abstractNumId w:val="4"/>
  </w:num>
  <w:num w:numId="9" w16cid:durableId="1012612908">
    <w:abstractNumId w:val="2"/>
  </w:num>
  <w:num w:numId="10" w16cid:durableId="353382312">
    <w:abstractNumId w:val="9"/>
  </w:num>
  <w:num w:numId="11" w16cid:durableId="1149637962">
    <w:abstractNumId w:val="11"/>
  </w:num>
  <w:num w:numId="12" w16cid:durableId="14845387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CBB"/>
    <w:rsid w:val="00061260"/>
    <w:rsid w:val="000F6CBB"/>
    <w:rsid w:val="007D5EA5"/>
    <w:rsid w:val="00836746"/>
    <w:rsid w:val="0086127F"/>
    <w:rsid w:val="00972E8F"/>
    <w:rsid w:val="00A20B8A"/>
    <w:rsid w:val="00AC4A28"/>
    <w:rsid w:val="00D64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18EA72"/>
  <w15:chartTrackingRefBased/>
  <w15:docId w15:val="{C79C44C2-FFF1-4149-889D-DDA1FEE92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6C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6C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6C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6C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6C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6C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6C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6C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6C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C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6C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6C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6C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6C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6C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6C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6C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6CBB"/>
    <w:rPr>
      <w:rFonts w:eastAsiaTheme="majorEastAsia" w:cstheme="majorBidi"/>
      <w:color w:val="272727" w:themeColor="text1" w:themeTint="D8"/>
    </w:rPr>
  </w:style>
  <w:style w:type="paragraph" w:styleId="Title">
    <w:name w:val="Title"/>
    <w:basedOn w:val="Normal"/>
    <w:next w:val="Normal"/>
    <w:link w:val="TitleChar"/>
    <w:uiPriority w:val="10"/>
    <w:qFormat/>
    <w:rsid w:val="000F6C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6C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6C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6C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6CBB"/>
    <w:pPr>
      <w:spacing w:before="160"/>
      <w:jc w:val="center"/>
    </w:pPr>
    <w:rPr>
      <w:i/>
      <w:iCs/>
      <w:color w:val="404040" w:themeColor="text1" w:themeTint="BF"/>
    </w:rPr>
  </w:style>
  <w:style w:type="character" w:customStyle="1" w:styleId="QuoteChar">
    <w:name w:val="Quote Char"/>
    <w:basedOn w:val="DefaultParagraphFont"/>
    <w:link w:val="Quote"/>
    <w:uiPriority w:val="29"/>
    <w:rsid w:val="000F6CBB"/>
    <w:rPr>
      <w:i/>
      <w:iCs/>
      <w:color w:val="404040" w:themeColor="text1" w:themeTint="BF"/>
    </w:rPr>
  </w:style>
  <w:style w:type="paragraph" w:styleId="ListParagraph">
    <w:name w:val="List Paragraph"/>
    <w:basedOn w:val="Normal"/>
    <w:uiPriority w:val="34"/>
    <w:qFormat/>
    <w:rsid w:val="000F6CBB"/>
    <w:pPr>
      <w:ind w:left="720"/>
      <w:contextualSpacing/>
    </w:pPr>
  </w:style>
  <w:style w:type="character" w:styleId="IntenseEmphasis">
    <w:name w:val="Intense Emphasis"/>
    <w:basedOn w:val="DefaultParagraphFont"/>
    <w:uiPriority w:val="21"/>
    <w:qFormat/>
    <w:rsid w:val="000F6CBB"/>
    <w:rPr>
      <w:i/>
      <w:iCs/>
      <w:color w:val="0F4761" w:themeColor="accent1" w:themeShade="BF"/>
    </w:rPr>
  </w:style>
  <w:style w:type="paragraph" w:styleId="IntenseQuote">
    <w:name w:val="Intense Quote"/>
    <w:basedOn w:val="Normal"/>
    <w:next w:val="Normal"/>
    <w:link w:val="IntenseQuoteChar"/>
    <w:uiPriority w:val="30"/>
    <w:qFormat/>
    <w:rsid w:val="000F6C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6CBB"/>
    <w:rPr>
      <w:i/>
      <w:iCs/>
      <w:color w:val="0F4761" w:themeColor="accent1" w:themeShade="BF"/>
    </w:rPr>
  </w:style>
  <w:style w:type="character" w:styleId="IntenseReference">
    <w:name w:val="Intense Reference"/>
    <w:basedOn w:val="DefaultParagraphFont"/>
    <w:uiPriority w:val="32"/>
    <w:qFormat/>
    <w:rsid w:val="000F6CBB"/>
    <w:rPr>
      <w:b/>
      <w:bCs/>
      <w:smallCaps/>
      <w:color w:val="0F4761" w:themeColor="accent1" w:themeShade="BF"/>
      <w:spacing w:val="5"/>
    </w:rPr>
  </w:style>
  <w:style w:type="paragraph" w:styleId="Header">
    <w:name w:val="header"/>
    <w:basedOn w:val="Normal"/>
    <w:link w:val="HeaderChar"/>
    <w:uiPriority w:val="99"/>
    <w:unhideWhenUsed/>
    <w:rsid w:val="000612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1260"/>
  </w:style>
  <w:style w:type="paragraph" w:styleId="Footer">
    <w:name w:val="footer"/>
    <w:basedOn w:val="Normal"/>
    <w:link w:val="FooterChar"/>
    <w:uiPriority w:val="99"/>
    <w:unhideWhenUsed/>
    <w:rsid w:val="000612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1260"/>
  </w:style>
  <w:style w:type="paragraph" w:styleId="NoSpacing">
    <w:name w:val="No Spacing"/>
    <w:link w:val="NoSpacingChar"/>
    <w:uiPriority w:val="1"/>
    <w:qFormat/>
    <w:rsid w:val="0086127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6127F"/>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DFE98ABAC964A74B1ADD6F10BE56DBB"/>
        <w:category>
          <w:name w:val="General"/>
          <w:gallery w:val="placeholder"/>
        </w:category>
        <w:types>
          <w:type w:val="bbPlcHdr"/>
        </w:types>
        <w:behaviors>
          <w:behavior w:val="content"/>
        </w:behaviors>
        <w:guid w:val="{AC0B0EE4-A8EF-4CC8-88BE-0EC050DEBBF2}"/>
      </w:docPartPr>
      <w:docPartBody>
        <w:p w:rsidR="00000000" w:rsidRDefault="0000378C" w:rsidP="0000378C">
          <w:pPr>
            <w:pStyle w:val="7DFE98ABAC964A74B1ADD6F10BE56DBB"/>
          </w:pPr>
          <w:r>
            <w:rPr>
              <w:rFonts w:asciiTheme="majorHAnsi" w:eastAsiaTheme="majorEastAsia" w:hAnsiTheme="majorHAnsi" w:cstheme="majorBidi"/>
              <w:color w:val="156082"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78C"/>
    <w:rsid w:val="0000378C"/>
    <w:rsid w:val="006E29D2"/>
    <w:rsid w:val="00972E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0581832DB96492F9592519E56CC40B6">
    <w:name w:val="E0581832DB96492F9592519E56CC40B6"/>
    <w:rsid w:val="0000378C"/>
  </w:style>
  <w:style w:type="paragraph" w:customStyle="1" w:styleId="7DFE98ABAC964A74B1ADD6F10BE56DBB">
    <w:name w:val="7DFE98ABAC964A74B1ADD6F10BE56DBB"/>
    <w:rsid w:val="0000378C"/>
  </w:style>
  <w:style w:type="paragraph" w:customStyle="1" w:styleId="44F5CFCA057D45CEBC2832AB924B6DA9">
    <w:name w:val="44F5CFCA057D45CEBC2832AB924B6DA9"/>
    <w:rsid w:val="0000378C"/>
  </w:style>
  <w:style w:type="paragraph" w:customStyle="1" w:styleId="2740483FCE4545E283428B0A553AF05E">
    <w:name w:val="2740483FCE4545E283428B0A553AF05E"/>
    <w:rsid w:val="0000378C"/>
  </w:style>
  <w:style w:type="paragraph" w:customStyle="1" w:styleId="7F4E407DC60A49F4933B8A9A826A8F86">
    <w:name w:val="7F4E407DC60A49F4933B8A9A826A8F86"/>
    <w:rsid w:val="0000378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2114</Words>
  <Characters>12054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Analysis of Amazon.com, Inc. (2024–2025)</dc:title>
  <dc:subject/>
  <dc:creator>Mirabela Voican (1907947)</dc:creator>
  <cp:keywords/>
  <dc:description/>
  <cp:lastModifiedBy>Mirabela Voican (1907947)</cp:lastModifiedBy>
  <cp:revision>2</cp:revision>
  <dcterms:created xsi:type="dcterms:W3CDTF">2026-04-22T01:59:00Z</dcterms:created>
  <dcterms:modified xsi:type="dcterms:W3CDTF">2026-04-22T01:59:00Z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6e548999-f7b0-49c3-b74a-389ff7ecc238</vt:lpwstr>
  </property>
</Properties>
</file>