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CE35A" w14:textId="77777777" w:rsidR="00C9633E" w:rsidRDefault="00C9633E">
      <w:pPr>
        <w:rPr>
          <w:rFonts w:ascii="Times New Roman" w:hAnsi="Times New Roman" w:cs="Times New Roman"/>
        </w:rPr>
      </w:pPr>
    </w:p>
    <w:p w14:paraId="2EAB4583" w14:textId="77777777" w:rsidR="00C9633E" w:rsidRDefault="00C9633E">
      <w:pPr>
        <w:rPr>
          <w:rFonts w:ascii="Times New Roman" w:hAnsi="Times New Roman" w:cs="Times New Roman"/>
        </w:rPr>
      </w:pPr>
    </w:p>
    <w:p w14:paraId="55409B8D" w14:textId="58A33EBE" w:rsidR="00C9633E" w:rsidRDefault="00C9633E">
      <w:pPr>
        <w:rPr>
          <w:rFonts w:ascii="Times New Roman" w:hAnsi="Times New Roman" w:cs="Times New Roman"/>
        </w:rPr>
      </w:pPr>
    </w:p>
    <w:p w14:paraId="046FB1A3" w14:textId="77777777" w:rsidR="00C9633E" w:rsidRDefault="00C9633E">
      <w:pPr>
        <w:rPr>
          <w:rFonts w:ascii="Times New Roman" w:hAnsi="Times New Roman" w:cs="Times New Roman"/>
        </w:rPr>
      </w:pPr>
    </w:p>
    <w:p w14:paraId="7A1F1857" w14:textId="77777777" w:rsidR="00C9633E" w:rsidRDefault="00C9633E">
      <w:pPr>
        <w:rPr>
          <w:rFonts w:ascii="Times New Roman" w:hAnsi="Times New Roman" w:cs="Times New Roman"/>
        </w:rPr>
      </w:pPr>
    </w:p>
    <w:p w14:paraId="10BCCC81" w14:textId="77777777" w:rsidR="00C9633E" w:rsidRDefault="00C9633E">
      <w:pPr>
        <w:rPr>
          <w:rFonts w:ascii="Times New Roman" w:hAnsi="Times New Roman" w:cs="Times New Roman"/>
        </w:rPr>
      </w:pPr>
    </w:p>
    <w:p w14:paraId="70FE9833" w14:textId="77777777" w:rsidR="00C9633E" w:rsidRDefault="00C9633E">
      <w:pPr>
        <w:rPr>
          <w:rFonts w:ascii="Times New Roman" w:hAnsi="Times New Roman" w:cs="Times New Roman"/>
        </w:rPr>
      </w:pPr>
    </w:p>
    <w:p w14:paraId="14AB4B50" w14:textId="77777777" w:rsidR="00C9633E" w:rsidRDefault="00C9633E">
      <w:pPr>
        <w:rPr>
          <w:rFonts w:ascii="Times New Roman" w:hAnsi="Times New Roman" w:cs="Times New Roman"/>
        </w:rPr>
      </w:pPr>
    </w:p>
    <w:p w14:paraId="4B6CFB7B" w14:textId="77777777" w:rsidR="00C9633E" w:rsidRPr="00461BEF" w:rsidRDefault="00C9633E">
      <w:pPr>
        <w:rPr>
          <w:rFonts w:ascii="Arial" w:hAnsi="Arial" w:cs="Arial"/>
          <w:sz w:val="28"/>
          <w:szCs w:val="28"/>
        </w:rPr>
      </w:pPr>
    </w:p>
    <w:p w14:paraId="19FCE81D" w14:textId="77777777" w:rsidR="00C9633E" w:rsidRPr="00461BEF" w:rsidRDefault="00C9633E" w:rsidP="00C9633E">
      <w:pPr>
        <w:spacing w:after="0" w:line="480" w:lineRule="auto"/>
        <w:contextualSpacing/>
        <w:jc w:val="center"/>
        <w:rPr>
          <w:rFonts w:ascii="Arial" w:hAnsi="Arial" w:cs="Arial"/>
          <w:sz w:val="36"/>
          <w:szCs w:val="36"/>
        </w:rPr>
      </w:pPr>
      <w:r w:rsidRPr="00461BEF">
        <w:rPr>
          <w:rFonts w:ascii="Arial" w:hAnsi="Arial" w:cs="Arial"/>
          <w:sz w:val="36"/>
          <w:szCs w:val="36"/>
        </w:rPr>
        <w:t>Health, Wellbeing and Sustainable Development</w:t>
      </w:r>
    </w:p>
    <w:p w14:paraId="12494CC9" w14:textId="640F1928" w:rsidR="00C9633E" w:rsidRPr="00461BEF" w:rsidRDefault="00461BEF" w:rsidP="00C9633E">
      <w:pPr>
        <w:spacing w:after="0" w:line="480" w:lineRule="auto"/>
        <w:contextualSpacing/>
        <w:jc w:val="center"/>
        <w:rPr>
          <w:rFonts w:ascii="Arial" w:hAnsi="Arial" w:cs="Arial"/>
          <w:sz w:val="22"/>
          <w:szCs w:val="22"/>
        </w:rPr>
      </w:pPr>
      <w:r w:rsidRPr="00461BEF">
        <w:rPr>
          <w:rFonts w:ascii="Arial" w:hAnsi="Arial" w:cs="Arial"/>
          <w:sz w:val="22"/>
          <w:szCs w:val="22"/>
        </w:rPr>
        <w:t>Name: Marcia Marques Dos Santos</w:t>
      </w:r>
    </w:p>
    <w:p w14:paraId="1D69781D" w14:textId="15D37925" w:rsidR="00461BEF" w:rsidRPr="00461BEF" w:rsidRDefault="00461BEF" w:rsidP="00C9633E">
      <w:pPr>
        <w:spacing w:after="0" w:line="480" w:lineRule="auto"/>
        <w:contextualSpacing/>
        <w:jc w:val="center"/>
        <w:rPr>
          <w:rFonts w:ascii="Arial" w:hAnsi="Arial" w:cs="Arial"/>
          <w:sz w:val="22"/>
          <w:szCs w:val="22"/>
        </w:rPr>
      </w:pPr>
      <w:r w:rsidRPr="00461BEF">
        <w:rPr>
          <w:rFonts w:ascii="Arial" w:hAnsi="Arial" w:cs="Arial"/>
          <w:sz w:val="22"/>
          <w:szCs w:val="22"/>
        </w:rPr>
        <w:t>Student Number: 2246784</w:t>
      </w:r>
    </w:p>
    <w:p w14:paraId="3094F0F8" w14:textId="77777777" w:rsidR="00461BEF" w:rsidRPr="00461BEF" w:rsidRDefault="00461BEF" w:rsidP="00C9633E">
      <w:pPr>
        <w:spacing w:after="0" w:line="480" w:lineRule="auto"/>
        <w:contextualSpacing/>
        <w:jc w:val="center"/>
        <w:rPr>
          <w:rFonts w:ascii="Arial" w:hAnsi="Arial" w:cs="Arial"/>
          <w:sz w:val="22"/>
          <w:szCs w:val="22"/>
        </w:rPr>
      </w:pPr>
      <w:r w:rsidRPr="00461BEF">
        <w:rPr>
          <w:rFonts w:ascii="Arial" w:hAnsi="Arial" w:cs="Arial"/>
          <w:sz w:val="22"/>
          <w:szCs w:val="22"/>
        </w:rPr>
        <w:t xml:space="preserve">Lecture Number: Dr </w:t>
      </w:r>
      <w:proofErr w:type="spellStart"/>
      <w:r w:rsidRPr="00461BEF">
        <w:rPr>
          <w:rFonts w:ascii="Arial" w:hAnsi="Arial" w:cs="Arial"/>
          <w:sz w:val="22"/>
          <w:szCs w:val="22"/>
        </w:rPr>
        <w:t>Itse</w:t>
      </w:r>
      <w:proofErr w:type="spellEnd"/>
      <w:r w:rsidRPr="00461BEF">
        <w:rPr>
          <w:rFonts w:ascii="Arial" w:hAnsi="Arial" w:cs="Arial"/>
          <w:sz w:val="22"/>
          <w:szCs w:val="22"/>
        </w:rPr>
        <w:t xml:space="preserve"> Olaoye</w:t>
      </w:r>
    </w:p>
    <w:p w14:paraId="384A7001" w14:textId="2D1EEEB1" w:rsidR="00C9633E" w:rsidRPr="00461BEF" w:rsidRDefault="00461BEF" w:rsidP="00461BEF">
      <w:pPr>
        <w:spacing w:after="0" w:line="480" w:lineRule="auto"/>
        <w:contextualSpacing/>
        <w:jc w:val="center"/>
        <w:rPr>
          <w:rFonts w:ascii="Arial" w:hAnsi="Arial" w:cs="Arial"/>
        </w:rPr>
      </w:pPr>
      <w:r w:rsidRPr="00461BEF">
        <w:rPr>
          <w:rFonts w:ascii="Arial" w:hAnsi="Arial" w:cs="Arial"/>
          <w:sz w:val="22"/>
          <w:szCs w:val="22"/>
        </w:rPr>
        <w:t>Module Code: BMHP6030</w:t>
      </w:r>
      <w:r w:rsidR="00C9633E" w:rsidRPr="00461BEF">
        <w:rPr>
          <w:rFonts w:ascii="Arial" w:hAnsi="Arial" w:cs="Arial"/>
        </w:rPr>
        <w:br w:type="page"/>
      </w:r>
    </w:p>
    <w:sdt>
      <w:sdtPr>
        <w:rPr>
          <w:rFonts w:ascii="Arial" w:eastAsiaTheme="minorHAnsi" w:hAnsi="Arial" w:cs="Arial"/>
          <w:b/>
          <w:bCs/>
          <w:color w:val="auto"/>
          <w:kern w:val="2"/>
          <w:sz w:val="24"/>
          <w:szCs w:val="24"/>
          <w14:ligatures w14:val="standardContextual"/>
        </w:rPr>
        <w:id w:val="831716597"/>
        <w:docPartObj>
          <w:docPartGallery w:val="Table of Contents"/>
          <w:docPartUnique/>
        </w:docPartObj>
      </w:sdtPr>
      <w:sdtEndPr>
        <w:rPr>
          <w:noProof/>
          <w:sz w:val="22"/>
          <w:szCs w:val="22"/>
        </w:rPr>
      </w:sdtEndPr>
      <w:sdtContent>
        <w:p w14:paraId="1C964522" w14:textId="612477B3" w:rsidR="00C9633E" w:rsidRPr="00461BEF" w:rsidRDefault="00C9633E" w:rsidP="00461BEF">
          <w:pPr>
            <w:pStyle w:val="TOCHeading"/>
            <w:spacing w:before="0" w:line="360" w:lineRule="auto"/>
            <w:contextualSpacing/>
            <w:jc w:val="center"/>
            <w:rPr>
              <w:rFonts w:ascii="Arial" w:hAnsi="Arial" w:cs="Arial"/>
              <w:b/>
              <w:bCs/>
              <w:color w:val="auto"/>
              <w:sz w:val="24"/>
              <w:szCs w:val="24"/>
            </w:rPr>
          </w:pPr>
          <w:r w:rsidRPr="00461BEF">
            <w:rPr>
              <w:rFonts w:ascii="Arial" w:hAnsi="Arial" w:cs="Arial"/>
              <w:b/>
              <w:bCs/>
              <w:color w:val="auto"/>
              <w:sz w:val="24"/>
              <w:szCs w:val="24"/>
            </w:rPr>
            <w:t>Table of Contents</w:t>
          </w:r>
        </w:p>
        <w:p w14:paraId="588CBE2F" w14:textId="2E7ED02A" w:rsidR="00673E91" w:rsidRPr="00461BEF" w:rsidRDefault="00C9633E" w:rsidP="00461BEF">
          <w:pPr>
            <w:pStyle w:val="TOC1"/>
            <w:tabs>
              <w:tab w:val="right" w:leader="dot" w:pos="9350"/>
            </w:tabs>
            <w:spacing w:line="360" w:lineRule="auto"/>
            <w:rPr>
              <w:rFonts w:ascii="Arial" w:eastAsiaTheme="minorEastAsia" w:hAnsi="Arial" w:cs="Arial"/>
              <w:noProof/>
              <w:sz w:val="22"/>
              <w:szCs w:val="22"/>
            </w:rPr>
          </w:pPr>
          <w:r w:rsidRPr="00461BEF">
            <w:rPr>
              <w:rFonts w:ascii="Arial" w:hAnsi="Arial" w:cs="Arial"/>
              <w:sz w:val="22"/>
              <w:szCs w:val="22"/>
            </w:rPr>
            <w:fldChar w:fldCharType="begin"/>
          </w:r>
          <w:r w:rsidRPr="00461BEF">
            <w:rPr>
              <w:rFonts w:ascii="Arial" w:hAnsi="Arial" w:cs="Arial"/>
              <w:sz w:val="22"/>
              <w:szCs w:val="22"/>
            </w:rPr>
            <w:instrText xml:space="preserve"> TOC \o "1-3" \h \z \u </w:instrText>
          </w:r>
          <w:r w:rsidRPr="00461BEF">
            <w:rPr>
              <w:rFonts w:ascii="Arial" w:hAnsi="Arial" w:cs="Arial"/>
              <w:sz w:val="22"/>
              <w:szCs w:val="22"/>
            </w:rPr>
            <w:fldChar w:fldCharType="separate"/>
          </w:r>
          <w:hyperlink w:anchor="_Toc236582999" w:history="1">
            <w:r w:rsidR="00673E91" w:rsidRPr="00461BEF">
              <w:rPr>
                <w:rStyle w:val="Hyperlink"/>
                <w:rFonts w:ascii="Arial" w:hAnsi="Arial" w:cs="Arial"/>
                <w:noProof/>
                <w:sz w:val="22"/>
                <w:szCs w:val="22"/>
              </w:rPr>
              <w:t>Introduction</w:t>
            </w:r>
            <w:r w:rsidR="00673E91" w:rsidRPr="00461BEF">
              <w:rPr>
                <w:rFonts w:ascii="Arial" w:hAnsi="Arial" w:cs="Arial"/>
                <w:noProof/>
                <w:webHidden/>
                <w:sz w:val="22"/>
                <w:szCs w:val="22"/>
              </w:rPr>
              <w:tab/>
            </w:r>
            <w:r w:rsidR="00673E91" w:rsidRPr="00461BEF">
              <w:rPr>
                <w:rFonts w:ascii="Arial" w:hAnsi="Arial" w:cs="Arial"/>
                <w:noProof/>
                <w:webHidden/>
                <w:sz w:val="22"/>
                <w:szCs w:val="22"/>
              </w:rPr>
              <w:fldChar w:fldCharType="begin"/>
            </w:r>
            <w:r w:rsidR="00673E91" w:rsidRPr="00461BEF">
              <w:rPr>
                <w:rFonts w:ascii="Arial" w:hAnsi="Arial" w:cs="Arial"/>
                <w:noProof/>
                <w:webHidden/>
                <w:sz w:val="22"/>
                <w:szCs w:val="22"/>
              </w:rPr>
              <w:instrText xml:space="preserve"> PAGEREF _Toc236582999 \h </w:instrText>
            </w:r>
            <w:r w:rsidR="00673E91" w:rsidRPr="00461BEF">
              <w:rPr>
                <w:rFonts w:ascii="Arial" w:hAnsi="Arial" w:cs="Arial"/>
                <w:noProof/>
                <w:webHidden/>
                <w:sz w:val="22"/>
                <w:szCs w:val="22"/>
              </w:rPr>
            </w:r>
            <w:r w:rsidR="00673E91" w:rsidRPr="00461BEF">
              <w:rPr>
                <w:rFonts w:ascii="Arial" w:hAnsi="Arial" w:cs="Arial"/>
                <w:noProof/>
                <w:webHidden/>
                <w:sz w:val="22"/>
                <w:szCs w:val="22"/>
              </w:rPr>
              <w:fldChar w:fldCharType="separate"/>
            </w:r>
            <w:r w:rsidR="00673E91" w:rsidRPr="00461BEF">
              <w:rPr>
                <w:rFonts w:ascii="Arial" w:hAnsi="Arial" w:cs="Arial"/>
                <w:noProof/>
                <w:webHidden/>
                <w:sz w:val="22"/>
                <w:szCs w:val="22"/>
              </w:rPr>
              <w:t>3</w:t>
            </w:r>
            <w:r w:rsidR="00673E91" w:rsidRPr="00461BEF">
              <w:rPr>
                <w:rFonts w:ascii="Arial" w:hAnsi="Arial" w:cs="Arial"/>
                <w:noProof/>
                <w:webHidden/>
                <w:sz w:val="22"/>
                <w:szCs w:val="22"/>
              </w:rPr>
              <w:fldChar w:fldCharType="end"/>
            </w:r>
          </w:hyperlink>
        </w:p>
        <w:p w14:paraId="2A68E90B" w14:textId="17628BC0" w:rsidR="00673E91" w:rsidRPr="00461BEF" w:rsidRDefault="00673E91" w:rsidP="00461BEF">
          <w:pPr>
            <w:pStyle w:val="TOC1"/>
            <w:tabs>
              <w:tab w:val="right" w:leader="dot" w:pos="9350"/>
            </w:tabs>
            <w:spacing w:line="360" w:lineRule="auto"/>
            <w:rPr>
              <w:rFonts w:ascii="Arial" w:eastAsiaTheme="minorEastAsia" w:hAnsi="Arial" w:cs="Arial"/>
              <w:noProof/>
              <w:sz w:val="22"/>
              <w:szCs w:val="22"/>
            </w:rPr>
          </w:pPr>
          <w:hyperlink w:anchor="_Toc236583000" w:history="1">
            <w:r w:rsidRPr="00461BEF">
              <w:rPr>
                <w:rStyle w:val="Hyperlink"/>
                <w:rFonts w:ascii="Arial" w:hAnsi="Arial" w:cs="Arial"/>
                <w:noProof/>
                <w:sz w:val="22"/>
                <w:szCs w:val="22"/>
              </w:rPr>
              <w:t>Sustainable Development Goal 3: Good Health and Well-being</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_Toc236583000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3</w:t>
            </w:r>
            <w:r w:rsidRPr="00461BEF">
              <w:rPr>
                <w:rFonts w:ascii="Arial" w:hAnsi="Arial" w:cs="Arial"/>
                <w:noProof/>
                <w:webHidden/>
                <w:sz w:val="22"/>
                <w:szCs w:val="22"/>
              </w:rPr>
              <w:fldChar w:fldCharType="end"/>
            </w:r>
          </w:hyperlink>
        </w:p>
        <w:p w14:paraId="15C107EA" w14:textId="76705454" w:rsidR="00673E91" w:rsidRPr="00461BEF" w:rsidRDefault="00673E91" w:rsidP="00461BEF">
          <w:pPr>
            <w:pStyle w:val="TOC2"/>
            <w:tabs>
              <w:tab w:val="right" w:leader="dot" w:pos="9350"/>
            </w:tabs>
            <w:spacing w:line="360" w:lineRule="auto"/>
            <w:rPr>
              <w:rFonts w:ascii="Arial" w:eastAsiaTheme="minorEastAsia" w:hAnsi="Arial" w:cs="Arial"/>
              <w:noProof/>
              <w:sz w:val="22"/>
              <w:szCs w:val="22"/>
            </w:rPr>
          </w:pPr>
          <w:hyperlink w:anchor="_Toc236583001" w:history="1">
            <w:r w:rsidRPr="00461BEF">
              <w:rPr>
                <w:rStyle w:val="Hyperlink"/>
                <w:rFonts w:ascii="Arial" w:hAnsi="Arial" w:cs="Arial"/>
                <w:noProof/>
                <w:sz w:val="22"/>
                <w:szCs w:val="22"/>
              </w:rPr>
              <w:t>Overview of SDG 3</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_Toc236583001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3</w:t>
            </w:r>
            <w:r w:rsidRPr="00461BEF">
              <w:rPr>
                <w:rFonts w:ascii="Arial" w:hAnsi="Arial" w:cs="Arial"/>
                <w:noProof/>
                <w:webHidden/>
                <w:sz w:val="22"/>
                <w:szCs w:val="22"/>
              </w:rPr>
              <w:fldChar w:fldCharType="end"/>
            </w:r>
          </w:hyperlink>
        </w:p>
        <w:p w14:paraId="29596956" w14:textId="5869711A" w:rsidR="00673E91" w:rsidRPr="00461BEF" w:rsidRDefault="00673E91" w:rsidP="00461BEF">
          <w:pPr>
            <w:pStyle w:val="TOC2"/>
            <w:tabs>
              <w:tab w:val="right" w:leader="dot" w:pos="9350"/>
            </w:tabs>
            <w:spacing w:line="360" w:lineRule="auto"/>
            <w:rPr>
              <w:rFonts w:ascii="Arial" w:eastAsiaTheme="minorEastAsia" w:hAnsi="Arial" w:cs="Arial"/>
              <w:noProof/>
              <w:sz w:val="22"/>
              <w:szCs w:val="22"/>
            </w:rPr>
          </w:pPr>
          <w:hyperlink w:anchor="_Toc236583002" w:history="1">
            <w:r w:rsidRPr="00461BEF">
              <w:rPr>
                <w:rStyle w:val="Hyperlink"/>
                <w:rFonts w:ascii="Arial" w:hAnsi="Arial" w:cs="Arial"/>
                <w:noProof/>
                <w:sz w:val="22"/>
                <w:szCs w:val="22"/>
              </w:rPr>
              <w:t>Impact of SDG 3 on the Health and Wellbeing of Citizens</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_Toc236583002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4</w:t>
            </w:r>
            <w:r w:rsidRPr="00461BEF">
              <w:rPr>
                <w:rFonts w:ascii="Arial" w:hAnsi="Arial" w:cs="Arial"/>
                <w:noProof/>
                <w:webHidden/>
                <w:sz w:val="22"/>
                <w:szCs w:val="22"/>
              </w:rPr>
              <w:fldChar w:fldCharType="end"/>
            </w:r>
          </w:hyperlink>
        </w:p>
        <w:p w14:paraId="662ACD19" w14:textId="02F3CDB3" w:rsidR="00673E91" w:rsidRPr="00461BEF" w:rsidRDefault="00673E91" w:rsidP="00461BEF">
          <w:pPr>
            <w:pStyle w:val="TOC1"/>
            <w:tabs>
              <w:tab w:val="right" w:leader="dot" w:pos="9350"/>
            </w:tabs>
            <w:spacing w:line="360" w:lineRule="auto"/>
            <w:rPr>
              <w:rFonts w:ascii="Arial" w:eastAsiaTheme="minorEastAsia" w:hAnsi="Arial" w:cs="Arial"/>
              <w:noProof/>
              <w:sz w:val="22"/>
              <w:szCs w:val="22"/>
            </w:rPr>
          </w:pPr>
          <w:hyperlink w:anchor="_Toc236583003" w:history="1">
            <w:r w:rsidRPr="00461BEF">
              <w:rPr>
                <w:rStyle w:val="Hyperlink"/>
                <w:rFonts w:ascii="Arial" w:hAnsi="Arial" w:cs="Arial"/>
                <w:noProof/>
                <w:sz w:val="22"/>
                <w:szCs w:val="22"/>
              </w:rPr>
              <w:t>Sustainable Development Goal 10: Reduced Inequalities</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_Toc236583003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5</w:t>
            </w:r>
            <w:r w:rsidRPr="00461BEF">
              <w:rPr>
                <w:rFonts w:ascii="Arial" w:hAnsi="Arial" w:cs="Arial"/>
                <w:noProof/>
                <w:webHidden/>
                <w:sz w:val="22"/>
                <w:szCs w:val="22"/>
              </w:rPr>
              <w:fldChar w:fldCharType="end"/>
            </w:r>
          </w:hyperlink>
        </w:p>
        <w:p w14:paraId="130B3584" w14:textId="1772BD12" w:rsidR="00673E91" w:rsidRPr="00461BEF" w:rsidRDefault="00673E91" w:rsidP="00461BEF">
          <w:pPr>
            <w:pStyle w:val="TOC2"/>
            <w:tabs>
              <w:tab w:val="right" w:leader="dot" w:pos="9350"/>
            </w:tabs>
            <w:spacing w:line="360" w:lineRule="auto"/>
            <w:rPr>
              <w:rFonts w:ascii="Arial" w:eastAsiaTheme="minorEastAsia" w:hAnsi="Arial" w:cs="Arial"/>
              <w:noProof/>
              <w:sz w:val="22"/>
              <w:szCs w:val="22"/>
            </w:rPr>
          </w:pPr>
          <w:hyperlink w:anchor="_Toc236583004" w:history="1">
            <w:r w:rsidRPr="00461BEF">
              <w:rPr>
                <w:rStyle w:val="Hyperlink"/>
                <w:rFonts w:ascii="Arial" w:hAnsi="Arial" w:cs="Arial"/>
                <w:noProof/>
                <w:sz w:val="22"/>
                <w:szCs w:val="22"/>
              </w:rPr>
              <w:t>Overview of SDG 10</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_Toc236583004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5</w:t>
            </w:r>
            <w:r w:rsidRPr="00461BEF">
              <w:rPr>
                <w:rFonts w:ascii="Arial" w:hAnsi="Arial" w:cs="Arial"/>
                <w:noProof/>
                <w:webHidden/>
                <w:sz w:val="22"/>
                <w:szCs w:val="22"/>
              </w:rPr>
              <w:fldChar w:fldCharType="end"/>
            </w:r>
          </w:hyperlink>
        </w:p>
        <w:p w14:paraId="3010BEFA" w14:textId="594F2ACC" w:rsidR="00673E91" w:rsidRPr="00461BEF" w:rsidRDefault="00673E91" w:rsidP="00461BEF">
          <w:pPr>
            <w:pStyle w:val="TOC2"/>
            <w:tabs>
              <w:tab w:val="right" w:leader="dot" w:pos="9350"/>
            </w:tabs>
            <w:spacing w:line="360" w:lineRule="auto"/>
            <w:rPr>
              <w:rFonts w:ascii="Arial" w:eastAsiaTheme="minorEastAsia" w:hAnsi="Arial" w:cs="Arial"/>
              <w:noProof/>
              <w:sz w:val="22"/>
              <w:szCs w:val="22"/>
            </w:rPr>
          </w:pPr>
          <w:hyperlink w:anchor="_Toc236583005" w:history="1">
            <w:r w:rsidRPr="00461BEF">
              <w:rPr>
                <w:rStyle w:val="Hyperlink"/>
                <w:rFonts w:ascii="Arial" w:hAnsi="Arial" w:cs="Arial"/>
                <w:noProof/>
                <w:sz w:val="22"/>
                <w:szCs w:val="22"/>
              </w:rPr>
              <w:t>Impact of SDG 10 on the Health and Wellbeing of Citizens</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_Toc236583005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6</w:t>
            </w:r>
            <w:r w:rsidRPr="00461BEF">
              <w:rPr>
                <w:rFonts w:ascii="Arial" w:hAnsi="Arial" w:cs="Arial"/>
                <w:noProof/>
                <w:webHidden/>
                <w:sz w:val="22"/>
                <w:szCs w:val="22"/>
              </w:rPr>
              <w:fldChar w:fldCharType="end"/>
            </w:r>
          </w:hyperlink>
        </w:p>
        <w:p w14:paraId="0D7B553D" w14:textId="55F9F2CE" w:rsidR="00673E91" w:rsidRPr="00461BEF" w:rsidRDefault="00673E91" w:rsidP="00461BEF">
          <w:pPr>
            <w:pStyle w:val="TOC1"/>
            <w:tabs>
              <w:tab w:val="right" w:leader="dot" w:pos="9350"/>
            </w:tabs>
            <w:spacing w:line="360" w:lineRule="auto"/>
            <w:rPr>
              <w:rFonts w:ascii="Arial" w:eastAsiaTheme="minorEastAsia" w:hAnsi="Arial" w:cs="Arial"/>
              <w:noProof/>
              <w:sz w:val="22"/>
              <w:szCs w:val="22"/>
            </w:rPr>
          </w:pPr>
          <w:hyperlink w:anchor="_Toc236583006" w:history="1">
            <w:r w:rsidRPr="00461BEF">
              <w:rPr>
                <w:rStyle w:val="Hyperlink"/>
                <w:rFonts w:ascii="Arial" w:hAnsi="Arial" w:cs="Arial"/>
                <w:noProof/>
                <w:sz w:val="22"/>
                <w:szCs w:val="22"/>
              </w:rPr>
              <w:t>National Wellbeing Initiatives</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_Toc236583006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7</w:t>
            </w:r>
            <w:r w:rsidRPr="00461BEF">
              <w:rPr>
                <w:rFonts w:ascii="Arial" w:hAnsi="Arial" w:cs="Arial"/>
                <w:noProof/>
                <w:webHidden/>
                <w:sz w:val="22"/>
                <w:szCs w:val="22"/>
              </w:rPr>
              <w:fldChar w:fldCharType="end"/>
            </w:r>
          </w:hyperlink>
        </w:p>
        <w:p w14:paraId="4F81C586" w14:textId="11DF2EE1" w:rsidR="00673E91" w:rsidRPr="00461BEF" w:rsidRDefault="00673E91" w:rsidP="00461BEF">
          <w:pPr>
            <w:pStyle w:val="TOC2"/>
            <w:tabs>
              <w:tab w:val="right" w:leader="dot" w:pos="9350"/>
            </w:tabs>
            <w:spacing w:line="360" w:lineRule="auto"/>
            <w:rPr>
              <w:rFonts w:ascii="Arial" w:eastAsiaTheme="minorEastAsia" w:hAnsi="Arial" w:cs="Arial"/>
              <w:noProof/>
              <w:sz w:val="22"/>
              <w:szCs w:val="22"/>
            </w:rPr>
          </w:pPr>
          <w:hyperlink w:anchor="_Toc236583007" w:history="1">
            <w:r w:rsidRPr="00461BEF">
              <w:rPr>
                <w:rStyle w:val="Hyperlink"/>
                <w:rFonts w:ascii="Arial" w:hAnsi="Arial" w:cs="Arial"/>
                <w:noProof/>
                <w:sz w:val="22"/>
                <w:szCs w:val="22"/>
              </w:rPr>
              <w:t>Evaluation of National Initiatives</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_Toc236583007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7</w:t>
            </w:r>
            <w:r w:rsidRPr="00461BEF">
              <w:rPr>
                <w:rFonts w:ascii="Arial" w:hAnsi="Arial" w:cs="Arial"/>
                <w:noProof/>
                <w:webHidden/>
                <w:sz w:val="22"/>
                <w:szCs w:val="22"/>
              </w:rPr>
              <w:fldChar w:fldCharType="end"/>
            </w:r>
          </w:hyperlink>
        </w:p>
        <w:p w14:paraId="408380A5" w14:textId="004F7246" w:rsidR="00673E91" w:rsidRPr="00461BEF" w:rsidRDefault="00673E91" w:rsidP="00461BEF">
          <w:pPr>
            <w:pStyle w:val="TOC1"/>
            <w:tabs>
              <w:tab w:val="right" w:leader="dot" w:pos="9350"/>
            </w:tabs>
            <w:spacing w:line="360" w:lineRule="auto"/>
            <w:rPr>
              <w:rFonts w:ascii="Arial" w:eastAsiaTheme="minorEastAsia" w:hAnsi="Arial" w:cs="Arial"/>
              <w:noProof/>
              <w:sz w:val="22"/>
              <w:szCs w:val="22"/>
            </w:rPr>
          </w:pPr>
          <w:hyperlink w:anchor="_Toc236583008" w:history="1">
            <w:r w:rsidRPr="00461BEF">
              <w:rPr>
                <w:rStyle w:val="Hyperlink"/>
                <w:rFonts w:ascii="Arial" w:hAnsi="Arial" w:cs="Arial"/>
                <w:noProof/>
                <w:sz w:val="22"/>
                <w:szCs w:val="22"/>
              </w:rPr>
              <w:t>Local Wellbeing Initiatives</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_Toc236583008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9</w:t>
            </w:r>
            <w:r w:rsidRPr="00461BEF">
              <w:rPr>
                <w:rFonts w:ascii="Arial" w:hAnsi="Arial" w:cs="Arial"/>
                <w:noProof/>
                <w:webHidden/>
                <w:sz w:val="22"/>
                <w:szCs w:val="22"/>
              </w:rPr>
              <w:fldChar w:fldCharType="end"/>
            </w:r>
          </w:hyperlink>
        </w:p>
        <w:p w14:paraId="0FEB010D" w14:textId="57B3C30A" w:rsidR="00673E91" w:rsidRPr="00461BEF" w:rsidRDefault="00673E91" w:rsidP="00461BEF">
          <w:pPr>
            <w:pStyle w:val="TOC2"/>
            <w:tabs>
              <w:tab w:val="right" w:leader="dot" w:pos="9350"/>
            </w:tabs>
            <w:spacing w:line="360" w:lineRule="auto"/>
            <w:rPr>
              <w:rFonts w:ascii="Arial" w:eastAsiaTheme="minorEastAsia" w:hAnsi="Arial" w:cs="Arial"/>
              <w:noProof/>
              <w:sz w:val="22"/>
              <w:szCs w:val="22"/>
            </w:rPr>
          </w:pPr>
          <w:hyperlink w:anchor="_Toc236583009" w:history="1">
            <w:r w:rsidRPr="00461BEF">
              <w:rPr>
                <w:rStyle w:val="Hyperlink"/>
                <w:rFonts w:ascii="Arial" w:hAnsi="Arial" w:cs="Arial"/>
                <w:noProof/>
                <w:sz w:val="22"/>
                <w:szCs w:val="22"/>
              </w:rPr>
              <w:t>Evaluation of Local Initiatives</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_Toc236583009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9</w:t>
            </w:r>
            <w:r w:rsidRPr="00461BEF">
              <w:rPr>
                <w:rFonts w:ascii="Arial" w:hAnsi="Arial" w:cs="Arial"/>
                <w:noProof/>
                <w:webHidden/>
                <w:sz w:val="22"/>
                <w:szCs w:val="22"/>
              </w:rPr>
              <w:fldChar w:fldCharType="end"/>
            </w:r>
          </w:hyperlink>
        </w:p>
        <w:p w14:paraId="459411A9" w14:textId="2243DDFE" w:rsidR="00673E91" w:rsidRPr="00461BEF" w:rsidRDefault="00673E91" w:rsidP="00461BEF">
          <w:pPr>
            <w:pStyle w:val="TOC2"/>
            <w:tabs>
              <w:tab w:val="right" w:leader="dot" w:pos="9350"/>
            </w:tabs>
            <w:spacing w:line="360" w:lineRule="auto"/>
            <w:rPr>
              <w:rFonts w:ascii="Arial" w:eastAsiaTheme="minorEastAsia" w:hAnsi="Arial" w:cs="Arial"/>
              <w:noProof/>
              <w:sz w:val="22"/>
              <w:szCs w:val="22"/>
            </w:rPr>
          </w:pPr>
          <w:hyperlink w:anchor="_Toc236583010" w:history="1">
            <w:r w:rsidRPr="00461BEF">
              <w:rPr>
                <w:rStyle w:val="Hyperlink"/>
                <w:rFonts w:ascii="Arial" w:hAnsi="Arial" w:cs="Arial"/>
                <w:noProof/>
                <w:sz w:val="22"/>
                <w:szCs w:val="22"/>
              </w:rPr>
              <w:t>Recommendations for Strengthening Health, Wellbeing and Sustainable Develo</w:t>
            </w:r>
            <w:r w:rsidRPr="00461BEF">
              <w:rPr>
                <w:rStyle w:val="Hyperlink"/>
                <w:rFonts w:ascii="Arial" w:hAnsi="Arial" w:cs="Arial"/>
                <w:noProof/>
                <w:sz w:val="22"/>
                <w:szCs w:val="22"/>
              </w:rPr>
              <w:t>p</w:t>
            </w:r>
            <w:r w:rsidRPr="00461BEF">
              <w:rPr>
                <w:rStyle w:val="Hyperlink"/>
                <w:rFonts w:ascii="Arial" w:hAnsi="Arial" w:cs="Arial"/>
                <w:noProof/>
                <w:sz w:val="22"/>
                <w:szCs w:val="22"/>
              </w:rPr>
              <w:t>ment</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_Toc236583010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10</w:t>
            </w:r>
            <w:r w:rsidRPr="00461BEF">
              <w:rPr>
                <w:rFonts w:ascii="Arial" w:hAnsi="Arial" w:cs="Arial"/>
                <w:noProof/>
                <w:webHidden/>
                <w:sz w:val="22"/>
                <w:szCs w:val="22"/>
              </w:rPr>
              <w:fldChar w:fldCharType="end"/>
            </w:r>
          </w:hyperlink>
        </w:p>
        <w:p w14:paraId="5C76543D" w14:textId="6E05E4FE" w:rsidR="00673E91" w:rsidRPr="00461BEF" w:rsidRDefault="00673E91" w:rsidP="00461BEF">
          <w:pPr>
            <w:pStyle w:val="TOC1"/>
            <w:tabs>
              <w:tab w:val="right" w:leader="dot" w:pos="9350"/>
            </w:tabs>
            <w:spacing w:line="360" w:lineRule="auto"/>
            <w:rPr>
              <w:rFonts w:ascii="Arial" w:eastAsiaTheme="minorEastAsia" w:hAnsi="Arial" w:cs="Arial"/>
              <w:noProof/>
              <w:sz w:val="22"/>
              <w:szCs w:val="22"/>
            </w:rPr>
          </w:pPr>
          <w:hyperlink w:anchor="_Toc236583011" w:history="1">
            <w:r w:rsidRPr="00461BEF">
              <w:rPr>
                <w:rStyle w:val="Hyperlink"/>
                <w:rFonts w:ascii="Arial" w:hAnsi="Arial" w:cs="Arial"/>
                <w:noProof/>
                <w:sz w:val="22"/>
                <w:szCs w:val="22"/>
              </w:rPr>
              <w:t>Conclusion</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_Toc236583011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11</w:t>
            </w:r>
            <w:r w:rsidRPr="00461BEF">
              <w:rPr>
                <w:rFonts w:ascii="Arial" w:hAnsi="Arial" w:cs="Arial"/>
                <w:noProof/>
                <w:webHidden/>
                <w:sz w:val="22"/>
                <w:szCs w:val="22"/>
              </w:rPr>
              <w:fldChar w:fldCharType="end"/>
            </w:r>
          </w:hyperlink>
        </w:p>
        <w:p w14:paraId="428A8BD1" w14:textId="65AFF424" w:rsidR="00673E91" w:rsidRPr="00461BEF" w:rsidRDefault="00673E91" w:rsidP="00461BEF">
          <w:pPr>
            <w:pStyle w:val="TOC1"/>
            <w:tabs>
              <w:tab w:val="right" w:leader="dot" w:pos="9350"/>
            </w:tabs>
            <w:spacing w:line="360" w:lineRule="auto"/>
            <w:rPr>
              <w:rFonts w:ascii="Arial" w:eastAsiaTheme="minorEastAsia" w:hAnsi="Arial" w:cs="Arial"/>
              <w:noProof/>
              <w:sz w:val="22"/>
              <w:szCs w:val="22"/>
            </w:rPr>
          </w:pPr>
          <w:hyperlink w:anchor="_Toc236583012" w:history="1">
            <w:r w:rsidRPr="00461BEF">
              <w:rPr>
                <w:rStyle w:val="Hyperlink"/>
                <w:rFonts w:ascii="Arial" w:hAnsi="Arial" w:cs="Arial"/>
                <w:noProof/>
                <w:sz w:val="22"/>
                <w:szCs w:val="22"/>
              </w:rPr>
              <w:t>References</w:t>
            </w:r>
            <w:r w:rsidRPr="00461BEF">
              <w:rPr>
                <w:rFonts w:ascii="Arial" w:hAnsi="Arial" w:cs="Arial"/>
                <w:noProof/>
                <w:webHidden/>
                <w:sz w:val="22"/>
                <w:szCs w:val="22"/>
              </w:rPr>
              <w:tab/>
            </w:r>
            <w:r w:rsidRPr="00461BEF">
              <w:rPr>
                <w:rFonts w:ascii="Arial" w:hAnsi="Arial" w:cs="Arial"/>
                <w:noProof/>
                <w:webHidden/>
                <w:sz w:val="22"/>
                <w:szCs w:val="22"/>
              </w:rPr>
              <w:fldChar w:fldCharType="begin"/>
            </w:r>
            <w:r w:rsidRPr="00461BEF">
              <w:rPr>
                <w:rFonts w:ascii="Arial" w:hAnsi="Arial" w:cs="Arial"/>
                <w:noProof/>
                <w:webHidden/>
                <w:sz w:val="22"/>
                <w:szCs w:val="22"/>
              </w:rPr>
              <w:instrText xml:space="preserve"> PAGEREF _Toc236583012 \h </w:instrText>
            </w:r>
            <w:r w:rsidRPr="00461BEF">
              <w:rPr>
                <w:rFonts w:ascii="Arial" w:hAnsi="Arial" w:cs="Arial"/>
                <w:noProof/>
                <w:webHidden/>
                <w:sz w:val="22"/>
                <w:szCs w:val="22"/>
              </w:rPr>
            </w:r>
            <w:r w:rsidRPr="00461BEF">
              <w:rPr>
                <w:rFonts w:ascii="Arial" w:hAnsi="Arial" w:cs="Arial"/>
                <w:noProof/>
                <w:webHidden/>
                <w:sz w:val="22"/>
                <w:szCs w:val="22"/>
              </w:rPr>
              <w:fldChar w:fldCharType="separate"/>
            </w:r>
            <w:r w:rsidRPr="00461BEF">
              <w:rPr>
                <w:rFonts w:ascii="Arial" w:hAnsi="Arial" w:cs="Arial"/>
                <w:noProof/>
                <w:webHidden/>
                <w:sz w:val="22"/>
                <w:szCs w:val="22"/>
              </w:rPr>
              <w:t>12</w:t>
            </w:r>
            <w:r w:rsidRPr="00461BEF">
              <w:rPr>
                <w:rFonts w:ascii="Arial" w:hAnsi="Arial" w:cs="Arial"/>
                <w:noProof/>
                <w:webHidden/>
                <w:sz w:val="22"/>
                <w:szCs w:val="22"/>
              </w:rPr>
              <w:fldChar w:fldCharType="end"/>
            </w:r>
          </w:hyperlink>
        </w:p>
        <w:p w14:paraId="4BE6D7A8" w14:textId="58229ABB" w:rsidR="00C9633E" w:rsidRPr="00461BEF" w:rsidRDefault="00C9633E" w:rsidP="00461BEF">
          <w:pPr>
            <w:spacing w:after="0" w:line="360" w:lineRule="auto"/>
            <w:contextualSpacing/>
            <w:rPr>
              <w:rFonts w:ascii="Arial" w:hAnsi="Arial" w:cs="Arial"/>
              <w:sz w:val="22"/>
              <w:szCs w:val="22"/>
            </w:rPr>
          </w:pPr>
          <w:r w:rsidRPr="00461BEF">
            <w:rPr>
              <w:rFonts w:ascii="Arial" w:hAnsi="Arial" w:cs="Arial"/>
              <w:b/>
              <w:bCs/>
              <w:noProof/>
              <w:sz w:val="22"/>
              <w:szCs w:val="22"/>
            </w:rPr>
            <w:fldChar w:fldCharType="end"/>
          </w:r>
        </w:p>
      </w:sdtContent>
    </w:sdt>
    <w:p w14:paraId="146E06E0" w14:textId="77777777" w:rsidR="00C9633E" w:rsidRPr="00461BEF" w:rsidRDefault="00C9633E" w:rsidP="00461BEF">
      <w:pPr>
        <w:spacing w:line="360" w:lineRule="auto"/>
        <w:rPr>
          <w:rFonts w:ascii="Arial" w:hAnsi="Arial" w:cs="Arial"/>
          <w:sz w:val="22"/>
          <w:szCs w:val="22"/>
        </w:rPr>
      </w:pPr>
      <w:r w:rsidRPr="00461BEF">
        <w:rPr>
          <w:rFonts w:ascii="Arial" w:hAnsi="Arial" w:cs="Arial"/>
          <w:sz w:val="22"/>
          <w:szCs w:val="22"/>
        </w:rPr>
        <w:br w:type="page"/>
      </w:r>
    </w:p>
    <w:p w14:paraId="00D81991" w14:textId="1AB7B380" w:rsidR="00C9633E" w:rsidRPr="00461BEF" w:rsidRDefault="00C9633E" w:rsidP="00461BEF">
      <w:pPr>
        <w:spacing w:after="0" w:line="360" w:lineRule="auto"/>
        <w:contextualSpacing/>
        <w:jc w:val="center"/>
        <w:rPr>
          <w:rFonts w:ascii="Arial" w:hAnsi="Arial" w:cs="Arial"/>
          <w:sz w:val="22"/>
          <w:szCs w:val="22"/>
        </w:rPr>
      </w:pPr>
      <w:r w:rsidRPr="00461BEF">
        <w:rPr>
          <w:rFonts w:ascii="Arial" w:hAnsi="Arial" w:cs="Arial"/>
          <w:sz w:val="22"/>
          <w:szCs w:val="22"/>
        </w:rPr>
        <w:lastRenderedPageBreak/>
        <w:t>Health, Wellbeing and Sustainable Development</w:t>
      </w:r>
    </w:p>
    <w:p w14:paraId="01C11588" w14:textId="4E6481E5" w:rsidR="007336DA" w:rsidRPr="00461BEF" w:rsidRDefault="007336DA" w:rsidP="00461BEF">
      <w:pPr>
        <w:pStyle w:val="Heading1"/>
        <w:spacing w:before="0" w:after="0" w:line="360" w:lineRule="auto"/>
        <w:contextualSpacing/>
        <w:rPr>
          <w:rFonts w:ascii="Arial" w:hAnsi="Arial" w:cs="Arial"/>
          <w:i w:val="0"/>
          <w:iCs w:val="0"/>
          <w:sz w:val="22"/>
          <w:szCs w:val="22"/>
        </w:rPr>
      </w:pPr>
      <w:bookmarkStart w:id="0" w:name="_Toc236582999"/>
      <w:r w:rsidRPr="00461BEF">
        <w:rPr>
          <w:rFonts w:ascii="Arial" w:hAnsi="Arial" w:cs="Arial"/>
          <w:i w:val="0"/>
          <w:iCs w:val="0"/>
          <w:sz w:val="22"/>
          <w:szCs w:val="22"/>
        </w:rPr>
        <w:t>Introduction</w:t>
      </w:r>
      <w:bookmarkEnd w:id="0"/>
      <w:r w:rsidRPr="00461BEF">
        <w:rPr>
          <w:rFonts w:ascii="Arial" w:hAnsi="Arial" w:cs="Arial"/>
          <w:i w:val="0"/>
          <w:iCs w:val="0"/>
          <w:sz w:val="22"/>
          <w:szCs w:val="22"/>
        </w:rPr>
        <w:t xml:space="preserve"> </w:t>
      </w:r>
    </w:p>
    <w:p w14:paraId="2E710AC9" w14:textId="77777777"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The United Nations Sustainable Development Goals (SDGs) are an international set of ground-breaking objectives, established to help improve social, economic and environmental conditions and move towards sustainable development. This report highlights Sustainable Development Goal (SDG) 3 (Good Health and Well-being) and SDG 10 (Reduced Inequalities) and considers critically the potential of these goals to contribute to citizens' health and wellbeing. Throughout the presentation, using real-life </w:t>
      </w:r>
      <w:proofErr w:type="gramStart"/>
      <w:r w:rsidRPr="00461BEF">
        <w:rPr>
          <w:rFonts w:ascii="Arial" w:hAnsi="Arial" w:cs="Arial"/>
          <w:sz w:val="22"/>
          <w:szCs w:val="22"/>
        </w:rPr>
        <w:t>scenarios,</w:t>
      </w:r>
      <w:proofErr w:type="gramEnd"/>
      <w:r w:rsidRPr="00461BEF">
        <w:rPr>
          <w:rFonts w:ascii="Arial" w:hAnsi="Arial" w:cs="Arial"/>
          <w:sz w:val="22"/>
          <w:szCs w:val="22"/>
        </w:rPr>
        <w:t xml:space="preserve"> has reinforced how these goals influence healthcare policy, the health of populations and sustainable development on a global, national and local level.</w:t>
      </w:r>
    </w:p>
    <w:p w14:paraId="0C57DA9A" w14:textId="77777777" w:rsidR="00C9633E" w:rsidRPr="00461BEF" w:rsidRDefault="00C9633E" w:rsidP="00461BEF">
      <w:pPr>
        <w:spacing w:after="0" w:line="360" w:lineRule="auto"/>
        <w:ind w:firstLine="720"/>
        <w:contextualSpacing/>
        <w:rPr>
          <w:rFonts w:ascii="Arial" w:hAnsi="Arial" w:cs="Arial"/>
          <w:b/>
          <w:bCs/>
          <w:sz w:val="22"/>
          <w:szCs w:val="22"/>
        </w:rPr>
      </w:pPr>
    </w:p>
    <w:p w14:paraId="746591E1" w14:textId="2169F707" w:rsidR="007336DA" w:rsidRPr="00461BEF" w:rsidRDefault="007336DA" w:rsidP="00461BEF">
      <w:pPr>
        <w:pStyle w:val="Heading1"/>
        <w:spacing w:before="0" w:after="0" w:line="360" w:lineRule="auto"/>
        <w:contextualSpacing/>
        <w:rPr>
          <w:rFonts w:ascii="Arial" w:hAnsi="Arial" w:cs="Arial"/>
          <w:i w:val="0"/>
          <w:iCs w:val="0"/>
          <w:sz w:val="22"/>
          <w:szCs w:val="22"/>
        </w:rPr>
      </w:pPr>
      <w:bookmarkStart w:id="1" w:name="_Toc236583000"/>
      <w:r w:rsidRPr="00461BEF">
        <w:rPr>
          <w:rFonts w:ascii="Arial" w:hAnsi="Arial" w:cs="Arial"/>
          <w:i w:val="0"/>
          <w:iCs w:val="0"/>
          <w:sz w:val="22"/>
          <w:szCs w:val="22"/>
        </w:rPr>
        <w:t>Sustainable Development Goal 3: Good Health and Well-being</w:t>
      </w:r>
      <w:bookmarkEnd w:id="1"/>
    </w:p>
    <w:p w14:paraId="779A684F" w14:textId="77777777" w:rsidR="007336DA" w:rsidRPr="00461BEF" w:rsidRDefault="007336DA" w:rsidP="00461BEF">
      <w:pPr>
        <w:pStyle w:val="Heading2"/>
        <w:spacing w:before="0" w:after="0" w:line="360" w:lineRule="auto"/>
        <w:contextualSpacing/>
        <w:rPr>
          <w:rFonts w:ascii="Arial" w:hAnsi="Arial" w:cs="Arial"/>
          <w:b/>
          <w:bCs/>
          <w:i w:val="0"/>
          <w:iCs w:val="0"/>
          <w:sz w:val="22"/>
          <w:szCs w:val="22"/>
        </w:rPr>
      </w:pPr>
      <w:bookmarkStart w:id="2" w:name="_Toc236583001"/>
      <w:r w:rsidRPr="00461BEF">
        <w:rPr>
          <w:rFonts w:ascii="Arial" w:hAnsi="Arial" w:cs="Arial"/>
          <w:b/>
          <w:bCs/>
          <w:i w:val="0"/>
          <w:iCs w:val="0"/>
          <w:sz w:val="22"/>
          <w:szCs w:val="22"/>
        </w:rPr>
        <w:t>Overview of SDG 3</w:t>
      </w:r>
      <w:bookmarkEnd w:id="2"/>
    </w:p>
    <w:p w14:paraId="08D0547D" w14:textId="243AC9AD"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SDG 3 is related to healthy lives and wellbeing at all ages. The goal is not just to treat disease, but to make sure </w:t>
      </w:r>
      <w:r w:rsidR="002D7691" w:rsidRPr="00461BEF">
        <w:rPr>
          <w:rFonts w:ascii="Arial" w:hAnsi="Arial" w:cs="Arial"/>
          <w:sz w:val="22"/>
          <w:szCs w:val="22"/>
        </w:rPr>
        <w:t>people are not denied access to essential healthcare services</w:t>
      </w:r>
      <w:r w:rsidRPr="00461BEF">
        <w:rPr>
          <w:rFonts w:ascii="Arial" w:hAnsi="Arial" w:cs="Arial"/>
          <w:sz w:val="22"/>
          <w:szCs w:val="22"/>
        </w:rPr>
        <w:t xml:space="preserve"> because they have very low incomes, have access to maternal and child Health system, mental health, vaccines and </w:t>
      </w:r>
      <w:r w:rsidR="002D7691" w:rsidRPr="00461BEF">
        <w:rPr>
          <w:rFonts w:ascii="Arial" w:hAnsi="Arial" w:cs="Arial"/>
          <w:sz w:val="22"/>
          <w:szCs w:val="22"/>
        </w:rPr>
        <w:t>can access affordable essential medicines</w:t>
      </w:r>
      <w:r w:rsidRPr="00461BEF">
        <w:rPr>
          <w:rFonts w:ascii="Arial" w:hAnsi="Arial" w:cs="Arial"/>
          <w:sz w:val="22"/>
          <w:szCs w:val="22"/>
        </w:rPr>
        <w:t xml:space="preserve">, (Hales and </w:t>
      </w:r>
      <w:proofErr w:type="spellStart"/>
      <w:r w:rsidRPr="00461BEF">
        <w:rPr>
          <w:rFonts w:ascii="Arial" w:hAnsi="Arial" w:cs="Arial"/>
          <w:sz w:val="22"/>
          <w:szCs w:val="22"/>
        </w:rPr>
        <w:t>Birdthistle</w:t>
      </w:r>
      <w:proofErr w:type="spellEnd"/>
      <w:r w:rsidRPr="00461BEF">
        <w:rPr>
          <w:rFonts w:ascii="Arial" w:hAnsi="Arial" w:cs="Arial"/>
          <w:sz w:val="22"/>
          <w:szCs w:val="22"/>
        </w:rPr>
        <w:t xml:space="preserve">, 2023). Recognizes a healthy population as an essential component of sustainable development; knows that people's health contributes to the development of more sustainable economies, societies and quality of life. The SDGs also need measurable indicators for tracking progress over time, as noted by </w:t>
      </w:r>
      <w:proofErr w:type="spellStart"/>
      <w:r w:rsidRPr="00461BEF">
        <w:rPr>
          <w:rFonts w:ascii="Arial" w:hAnsi="Arial" w:cs="Arial"/>
          <w:sz w:val="22"/>
          <w:szCs w:val="22"/>
        </w:rPr>
        <w:t>Hák</w:t>
      </w:r>
      <w:proofErr w:type="spellEnd"/>
      <w:r w:rsidRPr="00461BEF">
        <w:rPr>
          <w:rFonts w:ascii="Arial" w:hAnsi="Arial" w:cs="Arial"/>
          <w:sz w:val="22"/>
          <w:szCs w:val="22"/>
        </w:rPr>
        <w:t xml:space="preserve"> et al. (2016), and a number of the SDGs can only be achieved through coordinated action across multiple sectors; SDG 3 is no exception as health outcomes are dependent upon intersectoral action, as argued by Stafford-Smith et al. (2017). Similarly, SDG 3 has strong connections with many other SDGs, and the potential for integration in policy implementation, as suggested by Fonseca, Domingues and Dima (2020).</w:t>
      </w:r>
    </w:p>
    <w:p w14:paraId="5DFD6A24" w14:textId="77777777" w:rsidR="00C9633E" w:rsidRPr="00461BEF" w:rsidRDefault="00C9633E" w:rsidP="00461BEF">
      <w:pPr>
        <w:spacing w:after="0" w:line="360" w:lineRule="auto"/>
        <w:ind w:firstLine="720"/>
        <w:contextualSpacing/>
        <w:rPr>
          <w:rFonts w:ascii="Arial" w:hAnsi="Arial" w:cs="Arial"/>
          <w:b/>
          <w:bCs/>
          <w:sz w:val="22"/>
          <w:szCs w:val="22"/>
        </w:rPr>
      </w:pPr>
    </w:p>
    <w:p w14:paraId="21C35841" w14:textId="01A3ED39" w:rsidR="007336DA" w:rsidRPr="00461BEF" w:rsidRDefault="007336DA" w:rsidP="00461BEF">
      <w:pPr>
        <w:pStyle w:val="Heading2"/>
        <w:spacing w:before="0" w:after="0" w:line="360" w:lineRule="auto"/>
        <w:contextualSpacing/>
        <w:rPr>
          <w:rFonts w:ascii="Arial" w:hAnsi="Arial" w:cs="Arial"/>
          <w:b/>
          <w:bCs/>
          <w:i w:val="0"/>
          <w:iCs w:val="0"/>
          <w:sz w:val="22"/>
          <w:szCs w:val="22"/>
        </w:rPr>
      </w:pPr>
      <w:bookmarkStart w:id="3" w:name="_Toc236583002"/>
      <w:r w:rsidRPr="00461BEF">
        <w:rPr>
          <w:rFonts w:ascii="Arial" w:hAnsi="Arial" w:cs="Arial"/>
          <w:b/>
          <w:bCs/>
          <w:i w:val="0"/>
          <w:iCs w:val="0"/>
          <w:sz w:val="22"/>
          <w:szCs w:val="22"/>
        </w:rPr>
        <w:t>Impact of SDG 3 on the Health and Wellbeing of Citizens</w:t>
      </w:r>
      <w:bookmarkEnd w:id="3"/>
    </w:p>
    <w:p w14:paraId="184F8711" w14:textId="1E8E8239"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In cases where citizens' wellbeing–physical, mental and social–is directly connected to health systems and access to essential health services, SDG3 directly affects the physical, mental and social wellbeing of citizens. Absolutely, the citizens of UK have free healthcare no matter what financial status they are in. It is aligned with the SDG 3 agenda that aims at reducing preventable deaths, improved management of diseases, and equitable access to health care services.</w:t>
      </w:r>
      <w:r w:rsidR="002D7691" w:rsidRPr="00461BEF">
        <w:rPr>
          <w:rFonts w:ascii="Arial" w:hAnsi="Arial" w:cs="Arial"/>
          <w:sz w:val="22"/>
          <w:szCs w:val="22"/>
        </w:rPr>
        <w:t xml:space="preserve"> According to the Office for National Statistics (2024), healthy life expectancy in England remains approximately 61.5 years for males and 61.9 years for females, </w:t>
      </w:r>
      <w:r w:rsidR="002D7691" w:rsidRPr="00461BEF">
        <w:rPr>
          <w:rFonts w:ascii="Arial" w:hAnsi="Arial" w:cs="Arial"/>
          <w:sz w:val="22"/>
          <w:szCs w:val="22"/>
        </w:rPr>
        <w:lastRenderedPageBreak/>
        <w:t>demonstrating that many people spend almost two decades living with poor health. This highlights why SDG 3 continues to be a major public health priority.</w:t>
      </w:r>
    </w:p>
    <w:p w14:paraId="3DFD4AF4" w14:textId="31EAEAEB"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An example of another practical application would be the global COVD-19 vaccination </w:t>
      </w:r>
      <w:r w:rsidR="009C322F" w:rsidRPr="00461BEF">
        <w:rPr>
          <w:rFonts w:ascii="Arial" w:hAnsi="Arial" w:cs="Arial"/>
          <w:sz w:val="22"/>
          <w:szCs w:val="22"/>
        </w:rPr>
        <w:t>programmers</w:t>
      </w:r>
      <w:r w:rsidRPr="00461BEF">
        <w:rPr>
          <w:rFonts w:ascii="Arial" w:hAnsi="Arial" w:cs="Arial"/>
          <w:sz w:val="22"/>
          <w:szCs w:val="22"/>
        </w:rPr>
        <w:t xml:space="preserve">, where there was a cooperation between governments, international </w:t>
      </w:r>
      <w:r w:rsidR="009C322F" w:rsidRPr="00461BEF">
        <w:rPr>
          <w:rFonts w:ascii="Arial" w:hAnsi="Arial" w:cs="Arial"/>
          <w:sz w:val="22"/>
          <w:szCs w:val="22"/>
        </w:rPr>
        <w:t>organizations</w:t>
      </w:r>
      <w:r w:rsidRPr="00461BEF">
        <w:rPr>
          <w:rFonts w:ascii="Arial" w:hAnsi="Arial" w:cs="Arial"/>
          <w:sz w:val="22"/>
          <w:szCs w:val="22"/>
        </w:rPr>
        <w:t xml:space="preserve"> and so on to ensure that vaccines were being distributed across the </w:t>
      </w:r>
      <w:proofErr w:type="gramStart"/>
      <w:r w:rsidRPr="00461BEF">
        <w:rPr>
          <w:rFonts w:ascii="Arial" w:hAnsi="Arial" w:cs="Arial"/>
          <w:sz w:val="22"/>
          <w:szCs w:val="22"/>
        </w:rPr>
        <w:t>world, and</w:t>
      </w:r>
      <w:proofErr w:type="gramEnd"/>
      <w:r w:rsidRPr="00461BEF">
        <w:rPr>
          <w:rFonts w:ascii="Arial" w:hAnsi="Arial" w:cs="Arial"/>
          <w:sz w:val="22"/>
          <w:szCs w:val="22"/>
        </w:rPr>
        <w:t xml:space="preserve"> reduces the number of severe people and deaths from this virus. They emphasized the importance of resilient health care systems, disease monitoring and global partnership for safeguarding public health. Likewise, childhood </w:t>
      </w:r>
      <w:r w:rsidR="009C322F" w:rsidRPr="00461BEF">
        <w:rPr>
          <w:rFonts w:ascii="Arial" w:hAnsi="Arial" w:cs="Arial"/>
          <w:sz w:val="22"/>
          <w:szCs w:val="22"/>
        </w:rPr>
        <w:t>immunization</w:t>
      </w:r>
      <w:r w:rsidRPr="00461BEF">
        <w:rPr>
          <w:rFonts w:ascii="Arial" w:hAnsi="Arial" w:cs="Arial"/>
          <w:sz w:val="22"/>
          <w:szCs w:val="22"/>
        </w:rPr>
        <w:t xml:space="preserve"> </w:t>
      </w:r>
      <w:r w:rsidR="009C322F" w:rsidRPr="00461BEF">
        <w:rPr>
          <w:rFonts w:ascii="Arial" w:hAnsi="Arial" w:cs="Arial"/>
          <w:sz w:val="22"/>
          <w:szCs w:val="22"/>
        </w:rPr>
        <w:t>programmers</w:t>
      </w:r>
      <w:r w:rsidRPr="00461BEF">
        <w:rPr>
          <w:rFonts w:ascii="Arial" w:hAnsi="Arial" w:cs="Arial"/>
          <w:sz w:val="22"/>
          <w:szCs w:val="22"/>
        </w:rPr>
        <w:t xml:space="preserve"> in the country continue to be effective at helping to reduce the frequency of illnesses such as measles and polio, continuing to demonstrate the potential of social good arising from preventive health gains in the long-term (Venkatesh, 2022).</w:t>
      </w:r>
    </w:p>
    <w:p w14:paraId="393139D3" w14:textId="5FC66213" w:rsidR="00C9633E" w:rsidRPr="00461BEF" w:rsidRDefault="002D7691"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While it acknowledges mental health as an integral component within the overarching concept of wellbeing, SDG 3 can be challenging to meet due to existing mental health system gaps including disproportionate distribution of and insufficient access to mental health services throughout the world, and a lack of worker availability. However, while policy commitments are essential, so is investing and implementing SDG 3 for it to be effective. </w:t>
      </w:r>
      <w:r w:rsidR="00C9633E" w:rsidRPr="00461BEF">
        <w:rPr>
          <w:rFonts w:ascii="Arial" w:hAnsi="Arial" w:cs="Arial"/>
          <w:sz w:val="22"/>
          <w:szCs w:val="22"/>
        </w:rPr>
        <w:t xml:space="preserve">For instance, community support in mental health resources and/or crisis responses help people with anxiety, depression or mental health concerns are supported sooner, which in turn reduces hospital admissions, and </w:t>
      </w:r>
      <w:proofErr w:type="spellStart"/>
      <w:r w:rsidR="00C9633E" w:rsidRPr="00461BEF">
        <w:rPr>
          <w:rFonts w:ascii="Arial" w:hAnsi="Arial" w:cs="Arial"/>
          <w:sz w:val="22"/>
          <w:szCs w:val="22"/>
        </w:rPr>
        <w:t>optimises</w:t>
      </w:r>
      <w:proofErr w:type="spellEnd"/>
      <w:r w:rsidR="00C9633E" w:rsidRPr="00461BEF">
        <w:rPr>
          <w:rFonts w:ascii="Arial" w:hAnsi="Arial" w:cs="Arial"/>
          <w:sz w:val="22"/>
          <w:szCs w:val="22"/>
        </w:rPr>
        <w:t xml:space="preserve"> their overall well-being (Hales &amp; </w:t>
      </w:r>
      <w:proofErr w:type="spellStart"/>
      <w:r w:rsidR="00C9633E" w:rsidRPr="00461BEF">
        <w:rPr>
          <w:rFonts w:ascii="Arial" w:hAnsi="Arial" w:cs="Arial"/>
          <w:sz w:val="22"/>
          <w:szCs w:val="22"/>
        </w:rPr>
        <w:t>Birdthistle</w:t>
      </w:r>
      <w:proofErr w:type="spellEnd"/>
      <w:r w:rsidR="00C9633E" w:rsidRPr="00461BEF">
        <w:rPr>
          <w:rFonts w:ascii="Arial" w:hAnsi="Arial" w:cs="Arial"/>
          <w:sz w:val="22"/>
          <w:szCs w:val="22"/>
        </w:rPr>
        <w:t>, 2023).</w:t>
      </w:r>
    </w:p>
    <w:p w14:paraId="75B2A24D" w14:textId="574869AC" w:rsidR="007336DA"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However, despite these achievements, there is considerable scope for improvements in implementation across different countries in areas such as resource generation (increased financial support), and shortages of health personnel, access to quality health services. While impressive strides have been made since SDGs were adopted, indeed, there remain significant hurdles to promoting health equity, (Mishra et al., 2024). To meet SDG 3 there needs to be continued investment, effective governance and effective integrated policymaking to ensure </w:t>
      </w:r>
      <w:proofErr w:type="gramStart"/>
      <w:r w:rsidRPr="00461BEF">
        <w:rPr>
          <w:rFonts w:ascii="Arial" w:hAnsi="Arial" w:cs="Arial"/>
          <w:sz w:val="22"/>
          <w:szCs w:val="22"/>
        </w:rPr>
        <w:t>a better</w:t>
      </w:r>
      <w:proofErr w:type="gramEnd"/>
      <w:r w:rsidRPr="00461BEF">
        <w:rPr>
          <w:rFonts w:ascii="Arial" w:hAnsi="Arial" w:cs="Arial"/>
          <w:sz w:val="22"/>
          <w:szCs w:val="22"/>
        </w:rPr>
        <w:t xml:space="preserve"> health and wellbeing for all citizens</w:t>
      </w:r>
      <w:r w:rsidR="007336DA" w:rsidRPr="00461BEF">
        <w:rPr>
          <w:rFonts w:ascii="Arial" w:hAnsi="Arial" w:cs="Arial"/>
          <w:sz w:val="22"/>
          <w:szCs w:val="22"/>
        </w:rPr>
        <w:t>.</w:t>
      </w:r>
    </w:p>
    <w:p w14:paraId="21864ECB" w14:textId="77777777" w:rsidR="00C9633E" w:rsidRPr="00461BEF" w:rsidRDefault="00C9633E" w:rsidP="00461BEF">
      <w:pPr>
        <w:spacing w:after="0" w:line="360" w:lineRule="auto"/>
        <w:ind w:firstLine="720"/>
        <w:contextualSpacing/>
        <w:rPr>
          <w:rFonts w:ascii="Arial" w:hAnsi="Arial" w:cs="Arial"/>
          <w:sz w:val="22"/>
          <w:szCs w:val="22"/>
        </w:rPr>
      </w:pPr>
    </w:p>
    <w:p w14:paraId="610953FD" w14:textId="554994A6" w:rsidR="007336DA" w:rsidRPr="00461BEF" w:rsidRDefault="007336DA" w:rsidP="00461BEF">
      <w:pPr>
        <w:pStyle w:val="Heading1"/>
        <w:spacing w:before="0" w:after="0" w:line="360" w:lineRule="auto"/>
        <w:contextualSpacing/>
        <w:rPr>
          <w:rFonts w:ascii="Arial" w:hAnsi="Arial" w:cs="Arial"/>
          <w:i w:val="0"/>
          <w:iCs w:val="0"/>
          <w:sz w:val="22"/>
          <w:szCs w:val="22"/>
        </w:rPr>
      </w:pPr>
      <w:bookmarkStart w:id="4" w:name="_Toc236583003"/>
      <w:r w:rsidRPr="00461BEF">
        <w:rPr>
          <w:rFonts w:ascii="Arial" w:hAnsi="Arial" w:cs="Arial"/>
          <w:i w:val="0"/>
          <w:iCs w:val="0"/>
          <w:sz w:val="22"/>
          <w:szCs w:val="22"/>
        </w:rPr>
        <w:t>Sustainable Development Goal 10: Reduced Inequalities</w:t>
      </w:r>
      <w:bookmarkEnd w:id="4"/>
      <w:r w:rsidRPr="00461BEF">
        <w:rPr>
          <w:rFonts w:ascii="Arial" w:hAnsi="Arial" w:cs="Arial"/>
          <w:i w:val="0"/>
          <w:iCs w:val="0"/>
          <w:sz w:val="22"/>
          <w:szCs w:val="22"/>
        </w:rPr>
        <w:t xml:space="preserve"> </w:t>
      </w:r>
    </w:p>
    <w:p w14:paraId="3DE80007" w14:textId="77777777" w:rsidR="007336DA" w:rsidRPr="00461BEF" w:rsidRDefault="007336DA" w:rsidP="00461BEF">
      <w:pPr>
        <w:pStyle w:val="Heading2"/>
        <w:spacing w:before="0" w:after="0" w:line="360" w:lineRule="auto"/>
        <w:contextualSpacing/>
        <w:rPr>
          <w:rFonts w:ascii="Arial" w:hAnsi="Arial" w:cs="Arial"/>
          <w:b/>
          <w:bCs/>
          <w:i w:val="0"/>
          <w:iCs w:val="0"/>
          <w:sz w:val="22"/>
          <w:szCs w:val="22"/>
        </w:rPr>
      </w:pPr>
      <w:bookmarkStart w:id="5" w:name="_Toc236583004"/>
      <w:r w:rsidRPr="00461BEF">
        <w:rPr>
          <w:rFonts w:ascii="Arial" w:hAnsi="Arial" w:cs="Arial"/>
          <w:b/>
          <w:bCs/>
          <w:i w:val="0"/>
          <w:iCs w:val="0"/>
          <w:sz w:val="22"/>
          <w:szCs w:val="22"/>
        </w:rPr>
        <w:t>Overview of SDG 10</w:t>
      </w:r>
      <w:bookmarkEnd w:id="5"/>
    </w:p>
    <w:p w14:paraId="742A3EFE" w14:textId="16CDA9C5"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SDG 10 focuses on equality and promotes equality for all citizens in and amongst countries regarding access to services, opportunities and resources; it aims to eliminate all forms of discrimination, inequalities and poverty in all their forms. It aims to reduce discrimination, increase income equality, raise social protection framework and ensure equality of access and the right to education, healthcare and </w:t>
      </w:r>
      <w:proofErr w:type="spellStart"/>
      <w:r w:rsidRPr="00461BEF">
        <w:rPr>
          <w:rFonts w:ascii="Arial" w:hAnsi="Arial" w:cs="Arial"/>
          <w:sz w:val="22"/>
          <w:szCs w:val="22"/>
        </w:rPr>
        <w:t>labour</w:t>
      </w:r>
      <w:proofErr w:type="spellEnd"/>
      <w:r w:rsidRPr="00461BEF">
        <w:rPr>
          <w:rFonts w:ascii="Arial" w:hAnsi="Arial" w:cs="Arial"/>
          <w:sz w:val="22"/>
          <w:szCs w:val="22"/>
        </w:rPr>
        <w:t xml:space="preserve"> for all, regardless of their disability </w:t>
      </w:r>
      <w:r w:rsidRPr="00461BEF">
        <w:rPr>
          <w:rFonts w:ascii="Arial" w:hAnsi="Arial" w:cs="Arial"/>
          <w:sz w:val="22"/>
          <w:szCs w:val="22"/>
        </w:rPr>
        <w:lastRenderedPageBreak/>
        <w:t>or ethnic, gender and socio-economic status (Lorenzo, 2022). SDG 10 considers that inequalities that persist would undermine sustainable development as it might lead to disparity in health, educational outcomes and access to services for those groups that are made up of the most vulnerable segments of society.</w:t>
      </w:r>
      <w:r w:rsidR="002D7691" w:rsidRPr="00461BEF">
        <w:rPr>
          <w:rFonts w:ascii="Arial" w:hAnsi="Arial" w:cs="Arial"/>
          <w:sz w:val="22"/>
          <w:szCs w:val="22"/>
        </w:rPr>
        <w:t xml:space="preserve"> The Marmot Review (2020) reported that people living in the most deprived areas of England experience significantly lower life expectancy and healthy life expectancy than those living in the least deprived areas, demonstrating that socioeconomic inequality remains a major determinant of health.</w:t>
      </w:r>
    </w:p>
    <w:p w14:paraId="64991692" w14:textId="3924AAD2" w:rsidR="007336DA"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National and international policies and agreements are needed to tackle structural causes of inequality for the implementation of SDG 10. The measures put in place to tackle inequalities can contribute to building the social cohesion and inclusive economic </w:t>
      </w:r>
      <w:proofErr w:type="gramStart"/>
      <w:r w:rsidRPr="00461BEF">
        <w:rPr>
          <w:rFonts w:ascii="Arial" w:hAnsi="Arial" w:cs="Arial"/>
          <w:sz w:val="22"/>
          <w:szCs w:val="22"/>
        </w:rPr>
        <w:t>growth, and</w:t>
      </w:r>
      <w:proofErr w:type="gramEnd"/>
      <w:r w:rsidRPr="00461BEF">
        <w:rPr>
          <w:rFonts w:ascii="Arial" w:hAnsi="Arial" w:cs="Arial"/>
          <w:sz w:val="22"/>
          <w:szCs w:val="22"/>
        </w:rPr>
        <w:t xml:space="preserve"> eradicating deeply entrenched disparities in the field of socioeconomic justice are among the biggest challenges in the global SDG agenda, as indicated by </w:t>
      </w:r>
      <w:proofErr w:type="spellStart"/>
      <w:r w:rsidRPr="00461BEF">
        <w:rPr>
          <w:rFonts w:ascii="Arial" w:hAnsi="Arial" w:cs="Arial"/>
          <w:sz w:val="22"/>
          <w:szCs w:val="22"/>
        </w:rPr>
        <w:t>Küfeoğlu</w:t>
      </w:r>
      <w:proofErr w:type="spellEnd"/>
      <w:r w:rsidRPr="00461BEF">
        <w:rPr>
          <w:rFonts w:ascii="Arial" w:hAnsi="Arial" w:cs="Arial"/>
          <w:sz w:val="22"/>
          <w:szCs w:val="22"/>
        </w:rPr>
        <w:t xml:space="preserve"> (2022) and Bhandari (2024). In addition, Biermann et al. (2022) argue that political commitment and evidence-based </w:t>
      </w:r>
      <w:proofErr w:type="gramStart"/>
      <w:r w:rsidRPr="00461BEF">
        <w:rPr>
          <w:rFonts w:ascii="Arial" w:hAnsi="Arial" w:cs="Arial"/>
          <w:sz w:val="22"/>
          <w:szCs w:val="22"/>
        </w:rPr>
        <w:t>policy-making</w:t>
      </w:r>
      <w:proofErr w:type="gramEnd"/>
      <w:r w:rsidRPr="00461BEF">
        <w:rPr>
          <w:rFonts w:ascii="Arial" w:hAnsi="Arial" w:cs="Arial"/>
          <w:sz w:val="22"/>
          <w:szCs w:val="22"/>
        </w:rPr>
        <w:t xml:space="preserve"> are crucial to making real progress on inequalities</w:t>
      </w:r>
      <w:r w:rsidR="007336DA" w:rsidRPr="00461BEF">
        <w:rPr>
          <w:rFonts w:ascii="Arial" w:hAnsi="Arial" w:cs="Arial"/>
          <w:sz w:val="22"/>
          <w:szCs w:val="22"/>
        </w:rPr>
        <w:t>.</w:t>
      </w:r>
    </w:p>
    <w:p w14:paraId="6A9533EE" w14:textId="77777777" w:rsidR="00C9633E" w:rsidRPr="00461BEF" w:rsidRDefault="00C9633E" w:rsidP="00461BEF">
      <w:pPr>
        <w:spacing w:after="0" w:line="360" w:lineRule="auto"/>
        <w:ind w:firstLine="720"/>
        <w:contextualSpacing/>
        <w:rPr>
          <w:rFonts w:ascii="Arial" w:hAnsi="Arial" w:cs="Arial"/>
          <w:b/>
          <w:bCs/>
          <w:sz w:val="22"/>
          <w:szCs w:val="22"/>
        </w:rPr>
      </w:pPr>
    </w:p>
    <w:p w14:paraId="6003CAEF" w14:textId="77777777" w:rsidR="007336DA" w:rsidRPr="00461BEF" w:rsidRDefault="007336DA" w:rsidP="00461BEF">
      <w:pPr>
        <w:pStyle w:val="Heading2"/>
        <w:spacing w:before="0" w:after="0" w:line="360" w:lineRule="auto"/>
        <w:contextualSpacing/>
        <w:rPr>
          <w:rFonts w:ascii="Arial" w:hAnsi="Arial" w:cs="Arial"/>
          <w:b/>
          <w:bCs/>
          <w:i w:val="0"/>
          <w:iCs w:val="0"/>
          <w:sz w:val="22"/>
          <w:szCs w:val="22"/>
        </w:rPr>
      </w:pPr>
      <w:bookmarkStart w:id="6" w:name="_Toc236583005"/>
      <w:r w:rsidRPr="00461BEF">
        <w:rPr>
          <w:rFonts w:ascii="Arial" w:hAnsi="Arial" w:cs="Arial"/>
          <w:b/>
          <w:bCs/>
          <w:i w:val="0"/>
          <w:iCs w:val="0"/>
          <w:sz w:val="22"/>
          <w:szCs w:val="22"/>
        </w:rPr>
        <w:t>Impact of SDG 10 on the Health and Wellbeing of Citizens</w:t>
      </w:r>
      <w:bookmarkEnd w:id="6"/>
    </w:p>
    <w:p w14:paraId="77F4ED90" w14:textId="6D3BC0ED"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The impact of SDG 10 on health and wellbeing is big and obvious, as social inequalities are known to be one determinant of health. </w:t>
      </w:r>
      <w:proofErr w:type="gramStart"/>
      <w:r w:rsidRPr="00461BEF">
        <w:rPr>
          <w:rFonts w:ascii="Arial" w:hAnsi="Arial" w:cs="Arial"/>
          <w:sz w:val="22"/>
          <w:szCs w:val="22"/>
        </w:rPr>
        <w:t>As a consequence</w:t>
      </w:r>
      <w:proofErr w:type="gramEnd"/>
      <w:r w:rsidRPr="00461BEF">
        <w:rPr>
          <w:rFonts w:ascii="Arial" w:hAnsi="Arial" w:cs="Arial"/>
          <w:sz w:val="22"/>
          <w:szCs w:val="22"/>
        </w:rPr>
        <w:t xml:space="preserve">, people living in poverty and those subjected to discrimination have worse ability to access health care services, and less access to a healthy diet, education services and decent housing, which can result in higher rates of illness and lower life expectancy (Cojocaru et al., 2022). By working to tackle these inequities, we can change that and transition towards </w:t>
      </w:r>
      <w:r w:rsidR="002D7691" w:rsidRPr="00461BEF">
        <w:rPr>
          <w:rFonts w:ascii="Arial" w:hAnsi="Arial" w:cs="Arial"/>
          <w:sz w:val="22"/>
          <w:szCs w:val="22"/>
        </w:rPr>
        <w:t xml:space="preserve">improved population </w:t>
      </w:r>
      <w:r w:rsidRPr="00461BEF">
        <w:rPr>
          <w:rFonts w:ascii="Arial" w:hAnsi="Arial" w:cs="Arial"/>
          <w:sz w:val="22"/>
          <w:szCs w:val="22"/>
        </w:rPr>
        <w:t>health and more inclusive and resilient communities.</w:t>
      </w:r>
    </w:p>
    <w:p w14:paraId="0A4A970A" w14:textId="69C78F66" w:rsidR="00C9633E" w:rsidRPr="00461BEF" w:rsidRDefault="002D7691"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The NHS Core20PLUS5 </w:t>
      </w:r>
      <w:proofErr w:type="spellStart"/>
      <w:r w:rsidRPr="00461BEF">
        <w:rPr>
          <w:rFonts w:ascii="Arial" w:hAnsi="Arial" w:cs="Arial"/>
          <w:sz w:val="22"/>
          <w:szCs w:val="22"/>
        </w:rPr>
        <w:t>programme</w:t>
      </w:r>
      <w:proofErr w:type="spellEnd"/>
      <w:r w:rsidRPr="00461BEF">
        <w:rPr>
          <w:rFonts w:ascii="Arial" w:hAnsi="Arial" w:cs="Arial"/>
          <w:sz w:val="22"/>
          <w:szCs w:val="22"/>
        </w:rPr>
        <w:t xml:space="preserve"> is a significant step towards tackling health </w:t>
      </w:r>
      <w:proofErr w:type="gramStart"/>
      <w:r w:rsidRPr="00461BEF">
        <w:rPr>
          <w:rFonts w:ascii="Arial" w:hAnsi="Arial" w:cs="Arial"/>
          <w:sz w:val="22"/>
          <w:szCs w:val="22"/>
        </w:rPr>
        <w:t>inequalities</w:t>
      </w:r>
      <w:proofErr w:type="gramEnd"/>
      <w:r w:rsidRPr="00461BEF">
        <w:rPr>
          <w:rFonts w:ascii="Arial" w:hAnsi="Arial" w:cs="Arial"/>
          <w:sz w:val="22"/>
          <w:szCs w:val="22"/>
        </w:rPr>
        <w:t xml:space="preserve"> which focuses on the most deprived groups. The framework emerges as a statement of strategic direction, but they need to be confident that the </w:t>
      </w:r>
      <w:r w:rsidR="009C322F" w:rsidRPr="00461BEF">
        <w:rPr>
          <w:rFonts w:ascii="Arial" w:hAnsi="Arial" w:cs="Arial"/>
          <w:sz w:val="22"/>
          <w:szCs w:val="22"/>
        </w:rPr>
        <w:t>organizations</w:t>
      </w:r>
      <w:r w:rsidRPr="00461BEF">
        <w:rPr>
          <w:rFonts w:ascii="Arial" w:hAnsi="Arial" w:cs="Arial"/>
          <w:sz w:val="22"/>
          <w:szCs w:val="22"/>
        </w:rPr>
        <w:t xml:space="preserve"> in the local NHS have enough workforce capacity, funding and community engagement to be successful. There have been varying outcomes across </w:t>
      </w:r>
      <w:proofErr w:type="gramStart"/>
      <w:r w:rsidRPr="00461BEF">
        <w:rPr>
          <w:rFonts w:ascii="Arial" w:hAnsi="Arial" w:cs="Arial"/>
          <w:sz w:val="22"/>
          <w:szCs w:val="22"/>
        </w:rPr>
        <w:t>England</w:t>
      </w:r>
      <w:proofErr w:type="gramEnd"/>
      <w:r w:rsidRPr="00461BEF">
        <w:rPr>
          <w:rFonts w:ascii="Arial" w:hAnsi="Arial" w:cs="Arial"/>
          <w:sz w:val="22"/>
          <w:szCs w:val="22"/>
        </w:rPr>
        <w:t xml:space="preserve"> and this has affected its overall effectiveness.</w:t>
      </w:r>
      <w:r w:rsidR="00C9633E" w:rsidRPr="00461BEF">
        <w:rPr>
          <w:rFonts w:ascii="Arial" w:hAnsi="Arial" w:cs="Arial"/>
          <w:sz w:val="22"/>
          <w:szCs w:val="22"/>
        </w:rPr>
        <w:t xml:space="preserve"> The efforts are aimed at expanding the availability of screening </w:t>
      </w:r>
      <w:r w:rsidR="009C322F" w:rsidRPr="00461BEF">
        <w:rPr>
          <w:rFonts w:ascii="Arial" w:hAnsi="Arial" w:cs="Arial"/>
          <w:sz w:val="22"/>
          <w:szCs w:val="22"/>
        </w:rPr>
        <w:t>programmers</w:t>
      </w:r>
      <w:r w:rsidR="00C9633E" w:rsidRPr="00461BEF">
        <w:rPr>
          <w:rFonts w:ascii="Arial" w:hAnsi="Arial" w:cs="Arial"/>
          <w:sz w:val="22"/>
          <w:szCs w:val="22"/>
        </w:rPr>
        <w:t>, to the provision of health services during the gestation and delivery period and management of chronic diseases for vulnerable groups, to emphasize the direct implications of reducing inequalities on improving health.</w:t>
      </w:r>
    </w:p>
    <w:p w14:paraId="6A91197F" w14:textId="77777777"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For instance, provide reasonable workplace modifications and disability supports to be able to more easily access health and employment opportunities. These represent approaches </w:t>
      </w:r>
      <w:r w:rsidRPr="00461BEF">
        <w:rPr>
          <w:rFonts w:ascii="Arial" w:hAnsi="Arial" w:cs="Arial"/>
          <w:sz w:val="22"/>
          <w:szCs w:val="22"/>
        </w:rPr>
        <w:lastRenderedPageBreak/>
        <w:t>that foster financial autonomy, social inclusion and mental health in turn by lowering barriers which can lead to worse health outcomes. Similarly, having local governing bodies that encourage the use of free quitting programs and healthy lifestyle campaigns along with providing community health information and outreach in impoverished areas help to reduce inequalities in health and improve citizens' wellbeing.</w:t>
      </w:r>
    </w:p>
    <w:p w14:paraId="64CB8551" w14:textId="25D62C3E" w:rsidR="007336DA"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However, SDG10 is not progressing as quickly as desired largely due to the continuing reinforcement of inequalities by economic instability and unequal levels of resource access and discrimination. They will require long-term political action, as Bhandari (2024) points out, and Fonseca, Domingues and Dima (2020) remind us of the need to make inequalities smaller – advancing SDG 3 will be more inclusive if the “whole of population groups” will benefit from improvement of health systems as well as those at the bottom. Hence, it is essential to build more sustainable and healthier societies which are fair societies if SDG 10 is to be achieved</w:t>
      </w:r>
      <w:r w:rsidR="007336DA" w:rsidRPr="00461BEF">
        <w:rPr>
          <w:rFonts w:ascii="Arial" w:hAnsi="Arial" w:cs="Arial"/>
          <w:sz w:val="22"/>
          <w:szCs w:val="22"/>
        </w:rPr>
        <w:t>.</w:t>
      </w:r>
    </w:p>
    <w:p w14:paraId="7AC307A5" w14:textId="77777777" w:rsidR="007336DA" w:rsidRPr="00461BEF" w:rsidRDefault="007336DA" w:rsidP="00461BEF">
      <w:pPr>
        <w:spacing w:after="0" w:line="360" w:lineRule="auto"/>
        <w:contextualSpacing/>
        <w:rPr>
          <w:rFonts w:ascii="Arial" w:hAnsi="Arial" w:cs="Arial"/>
          <w:sz w:val="22"/>
          <w:szCs w:val="22"/>
        </w:rPr>
      </w:pPr>
    </w:p>
    <w:p w14:paraId="1047A7FF" w14:textId="17C74E1B" w:rsidR="007336DA" w:rsidRPr="00461BEF" w:rsidRDefault="007336DA" w:rsidP="00461BEF">
      <w:pPr>
        <w:pStyle w:val="Heading1"/>
        <w:spacing w:before="0" w:after="0" w:line="360" w:lineRule="auto"/>
        <w:contextualSpacing/>
        <w:rPr>
          <w:rFonts w:ascii="Arial" w:hAnsi="Arial" w:cs="Arial"/>
          <w:i w:val="0"/>
          <w:iCs w:val="0"/>
          <w:sz w:val="22"/>
          <w:szCs w:val="22"/>
        </w:rPr>
      </w:pPr>
      <w:bookmarkStart w:id="7" w:name="_Toc236583006"/>
      <w:r w:rsidRPr="00461BEF">
        <w:rPr>
          <w:rFonts w:ascii="Arial" w:hAnsi="Arial" w:cs="Arial"/>
          <w:i w:val="0"/>
          <w:iCs w:val="0"/>
          <w:sz w:val="22"/>
          <w:szCs w:val="22"/>
        </w:rPr>
        <w:t>National Wellbeing Initiatives</w:t>
      </w:r>
      <w:bookmarkEnd w:id="7"/>
      <w:r w:rsidRPr="00461BEF">
        <w:rPr>
          <w:rFonts w:ascii="Arial" w:hAnsi="Arial" w:cs="Arial"/>
          <w:i w:val="0"/>
          <w:iCs w:val="0"/>
          <w:sz w:val="22"/>
          <w:szCs w:val="22"/>
        </w:rPr>
        <w:t xml:space="preserve"> </w:t>
      </w:r>
    </w:p>
    <w:p w14:paraId="2804A573" w14:textId="77777777" w:rsidR="007336DA" w:rsidRPr="00461BEF" w:rsidRDefault="007336DA" w:rsidP="00461BEF">
      <w:pPr>
        <w:pStyle w:val="Heading2"/>
        <w:spacing w:before="0" w:after="0" w:line="360" w:lineRule="auto"/>
        <w:contextualSpacing/>
        <w:rPr>
          <w:rFonts w:ascii="Arial" w:hAnsi="Arial" w:cs="Arial"/>
          <w:b/>
          <w:bCs/>
          <w:i w:val="0"/>
          <w:iCs w:val="0"/>
          <w:sz w:val="22"/>
          <w:szCs w:val="22"/>
        </w:rPr>
      </w:pPr>
      <w:bookmarkStart w:id="8" w:name="_Toc236583007"/>
      <w:r w:rsidRPr="00461BEF">
        <w:rPr>
          <w:rFonts w:ascii="Arial" w:hAnsi="Arial" w:cs="Arial"/>
          <w:b/>
          <w:bCs/>
          <w:i w:val="0"/>
          <w:iCs w:val="0"/>
          <w:sz w:val="22"/>
          <w:szCs w:val="22"/>
        </w:rPr>
        <w:t>Evaluation of National Initiatives</w:t>
      </w:r>
      <w:bookmarkEnd w:id="8"/>
    </w:p>
    <w:p w14:paraId="4D71AF9C" w14:textId="1AA36BE1"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National wellbeing agendas are potentially powerful tools in implementing SDG 3 and SDG 10 as they can have an easily measurable impact on inequality through health improvements of the population. The NHS Long Term Plan in the United Kingdom is a major national plan, with the aim of improving the quality of health services, ensuring effective primary prevention and addressing inequalities in health services. The overall theme </w:t>
      </w:r>
      <w:proofErr w:type="gramStart"/>
      <w:r w:rsidRPr="00461BEF">
        <w:rPr>
          <w:rFonts w:ascii="Arial" w:hAnsi="Arial" w:cs="Arial"/>
          <w:sz w:val="22"/>
          <w:szCs w:val="22"/>
        </w:rPr>
        <w:t>is on</w:t>
      </w:r>
      <w:proofErr w:type="gramEnd"/>
      <w:r w:rsidRPr="00461BEF">
        <w:rPr>
          <w:rFonts w:ascii="Arial" w:hAnsi="Arial" w:cs="Arial"/>
          <w:sz w:val="22"/>
          <w:szCs w:val="22"/>
        </w:rPr>
        <w:t xml:space="preserve"> proactive strategies and initiatives to optimize long-term health outcomes, including early diagnosis and treatment, personalized care, mental health services, and technology innovations like telehealth. In community mental health, for example, individuals can receive mental health help before they get to a point of needing </w:t>
      </w:r>
      <w:r w:rsidR="009C322F" w:rsidRPr="00461BEF">
        <w:rPr>
          <w:rFonts w:ascii="Arial" w:hAnsi="Arial" w:cs="Arial"/>
          <w:sz w:val="22"/>
          <w:szCs w:val="22"/>
        </w:rPr>
        <w:t>hospitalization</w:t>
      </w:r>
      <w:r w:rsidRPr="00461BEF">
        <w:rPr>
          <w:rFonts w:ascii="Arial" w:hAnsi="Arial" w:cs="Arial"/>
          <w:sz w:val="22"/>
          <w:szCs w:val="22"/>
        </w:rPr>
        <w:t xml:space="preserve">, reducing the need for unnecessary </w:t>
      </w:r>
      <w:r w:rsidR="009C322F" w:rsidRPr="00461BEF">
        <w:rPr>
          <w:rFonts w:ascii="Arial" w:hAnsi="Arial" w:cs="Arial"/>
          <w:sz w:val="22"/>
          <w:szCs w:val="22"/>
        </w:rPr>
        <w:t>hospitalization</w:t>
      </w:r>
      <w:r w:rsidRPr="00461BEF">
        <w:rPr>
          <w:rFonts w:ascii="Arial" w:hAnsi="Arial" w:cs="Arial"/>
          <w:sz w:val="22"/>
          <w:szCs w:val="22"/>
        </w:rPr>
        <w:t xml:space="preserve"> and improving outcomes, such as people's quality of life and taking part in activities that are important to them when they are experiencing anxiety and feeling depressed. Equitable access to health (Hales and </w:t>
      </w:r>
      <w:proofErr w:type="spellStart"/>
      <w:r w:rsidRPr="00461BEF">
        <w:rPr>
          <w:rFonts w:ascii="Arial" w:hAnsi="Arial" w:cs="Arial"/>
          <w:sz w:val="22"/>
          <w:szCs w:val="22"/>
        </w:rPr>
        <w:t>Birdthistle</w:t>
      </w:r>
      <w:proofErr w:type="spellEnd"/>
      <w:r w:rsidRPr="00461BEF">
        <w:rPr>
          <w:rFonts w:ascii="Arial" w:hAnsi="Arial" w:cs="Arial"/>
          <w:sz w:val="22"/>
          <w:szCs w:val="22"/>
        </w:rPr>
        <w:t xml:space="preserve">, 2023; </w:t>
      </w:r>
      <w:proofErr w:type="spellStart"/>
      <w:r w:rsidRPr="00461BEF">
        <w:rPr>
          <w:rFonts w:ascii="Arial" w:hAnsi="Arial" w:cs="Arial"/>
          <w:sz w:val="22"/>
          <w:szCs w:val="22"/>
        </w:rPr>
        <w:t>Küfeoğlu</w:t>
      </w:r>
      <w:proofErr w:type="spellEnd"/>
      <w:r w:rsidRPr="00461BEF">
        <w:rPr>
          <w:rFonts w:ascii="Arial" w:hAnsi="Arial" w:cs="Arial"/>
          <w:sz w:val="22"/>
          <w:szCs w:val="22"/>
        </w:rPr>
        <w:t xml:space="preserve">, 2022) facilitates such actions, which are </w:t>
      </w:r>
      <w:proofErr w:type="gramStart"/>
      <w:r w:rsidRPr="00461BEF">
        <w:rPr>
          <w:rFonts w:ascii="Arial" w:hAnsi="Arial" w:cs="Arial"/>
          <w:sz w:val="22"/>
          <w:szCs w:val="22"/>
        </w:rPr>
        <w:t>similar to</w:t>
      </w:r>
      <w:proofErr w:type="gramEnd"/>
      <w:r w:rsidRPr="00461BEF">
        <w:rPr>
          <w:rFonts w:ascii="Arial" w:hAnsi="Arial" w:cs="Arial"/>
          <w:sz w:val="22"/>
          <w:szCs w:val="22"/>
        </w:rPr>
        <w:t xml:space="preserve"> SDG 3 to ensure access to affordable, quality health and disease prevention services.</w:t>
      </w:r>
    </w:p>
    <w:p w14:paraId="1D6AD010" w14:textId="7AE6E866"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There is a second national effort to tackle health inequalities, NHS Core20PLUS5, and addressing inequalities in the health experiences of the most deprived communities in England. The </w:t>
      </w:r>
      <w:r w:rsidR="009C322F" w:rsidRPr="00461BEF">
        <w:rPr>
          <w:rFonts w:ascii="Arial" w:hAnsi="Arial" w:cs="Arial"/>
          <w:sz w:val="22"/>
          <w:szCs w:val="22"/>
        </w:rPr>
        <w:t>programmers</w:t>
      </w:r>
      <w:r w:rsidRPr="00461BEF">
        <w:rPr>
          <w:rFonts w:ascii="Arial" w:hAnsi="Arial" w:cs="Arial"/>
          <w:sz w:val="22"/>
          <w:szCs w:val="22"/>
        </w:rPr>
        <w:t xml:space="preserve"> highlight health issues, including childbirth, cardiovascular, respiratory diseases</w:t>
      </w:r>
      <w:proofErr w:type="gramStart"/>
      <w:r w:rsidRPr="00461BEF">
        <w:rPr>
          <w:rFonts w:ascii="Arial" w:hAnsi="Arial" w:cs="Arial"/>
          <w:sz w:val="22"/>
          <w:szCs w:val="22"/>
        </w:rPr>
        <w:t>, cancer</w:t>
      </w:r>
      <w:proofErr w:type="gramEnd"/>
      <w:r w:rsidRPr="00461BEF">
        <w:rPr>
          <w:rFonts w:ascii="Arial" w:hAnsi="Arial" w:cs="Arial"/>
          <w:sz w:val="22"/>
          <w:szCs w:val="22"/>
        </w:rPr>
        <w:t xml:space="preserve"> screening. In the case of breast and bowel cancer, for instance, earlier detection and diagnosis in less privileged communities can help to save lives, because it can </w:t>
      </w:r>
      <w:r w:rsidRPr="00461BEF">
        <w:rPr>
          <w:rFonts w:ascii="Arial" w:hAnsi="Arial" w:cs="Arial"/>
          <w:sz w:val="22"/>
          <w:szCs w:val="22"/>
        </w:rPr>
        <w:lastRenderedPageBreak/>
        <w:t>ultimately lead to improved survival rates. This is a social-economic issue to mitigate inequality's impact on health outcome, resonating SDG 10 (Cojocaru et al., 2022).</w:t>
      </w:r>
    </w:p>
    <w:p w14:paraId="25BCA7DE" w14:textId="2DBD123A"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However, the impacts on access to </w:t>
      </w:r>
      <w:proofErr w:type="gramStart"/>
      <w:r w:rsidRPr="00461BEF">
        <w:rPr>
          <w:rFonts w:ascii="Arial" w:hAnsi="Arial" w:cs="Arial"/>
          <w:sz w:val="22"/>
          <w:szCs w:val="22"/>
        </w:rPr>
        <w:t>health-care</w:t>
      </w:r>
      <w:proofErr w:type="gramEnd"/>
      <w:r w:rsidRPr="00461BEF">
        <w:rPr>
          <w:rFonts w:ascii="Arial" w:hAnsi="Arial" w:cs="Arial"/>
          <w:sz w:val="22"/>
          <w:szCs w:val="22"/>
        </w:rPr>
        <w:t xml:space="preserve"> and closing the </w:t>
      </w:r>
      <w:proofErr w:type="gramStart"/>
      <w:r w:rsidRPr="00461BEF">
        <w:rPr>
          <w:rFonts w:ascii="Arial" w:hAnsi="Arial" w:cs="Arial"/>
          <w:sz w:val="22"/>
          <w:szCs w:val="22"/>
        </w:rPr>
        <w:t>gap,</w:t>
      </w:r>
      <w:proofErr w:type="gramEnd"/>
      <w:r w:rsidRPr="00461BEF">
        <w:rPr>
          <w:rFonts w:ascii="Arial" w:hAnsi="Arial" w:cs="Arial"/>
          <w:sz w:val="22"/>
          <w:szCs w:val="22"/>
        </w:rPr>
        <w:t xml:space="preserve"> have been positive in both cases, and there are challenges. </w:t>
      </w:r>
      <w:r w:rsidR="002D7691" w:rsidRPr="00461BEF">
        <w:rPr>
          <w:rFonts w:ascii="Arial" w:hAnsi="Arial" w:cs="Arial"/>
          <w:sz w:val="22"/>
          <w:szCs w:val="22"/>
        </w:rPr>
        <w:t>Although Core20PLUS5 is strongly aligned with SDG 10 because it explicitly targets health inequalities, several evaluations suggest that inconsistent local implementation and limited workforce capacity have reduced its potential impact. Therefore, greater accountability and sustained investment are required.</w:t>
      </w:r>
      <w:r w:rsidRPr="00461BEF">
        <w:rPr>
          <w:rFonts w:ascii="Arial" w:hAnsi="Arial" w:cs="Arial"/>
          <w:sz w:val="22"/>
          <w:szCs w:val="22"/>
        </w:rPr>
        <w:t xml:space="preserve"> In addition, those who are socially or economically vulnerable might still be adversely affected by the other digital factors of disenfranchisement such as digital exclusion, transport difficulties and health literacy.</w:t>
      </w:r>
    </w:p>
    <w:p w14:paraId="33281CD1" w14:textId="0DC547F7" w:rsidR="007336DA"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Greater investment should be invested in recruiting and retaining health professionals and </w:t>
      </w:r>
      <w:proofErr w:type="gramStart"/>
      <w:r w:rsidRPr="00461BEF">
        <w:rPr>
          <w:rFonts w:ascii="Arial" w:hAnsi="Arial" w:cs="Arial"/>
          <w:sz w:val="22"/>
          <w:szCs w:val="22"/>
        </w:rPr>
        <w:t>increase</w:t>
      </w:r>
      <w:proofErr w:type="gramEnd"/>
      <w:r w:rsidRPr="00461BEF">
        <w:rPr>
          <w:rFonts w:ascii="Arial" w:hAnsi="Arial" w:cs="Arial"/>
          <w:sz w:val="22"/>
          <w:szCs w:val="22"/>
        </w:rPr>
        <w:t xml:space="preserve"> preventive and community-based healthcare services to be more effective. Improve co-ordination between NHS and local authorities and voluntary </w:t>
      </w:r>
      <w:proofErr w:type="spellStart"/>
      <w:r w:rsidRPr="00461BEF">
        <w:rPr>
          <w:rFonts w:ascii="Arial" w:hAnsi="Arial" w:cs="Arial"/>
          <w:sz w:val="22"/>
          <w:szCs w:val="22"/>
        </w:rPr>
        <w:t>organisations</w:t>
      </w:r>
      <w:proofErr w:type="spellEnd"/>
      <w:r w:rsidRPr="00461BEF">
        <w:rPr>
          <w:rFonts w:ascii="Arial" w:hAnsi="Arial" w:cs="Arial"/>
          <w:sz w:val="22"/>
          <w:szCs w:val="22"/>
        </w:rPr>
        <w:t xml:space="preserve"> to improve </w:t>
      </w:r>
      <w:r w:rsidR="00533D97" w:rsidRPr="00461BEF">
        <w:rPr>
          <w:rFonts w:ascii="Arial" w:hAnsi="Arial" w:cs="Arial"/>
          <w:sz w:val="22"/>
          <w:szCs w:val="22"/>
        </w:rPr>
        <w:t>coordinated</w:t>
      </w:r>
      <w:r w:rsidRPr="00461BEF">
        <w:rPr>
          <w:rFonts w:ascii="Arial" w:hAnsi="Arial" w:cs="Arial"/>
          <w:sz w:val="22"/>
          <w:szCs w:val="22"/>
        </w:rPr>
        <w:t xml:space="preserve"> support for vulnerable groups. followed by digital inclusion </w:t>
      </w:r>
      <w:proofErr w:type="spellStart"/>
      <w:r w:rsidRPr="00461BEF">
        <w:rPr>
          <w:rFonts w:ascii="Arial" w:hAnsi="Arial" w:cs="Arial"/>
          <w:sz w:val="22"/>
          <w:szCs w:val="22"/>
        </w:rPr>
        <w:t>programmes</w:t>
      </w:r>
      <w:proofErr w:type="spellEnd"/>
      <w:r w:rsidRPr="00461BEF">
        <w:rPr>
          <w:rFonts w:ascii="Arial" w:hAnsi="Arial" w:cs="Arial"/>
          <w:sz w:val="22"/>
          <w:szCs w:val="22"/>
        </w:rPr>
        <w:t xml:space="preserve"> for targeted audiences at the National level to better serve all those communities that are not being served by vision 3.0, which in turn would help to achieve SDG 10 within SDG 3, within the long-term SDG 10.4</w:t>
      </w:r>
      <w:r w:rsidR="007336DA" w:rsidRPr="00461BEF">
        <w:rPr>
          <w:rFonts w:ascii="Arial" w:hAnsi="Arial" w:cs="Arial"/>
          <w:sz w:val="22"/>
          <w:szCs w:val="22"/>
        </w:rPr>
        <w:t>.</w:t>
      </w:r>
    </w:p>
    <w:p w14:paraId="426B24EA" w14:textId="77777777" w:rsidR="00C9633E" w:rsidRPr="00461BEF" w:rsidRDefault="00C9633E" w:rsidP="00461BEF">
      <w:pPr>
        <w:spacing w:after="0" w:line="360" w:lineRule="auto"/>
        <w:ind w:firstLine="720"/>
        <w:contextualSpacing/>
        <w:rPr>
          <w:rFonts w:ascii="Arial" w:hAnsi="Arial" w:cs="Arial"/>
          <w:sz w:val="22"/>
          <w:szCs w:val="22"/>
        </w:rPr>
      </w:pPr>
    </w:p>
    <w:p w14:paraId="24E64675" w14:textId="0B99AE4A" w:rsidR="007336DA" w:rsidRPr="00461BEF" w:rsidRDefault="007336DA" w:rsidP="00461BEF">
      <w:pPr>
        <w:pStyle w:val="Heading1"/>
        <w:spacing w:before="0" w:after="0" w:line="360" w:lineRule="auto"/>
        <w:contextualSpacing/>
        <w:rPr>
          <w:rFonts w:ascii="Arial" w:hAnsi="Arial" w:cs="Arial"/>
          <w:i w:val="0"/>
          <w:iCs w:val="0"/>
          <w:sz w:val="22"/>
          <w:szCs w:val="22"/>
        </w:rPr>
      </w:pPr>
      <w:bookmarkStart w:id="9" w:name="_Toc236583008"/>
      <w:r w:rsidRPr="00461BEF">
        <w:rPr>
          <w:rFonts w:ascii="Arial" w:hAnsi="Arial" w:cs="Arial"/>
          <w:i w:val="0"/>
          <w:iCs w:val="0"/>
          <w:sz w:val="22"/>
          <w:szCs w:val="22"/>
        </w:rPr>
        <w:t>Local Wellbeing Initiatives</w:t>
      </w:r>
      <w:bookmarkEnd w:id="9"/>
      <w:r w:rsidRPr="00461BEF">
        <w:rPr>
          <w:rFonts w:ascii="Arial" w:hAnsi="Arial" w:cs="Arial"/>
          <w:i w:val="0"/>
          <w:iCs w:val="0"/>
          <w:sz w:val="22"/>
          <w:szCs w:val="22"/>
        </w:rPr>
        <w:t xml:space="preserve"> </w:t>
      </w:r>
    </w:p>
    <w:p w14:paraId="3129C9C0" w14:textId="77777777" w:rsidR="007336DA" w:rsidRPr="00461BEF" w:rsidRDefault="007336DA" w:rsidP="00461BEF">
      <w:pPr>
        <w:pStyle w:val="Heading2"/>
        <w:spacing w:before="0" w:after="0" w:line="360" w:lineRule="auto"/>
        <w:contextualSpacing/>
        <w:rPr>
          <w:rFonts w:ascii="Arial" w:hAnsi="Arial" w:cs="Arial"/>
          <w:b/>
          <w:bCs/>
          <w:i w:val="0"/>
          <w:iCs w:val="0"/>
          <w:sz w:val="22"/>
          <w:szCs w:val="22"/>
        </w:rPr>
      </w:pPr>
      <w:bookmarkStart w:id="10" w:name="_Toc236583009"/>
      <w:r w:rsidRPr="00461BEF">
        <w:rPr>
          <w:rFonts w:ascii="Arial" w:hAnsi="Arial" w:cs="Arial"/>
          <w:b/>
          <w:bCs/>
          <w:i w:val="0"/>
          <w:iCs w:val="0"/>
          <w:sz w:val="22"/>
          <w:szCs w:val="22"/>
        </w:rPr>
        <w:t>Evaluation of Local Initiatives</w:t>
      </w:r>
      <w:bookmarkEnd w:id="10"/>
    </w:p>
    <w:p w14:paraId="0E5213C7" w14:textId="62A89149" w:rsidR="002D7691"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Local wellbeing projects are a particular need to nurse-to at local level the health issues of the community, which support the national strategies of health. The Local Healthy Start is one significant </w:t>
      </w:r>
      <w:proofErr w:type="spellStart"/>
      <w:r w:rsidRPr="00461BEF">
        <w:rPr>
          <w:rFonts w:ascii="Arial" w:hAnsi="Arial" w:cs="Arial"/>
          <w:sz w:val="22"/>
          <w:szCs w:val="22"/>
        </w:rPr>
        <w:t>programme</w:t>
      </w:r>
      <w:proofErr w:type="spellEnd"/>
      <w:r w:rsidRPr="00461BEF">
        <w:rPr>
          <w:rFonts w:ascii="Arial" w:hAnsi="Arial" w:cs="Arial"/>
          <w:sz w:val="22"/>
          <w:szCs w:val="22"/>
        </w:rPr>
        <w:t xml:space="preserve"> which is carried out by the local authorities and health services to assist low-income pregnant women and young families. A scheme is in place to provide </w:t>
      </w:r>
      <w:proofErr w:type="gramStart"/>
      <w:r w:rsidRPr="00461BEF">
        <w:rPr>
          <w:rFonts w:ascii="Arial" w:hAnsi="Arial" w:cs="Arial"/>
          <w:sz w:val="22"/>
          <w:szCs w:val="22"/>
        </w:rPr>
        <w:t>the financial</w:t>
      </w:r>
      <w:proofErr w:type="gramEnd"/>
      <w:r w:rsidRPr="00461BEF">
        <w:rPr>
          <w:rFonts w:ascii="Arial" w:hAnsi="Arial" w:cs="Arial"/>
          <w:sz w:val="22"/>
          <w:szCs w:val="22"/>
        </w:rPr>
        <w:t xml:space="preserve"> support for healthy foods, milk and vitamins to support later </w:t>
      </w:r>
      <w:proofErr w:type="gramStart"/>
      <w:r w:rsidRPr="00461BEF">
        <w:rPr>
          <w:rFonts w:ascii="Arial" w:hAnsi="Arial" w:cs="Arial"/>
          <w:sz w:val="22"/>
          <w:szCs w:val="22"/>
        </w:rPr>
        <w:t>stage</w:t>
      </w:r>
      <w:proofErr w:type="gramEnd"/>
      <w:r w:rsidRPr="00461BEF">
        <w:rPr>
          <w:rFonts w:ascii="Arial" w:hAnsi="Arial" w:cs="Arial"/>
          <w:sz w:val="22"/>
          <w:szCs w:val="22"/>
        </w:rPr>
        <w:t xml:space="preserve"> of maternal and child nutrition. For instance, families will use the Healthy Start payments to buy infant formula, fruits and vegetables allowing babies to get healthier and develop their child. </w:t>
      </w:r>
      <w:r w:rsidR="002D7691" w:rsidRPr="00461BEF">
        <w:rPr>
          <w:rFonts w:ascii="Arial" w:hAnsi="Arial" w:cs="Arial"/>
          <w:sz w:val="22"/>
          <w:szCs w:val="22"/>
        </w:rPr>
        <w:t>This initiative demonstrates that SDG 3 and SDG 10 are mutually reinforcing. By improving maternal nutrition among low-income families, Healthy Start simultaneously improves health outcomes while reducing socioeconomic inequalities that contribute to poor health. Despite its benefits, Healthy Start has faced criticism because many eligible families remain unaware of the scheme, while digital application processes may disadvantage vulnerable households with limited digital literacy.</w:t>
      </w:r>
    </w:p>
    <w:p w14:paraId="59D71B44" w14:textId="231CBC02"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Local authority stop smoking services is one of the behavioral supports, </w:t>
      </w:r>
      <w:proofErr w:type="spellStart"/>
      <w:r w:rsidRPr="00461BEF">
        <w:rPr>
          <w:rFonts w:ascii="Arial" w:hAnsi="Arial" w:cs="Arial"/>
          <w:sz w:val="22"/>
          <w:szCs w:val="22"/>
        </w:rPr>
        <w:t>counsellings</w:t>
      </w:r>
      <w:proofErr w:type="spellEnd"/>
      <w:r w:rsidRPr="00461BEF">
        <w:rPr>
          <w:rFonts w:ascii="Arial" w:hAnsi="Arial" w:cs="Arial"/>
          <w:sz w:val="22"/>
          <w:szCs w:val="22"/>
        </w:rPr>
        <w:t xml:space="preserve"> and nicotine replacement therapies services that </w:t>
      </w:r>
      <w:proofErr w:type="gramStart"/>
      <w:r w:rsidRPr="00461BEF">
        <w:rPr>
          <w:rFonts w:ascii="Arial" w:hAnsi="Arial" w:cs="Arial"/>
          <w:sz w:val="22"/>
          <w:szCs w:val="22"/>
        </w:rPr>
        <w:t>is</w:t>
      </w:r>
      <w:proofErr w:type="gramEnd"/>
      <w:r w:rsidRPr="00461BEF">
        <w:rPr>
          <w:rFonts w:ascii="Arial" w:hAnsi="Arial" w:cs="Arial"/>
          <w:sz w:val="22"/>
          <w:szCs w:val="22"/>
        </w:rPr>
        <w:t xml:space="preserve"> available to help people quit smoking. </w:t>
      </w:r>
      <w:r w:rsidR="002D7691" w:rsidRPr="00461BEF">
        <w:rPr>
          <w:rFonts w:ascii="Arial" w:hAnsi="Arial" w:cs="Arial"/>
          <w:sz w:val="22"/>
          <w:szCs w:val="22"/>
        </w:rPr>
        <w:lastRenderedPageBreak/>
        <w:t xml:space="preserve">According to NHS England, smoking remains responsible for around 64,000 deaths annually in England, with smoking prevalence highest among the most deprived communities. </w:t>
      </w:r>
      <w:r w:rsidRPr="00461BEF">
        <w:rPr>
          <w:rFonts w:ascii="Arial" w:hAnsi="Arial" w:cs="Arial"/>
          <w:sz w:val="22"/>
          <w:szCs w:val="22"/>
        </w:rPr>
        <w:t xml:space="preserve">The services may be very helpful in less well-off localities with high smoking rates. Many councils have community-based clinics, for example, which give free quitting help from pharmacies and health </w:t>
      </w:r>
      <w:proofErr w:type="spellStart"/>
      <w:r w:rsidRPr="00461BEF">
        <w:rPr>
          <w:rFonts w:ascii="Arial" w:hAnsi="Arial" w:cs="Arial"/>
          <w:sz w:val="22"/>
          <w:szCs w:val="22"/>
        </w:rPr>
        <w:t>centres</w:t>
      </w:r>
      <w:proofErr w:type="spellEnd"/>
      <w:r w:rsidRPr="00461BEF">
        <w:rPr>
          <w:rFonts w:ascii="Arial" w:hAnsi="Arial" w:cs="Arial"/>
          <w:sz w:val="22"/>
          <w:szCs w:val="22"/>
        </w:rPr>
        <w:t xml:space="preserve">, helping to cut down on smoking-related </w:t>
      </w:r>
      <w:proofErr w:type="gramStart"/>
      <w:r w:rsidRPr="00461BEF">
        <w:rPr>
          <w:rFonts w:ascii="Arial" w:hAnsi="Arial" w:cs="Arial"/>
          <w:sz w:val="22"/>
          <w:szCs w:val="22"/>
        </w:rPr>
        <w:t>illness</w:t>
      </w:r>
      <w:proofErr w:type="gramEnd"/>
      <w:r w:rsidRPr="00461BEF">
        <w:rPr>
          <w:rFonts w:ascii="Arial" w:hAnsi="Arial" w:cs="Arial"/>
          <w:sz w:val="22"/>
          <w:szCs w:val="22"/>
        </w:rPr>
        <w:t xml:space="preserve"> like chronic obstructive pulmonary disease, heart disease and lung cancer. </w:t>
      </w:r>
      <w:r w:rsidR="002D7691" w:rsidRPr="00461BEF">
        <w:rPr>
          <w:rFonts w:ascii="Arial" w:hAnsi="Arial" w:cs="Arial"/>
          <w:sz w:val="22"/>
          <w:szCs w:val="22"/>
        </w:rPr>
        <w:t>These initiatives illustrate that reducing smoking prevalence not only improves population health (SDG 3) but also narrows health inequalities because smoking rates remain highest among disadvantaged populations (SDG 10)</w:t>
      </w:r>
      <w:r w:rsidRPr="00461BEF">
        <w:rPr>
          <w:rFonts w:ascii="Arial" w:hAnsi="Arial" w:cs="Arial"/>
          <w:sz w:val="22"/>
          <w:szCs w:val="22"/>
        </w:rPr>
        <w:t xml:space="preserve"> (Babu and Srivastava, 2024; Huang and Chang, 2022).</w:t>
      </w:r>
    </w:p>
    <w:p w14:paraId="2C3DE7C8" w14:textId="77777777" w:rsidR="00C9633E"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Local wellbeing initiatives have proven to be helpful, but may come with constraints around local authority funding, staff capacity and services available. It therefore follows that there can be variations in how good or poor services are and the ease of access to services across different geographical areas, leading to health outcome variations. Furthermore, lack of public awareness could lead to a decrease in participation in beneficial programs in communities (Ahmad et al., 2023).</w:t>
      </w:r>
    </w:p>
    <w:p w14:paraId="4600C612" w14:textId="19F7913D" w:rsidR="007336DA"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Capable of strengthening the impact of local services by increased investment in preventive public health services, and enhanced working with all local stakeholders (local government, GP practices, schools and community </w:t>
      </w:r>
      <w:proofErr w:type="spellStart"/>
      <w:r w:rsidRPr="00461BEF">
        <w:rPr>
          <w:rFonts w:ascii="Arial" w:hAnsi="Arial" w:cs="Arial"/>
          <w:sz w:val="22"/>
          <w:szCs w:val="22"/>
        </w:rPr>
        <w:t>organisations</w:t>
      </w:r>
      <w:proofErr w:type="spellEnd"/>
      <w:r w:rsidRPr="00461BEF">
        <w:rPr>
          <w:rFonts w:ascii="Arial" w:hAnsi="Arial" w:cs="Arial"/>
          <w:sz w:val="22"/>
          <w:szCs w:val="22"/>
        </w:rPr>
        <w:t xml:space="preserve">). Effective use of community outreach </w:t>
      </w:r>
      <w:proofErr w:type="spellStart"/>
      <w:r w:rsidRPr="00461BEF">
        <w:rPr>
          <w:rFonts w:ascii="Arial" w:hAnsi="Arial" w:cs="Arial"/>
          <w:sz w:val="22"/>
          <w:szCs w:val="22"/>
        </w:rPr>
        <w:t>programmes</w:t>
      </w:r>
      <w:proofErr w:type="spellEnd"/>
      <w:r w:rsidRPr="00461BEF">
        <w:rPr>
          <w:rFonts w:ascii="Arial" w:hAnsi="Arial" w:cs="Arial"/>
          <w:sz w:val="22"/>
          <w:szCs w:val="22"/>
        </w:rPr>
        <w:t xml:space="preserve"> and multi-lingual health promotion is needed to further improve access to services for disadvantaged groups, in addition to mobile health services. Services could also respond more effectively to the health and wellbeing requirements of the population, </w:t>
      </w:r>
      <w:proofErr w:type="gramStart"/>
      <w:r w:rsidRPr="00461BEF">
        <w:rPr>
          <w:rFonts w:ascii="Arial" w:hAnsi="Arial" w:cs="Arial"/>
          <w:sz w:val="22"/>
          <w:szCs w:val="22"/>
        </w:rPr>
        <w:t>make</w:t>
      </w:r>
      <w:proofErr w:type="gramEnd"/>
      <w:r w:rsidRPr="00461BEF">
        <w:rPr>
          <w:rFonts w:ascii="Arial" w:hAnsi="Arial" w:cs="Arial"/>
          <w:sz w:val="22"/>
          <w:szCs w:val="22"/>
        </w:rPr>
        <w:t xml:space="preserve"> adaptations which are more sustainable in the long run by looking at how local data changes over time (</w:t>
      </w:r>
      <w:proofErr w:type="spellStart"/>
      <w:r w:rsidRPr="00461BEF">
        <w:rPr>
          <w:rFonts w:ascii="Arial" w:hAnsi="Arial" w:cs="Arial"/>
          <w:sz w:val="22"/>
          <w:szCs w:val="22"/>
        </w:rPr>
        <w:t>Fitawek</w:t>
      </w:r>
      <w:proofErr w:type="spellEnd"/>
      <w:r w:rsidRPr="00461BEF">
        <w:rPr>
          <w:rFonts w:ascii="Arial" w:hAnsi="Arial" w:cs="Arial"/>
          <w:sz w:val="22"/>
          <w:szCs w:val="22"/>
        </w:rPr>
        <w:t xml:space="preserve"> and Hendriks, 2024)</w:t>
      </w:r>
      <w:r w:rsidR="007336DA" w:rsidRPr="00461BEF">
        <w:rPr>
          <w:rFonts w:ascii="Arial" w:hAnsi="Arial" w:cs="Arial"/>
          <w:sz w:val="22"/>
          <w:szCs w:val="22"/>
        </w:rPr>
        <w:t>.</w:t>
      </w:r>
    </w:p>
    <w:p w14:paraId="30C3E901" w14:textId="77777777" w:rsidR="00673E91" w:rsidRPr="00461BEF" w:rsidRDefault="00673E91" w:rsidP="00461BEF">
      <w:pPr>
        <w:pStyle w:val="Heading2"/>
        <w:spacing w:before="0" w:after="0" w:line="360" w:lineRule="auto"/>
        <w:contextualSpacing/>
        <w:rPr>
          <w:rFonts w:ascii="Arial" w:hAnsi="Arial" w:cs="Arial"/>
          <w:sz w:val="22"/>
          <w:szCs w:val="22"/>
        </w:rPr>
      </w:pPr>
      <w:bookmarkStart w:id="11" w:name="_Toc236583010"/>
      <w:r w:rsidRPr="00461BEF">
        <w:rPr>
          <w:rFonts w:ascii="Arial" w:hAnsi="Arial" w:cs="Arial"/>
          <w:sz w:val="22"/>
          <w:szCs w:val="22"/>
        </w:rPr>
        <w:t>Recommendations for Strengthening Health, Wellbeing and Sustainable Development</w:t>
      </w:r>
      <w:bookmarkEnd w:id="11"/>
    </w:p>
    <w:p w14:paraId="26A958D1" w14:textId="1BE4B0EA" w:rsidR="00673E91" w:rsidRPr="00461BEF" w:rsidRDefault="00673E91" w:rsidP="00461BEF">
      <w:pPr>
        <w:spacing w:after="0" w:line="360" w:lineRule="auto"/>
        <w:ind w:firstLine="720"/>
        <w:contextualSpacing/>
        <w:rPr>
          <w:rFonts w:ascii="Arial" w:hAnsi="Arial" w:cs="Arial"/>
          <w:sz w:val="22"/>
          <w:szCs w:val="22"/>
        </w:rPr>
      </w:pPr>
      <w:r w:rsidRPr="00461BEF">
        <w:rPr>
          <w:rFonts w:ascii="Arial" w:hAnsi="Arial" w:cs="Arial"/>
          <w:sz w:val="22"/>
          <w:szCs w:val="22"/>
        </w:rPr>
        <w:t>SFDGs 3 (Good Health and Well-being) and 10 (Reduced Inequalities) emphasize the need for long-term investments in healthcare and its workforce, rather than an immediate spike in investment. Improvements in funding and availability of primary care, mental health services and community-based interventions would allow for earlier diagnosis and treatment, take the strain from hospitals and enhance overall population health outcomes. Closing access gaps to timely and high-quality health care due to limited healthcare professionals must be tackled as well by investing in recruitment and workforce retention efforts.</w:t>
      </w:r>
      <w:r w:rsidR="002D7691" w:rsidRPr="00461BEF">
        <w:rPr>
          <w:rFonts w:ascii="Arial" w:hAnsi="Arial" w:cs="Arial"/>
          <w:sz w:val="22"/>
          <w:szCs w:val="22"/>
        </w:rPr>
        <w:t xml:space="preserve"> The NHS should expand Core20PLUS5 by introducing mandatory annual inequality impact assessments for every Integrated Care Board to ensure that funding is directed towards communities experiencing the greatest health inequalities.</w:t>
      </w:r>
    </w:p>
    <w:p w14:paraId="27B353EB" w14:textId="67995056" w:rsidR="00673E91" w:rsidRPr="00461BEF" w:rsidRDefault="00673E91" w:rsidP="00461BEF">
      <w:pPr>
        <w:spacing w:after="0" w:line="360" w:lineRule="auto"/>
        <w:ind w:firstLine="720"/>
        <w:contextualSpacing/>
        <w:rPr>
          <w:rFonts w:ascii="Arial" w:hAnsi="Arial" w:cs="Arial"/>
          <w:sz w:val="22"/>
          <w:szCs w:val="22"/>
        </w:rPr>
      </w:pPr>
      <w:r w:rsidRPr="00461BEF">
        <w:rPr>
          <w:rFonts w:ascii="Arial" w:hAnsi="Arial" w:cs="Arial"/>
          <w:sz w:val="22"/>
          <w:szCs w:val="22"/>
        </w:rPr>
        <w:lastRenderedPageBreak/>
        <w:t>Promoting better collaboration across sectors between the NHS, local authorities and voluntary organizations and community groups is also needed to tackle the broader social determinants of health, such as housing, education and employment. Collaborative efforts between these groups may also contribute to addressing health disparities by providing integrated and client-</w:t>
      </w:r>
      <w:proofErr w:type="spellStart"/>
      <w:r w:rsidRPr="00461BEF">
        <w:rPr>
          <w:rFonts w:ascii="Arial" w:hAnsi="Arial" w:cs="Arial"/>
          <w:sz w:val="22"/>
          <w:szCs w:val="22"/>
        </w:rPr>
        <w:t>centred</w:t>
      </w:r>
      <w:proofErr w:type="spellEnd"/>
      <w:r w:rsidRPr="00461BEF">
        <w:rPr>
          <w:rFonts w:ascii="Arial" w:hAnsi="Arial" w:cs="Arial"/>
          <w:sz w:val="22"/>
          <w:szCs w:val="22"/>
        </w:rPr>
        <w:t xml:space="preserve"> care </w:t>
      </w:r>
      <w:proofErr w:type="gramStart"/>
      <w:r w:rsidRPr="00461BEF">
        <w:rPr>
          <w:rFonts w:ascii="Arial" w:hAnsi="Arial" w:cs="Arial"/>
          <w:sz w:val="22"/>
          <w:szCs w:val="22"/>
        </w:rPr>
        <w:t>to</w:t>
      </w:r>
      <w:proofErr w:type="gramEnd"/>
      <w:r w:rsidRPr="00461BEF">
        <w:rPr>
          <w:rFonts w:ascii="Arial" w:hAnsi="Arial" w:cs="Arial"/>
          <w:sz w:val="22"/>
          <w:szCs w:val="22"/>
        </w:rPr>
        <w:t xml:space="preserve"> vulnerable groups. Scaling up </w:t>
      </w:r>
      <w:proofErr w:type="spellStart"/>
      <w:r w:rsidRPr="00461BEF">
        <w:rPr>
          <w:rFonts w:ascii="Arial" w:hAnsi="Arial" w:cs="Arial"/>
          <w:sz w:val="22"/>
          <w:szCs w:val="22"/>
        </w:rPr>
        <w:t>programmes</w:t>
      </w:r>
      <w:proofErr w:type="spellEnd"/>
      <w:r w:rsidRPr="00461BEF">
        <w:rPr>
          <w:rFonts w:ascii="Arial" w:hAnsi="Arial" w:cs="Arial"/>
          <w:sz w:val="22"/>
          <w:szCs w:val="22"/>
        </w:rPr>
        <w:t xml:space="preserve"> for digital inclusion and health literacy would also help to ensure access to digital healthcare services and prevent those who are disadvantaged from being deprived of the very care they need. Additionally, there is a need to improve monitoring and evaluation tools, including the involvement of local health data in the process to indicate inequalities and </w:t>
      </w:r>
      <w:proofErr w:type="gramStart"/>
      <w:r w:rsidRPr="00461BEF">
        <w:rPr>
          <w:rFonts w:ascii="Arial" w:hAnsi="Arial" w:cs="Arial"/>
          <w:sz w:val="22"/>
          <w:szCs w:val="22"/>
        </w:rPr>
        <w:t>evaluating</w:t>
      </w:r>
      <w:proofErr w:type="gramEnd"/>
      <w:r w:rsidRPr="00461BEF">
        <w:rPr>
          <w:rFonts w:ascii="Arial" w:hAnsi="Arial" w:cs="Arial"/>
          <w:sz w:val="22"/>
          <w:szCs w:val="22"/>
        </w:rPr>
        <w:t xml:space="preserve"> the impact of activities. Implementing evidence-based decision making helps resources to be more efficiently distributed, facilitates the ongoing improvement of services, and helps to make populations healthier, reduce inequalities and realize sustainable development in the more equitable and resilient health care systems.</w:t>
      </w:r>
      <w:r w:rsidR="002D7691" w:rsidRPr="00461BEF">
        <w:rPr>
          <w:rFonts w:ascii="Arial" w:hAnsi="Arial" w:cs="Arial"/>
          <w:sz w:val="22"/>
          <w:szCs w:val="22"/>
        </w:rPr>
        <w:t xml:space="preserve"> Local authorities should establish multilingual community health education </w:t>
      </w:r>
      <w:proofErr w:type="spellStart"/>
      <w:r w:rsidR="002D7691" w:rsidRPr="00461BEF">
        <w:rPr>
          <w:rFonts w:ascii="Arial" w:hAnsi="Arial" w:cs="Arial"/>
          <w:sz w:val="22"/>
          <w:szCs w:val="22"/>
        </w:rPr>
        <w:t>programmes</w:t>
      </w:r>
      <w:proofErr w:type="spellEnd"/>
      <w:r w:rsidR="002D7691" w:rsidRPr="00461BEF">
        <w:rPr>
          <w:rFonts w:ascii="Arial" w:hAnsi="Arial" w:cs="Arial"/>
          <w:sz w:val="22"/>
          <w:szCs w:val="22"/>
        </w:rPr>
        <w:t xml:space="preserve"> in partnership with voluntary </w:t>
      </w:r>
      <w:proofErr w:type="spellStart"/>
      <w:r w:rsidR="002D7691" w:rsidRPr="00461BEF">
        <w:rPr>
          <w:rFonts w:ascii="Arial" w:hAnsi="Arial" w:cs="Arial"/>
          <w:sz w:val="22"/>
          <w:szCs w:val="22"/>
        </w:rPr>
        <w:t>organisations</w:t>
      </w:r>
      <w:proofErr w:type="spellEnd"/>
      <w:r w:rsidR="002D7691" w:rsidRPr="00461BEF">
        <w:rPr>
          <w:rFonts w:ascii="Arial" w:hAnsi="Arial" w:cs="Arial"/>
          <w:sz w:val="22"/>
          <w:szCs w:val="22"/>
        </w:rPr>
        <w:t xml:space="preserve"> to increase uptake of Healthy Start, vaccination </w:t>
      </w:r>
      <w:proofErr w:type="spellStart"/>
      <w:r w:rsidR="002D7691" w:rsidRPr="00461BEF">
        <w:rPr>
          <w:rFonts w:ascii="Arial" w:hAnsi="Arial" w:cs="Arial"/>
          <w:sz w:val="22"/>
          <w:szCs w:val="22"/>
        </w:rPr>
        <w:t>programmes</w:t>
      </w:r>
      <w:proofErr w:type="spellEnd"/>
      <w:r w:rsidR="002D7691" w:rsidRPr="00461BEF">
        <w:rPr>
          <w:rFonts w:ascii="Arial" w:hAnsi="Arial" w:cs="Arial"/>
          <w:sz w:val="22"/>
          <w:szCs w:val="22"/>
        </w:rPr>
        <w:t xml:space="preserve"> and smoking cessation services among underserved communities.</w:t>
      </w:r>
    </w:p>
    <w:p w14:paraId="4E860752" w14:textId="77777777" w:rsidR="00C9633E" w:rsidRPr="00461BEF" w:rsidRDefault="00C9633E" w:rsidP="00461BEF">
      <w:pPr>
        <w:spacing w:after="0" w:line="360" w:lineRule="auto"/>
        <w:contextualSpacing/>
        <w:rPr>
          <w:rFonts w:ascii="Arial" w:hAnsi="Arial" w:cs="Arial"/>
          <w:sz w:val="22"/>
          <w:szCs w:val="22"/>
        </w:rPr>
      </w:pPr>
    </w:p>
    <w:p w14:paraId="26BB76B5" w14:textId="34E0F495" w:rsidR="007336DA" w:rsidRPr="00461BEF" w:rsidRDefault="007336DA" w:rsidP="00461BEF">
      <w:pPr>
        <w:pStyle w:val="Heading1"/>
        <w:spacing w:before="0" w:after="0" w:line="360" w:lineRule="auto"/>
        <w:contextualSpacing/>
        <w:rPr>
          <w:rFonts w:ascii="Arial" w:hAnsi="Arial" w:cs="Arial"/>
          <w:i w:val="0"/>
          <w:iCs w:val="0"/>
          <w:sz w:val="22"/>
          <w:szCs w:val="22"/>
        </w:rPr>
      </w:pPr>
      <w:bookmarkStart w:id="12" w:name="_Toc236583011"/>
      <w:r w:rsidRPr="00461BEF">
        <w:rPr>
          <w:rFonts w:ascii="Arial" w:hAnsi="Arial" w:cs="Arial"/>
          <w:i w:val="0"/>
          <w:iCs w:val="0"/>
          <w:sz w:val="22"/>
          <w:szCs w:val="22"/>
        </w:rPr>
        <w:t>Conclusion</w:t>
      </w:r>
      <w:bookmarkEnd w:id="12"/>
      <w:r w:rsidRPr="00461BEF">
        <w:rPr>
          <w:rFonts w:ascii="Arial" w:hAnsi="Arial" w:cs="Arial"/>
          <w:i w:val="0"/>
          <w:iCs w:val="0"/>
          <w:sz w:val="22"/>
          <w:szCs w:val="22"/>
        </w:rPr>
        <w:t xml:space="preserve"> </w:t>
      </w:r>
    </w:p>
    <w:p w14:paraId="74158E34" w14:textId="55EB1D3F" w:rsidR="007336DA" w:rsidRPr="00461BEF" w:rsidRDefault="00C9633E" w:rsidP="00461BEF">
      <w:pPr>
        <w:spacing w:after="0" w:line="360" w:lineRule="auto"/>
        <w:ind w:firstLine="720"/>
        <w:contextualSpacing/>
        <w:rPr>
          <w:rFonts w:ascii="Arial" w:hAnsi="Arial" w:cs="Arial"/>
          <w:sz w:val="22"/>
          <w:szCs w:val="22"/>
        </w:rPr>
      </w:pPr>
      <w:r w:rsidRPr="00461BEF">
        <w:rPr>
          <w:rFonts w:ascii="Arial" w:hAnsi="Arial" w:cs="Arial"/>
          <w:sz w:val="22"/>
          <w:szCs w:val="22"/>
        </w:rPr>
        <w:t xml:space="preserve">In conclusion, SDGs 3 (Good Health and Wellbeing) and 10 (Reduce Inequalities) can be seen as part of a strategy for inequality reduction, as part of a strategy to foster wellbeing in society. National </w:t>
      </w:r>
      <w:proofErr w:type="spellStart"/>
      <w:r w:rsidRPr="00461BEF">
        <w:rPr>
          <w:rFonts w:ascii="Arial" w:hAnsi="Arial" w:cs="Arial"/>
          <w:sz w:val="22"/>
          <w:szCs w:val="22"/>
        </w:rPr>
        <w:t>programmes</w:t>
      </w:r>
      <w:proofErr w:type="spellEnd"/>
      <w:r w:rsidRPr="00461BEF">
        <w:rPr>
          <w:rFonts w:ascii="Arial" w:hAnsi="Arial" w:cs="Arial"/>
          <w:sz w:val="22"/>
          <w:szCs w:val="22"/>
        </w:rPr>
        <w:t xml:space="preserve"> and local </w:t>
      </w:r>
      <w:proofErr w:type="spellStart"/>
      <w:r w:rsidRPr="00461BEF">
        <w:rPr>
          <w:rFonts w:ascii="Arial" w:hAnsi="Arial" w:cs="Arial"/>
          <w:sz w:val="22"/>
          <w:szCs w:val="22"/>
        </w:rPr>
        <w:t>programmes</w:t>
      </w:r>
      <w:proofErr w:type="spellEnd"/>
      <w:r w:rsidRPr="00461BEF">
        <w:rPr>
          <w:rFonts w:ascii="Arial" w:hAnsi="Arial" w:cs="Arial"/>
          <w:sz w:val="22"/>
          <w:szCs w:val="22"/>
        </w:rPr>
        <w:t xml:space="preserve"> (council </w:t>
      </w:r>
      <w:proofErr w:type="spellStart"/>
      <w:r w:rsidRPr="00461BEF">
        <w:rPr>
          <w:rFonts w:ascii="Arial" w:hAnsi="Arial" w:cs="Arial"/>
          <w:sz w:val="22"/>
          <w:szCs w:val="22"/>
        </w:rPr>
        <w:t>programmes</w:t>
      </w:r>
      <w:proofErr w:type="spellEnd"/>
      <w:r w:rsidRPr="00461BEF">
        <w:rPr>
          <w:rFonts w:ascii="Arial" w:hAnsi="Arial" w:cs="Arial"/>
          <w:sz w:val="22"/>
          <w:szCs w:val="22"/>
        </w:rPr>
        <w:t xml:space="preserve">, Healthy start and stop smoking service) have shown a positive effect on the health of the population. However, there is a need for future investment, as well as better inter-agency collaboration, and better access to improve and increase the equity of health outcomes for all citizens – there </w:t>
      </w:r>
      <w:proofErr w:type="gramStart"/>
      <w:r w:rsidRPr="00461BEF">
        <w:rPr>
          <w:rFonts w:ascii="Arial" w:hAnsi="Arial" w:cs="Arial"/>
          <w:sz w:val="22"/>
          <w:szCs w:val="22"/>
        </w:rPr>
        <w:t>still remain</w:t>
      </w:r>
      <w:proofErr w:type="gramEnd"/>
      <w:r w:rsidRPr="00461BEF">
        <w:rPr>
          <w:rFonts w:ascii="Arial" w:hAnsi="Arial" w:cs="Arial"/>
          <w:sz w:val="22"/>
          <w:szCs w:val="22"/>
        </w:rPr>
        <w:t xml:space="preserve"> inequalities.</w:t>
      </w:r>
      <w:r w:rsidR="007336DA" w:rsidRPr="00461BEF">
        <w:rPr>
          <w:rFonts w:ascii="Arial" w:hAnsi="Arial" w:cs="Arial"/>
          <w:sz w:val="22"/>
          <w:szCs w:val="22"/>
        </w:rPr>
        <w:br w:type="page"/>
      </w:r>
    </w:p>
    <w:p w14:paraId="6DDBBCC4" w14:textId="109C453B" w:rsidR="00C9633E" w:rsidRPr="00461BEF" w:rsidRDefault="00C9633E" w:rsidP="00461BEF">
      <w:pPr>
        <w:pStyle w:val="Heading1"/>
        <w:spacing w:before="0" w:after="0" w:line="360" w:lineRule="auto"/>
        <w:contextualSpacing/>
        <w:jc w:val="center"/>
        <w:rPr>
          <w:rFonts w:ascii="Arial" w:hAnsi="Arial" w:cs="Arial"/>
          <w:i w:val="0"/>
          <w:iCs w:val="0"/>
          <w:sz w:val="22"/>
          <w:szCs w:val="22"/>
        </w:rPr>
      </w:pPr>
      <w:bookmarkStart w:id="13" w:name="_Toc236583012"/>
      <w:r w:rsidRPr="00461BEF">
        <w:rPr>
          <w:rFonts w:ascii="Arial" w:hAnsi="Arial" w:cs="Arial"/>
          <w:i w:val="0"/>
          <w:iCs w:val="0"/>
          <w:sz w:val="22"/>
          <w:szCs w:val="22"/>
        </w:rPr>
        <w:lastRenderedPageBreak/>
        <w:t>References</w:t>
      </w:r>
      <w:bookmarkEnd w:id="13"/>
    </w:p>
    <w:p w14:paraId="13073B4D"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 xml:space="preserve">Ahmad, W., Sasa, T., </w:t>
      </w:r>
      <w:proofErr w:type="spellStart"/>
      <w:r w:rsidRPr="00461BEF">
        <w:rPr>
          <w:rFonts w:ascii="Arial" w:hAnsi="Arial" w:cs="Arial"/>
          <w:sz w:val="22"/>
          <w:szCs w:val="22"/>
        </w:rPr>
        <w:t>Bahtiti</w:t>
      </w:r>
      <w:proofErr w:type="spellEnd"/>
      <w:r w:rsidRPr="00461BEF">
        <w:rPr>
          <w:rFonts w:ascii="Arial" w:hAnsi="Arial" w:cs="Arial"/>
          <w:sz w:val="22"/>
          <w:szCs w:val="22"/>
        </w:rPr>
        <w:t xml:space="preserve">, N.H., </w:t>
      </w:r>
      <w:proofErr w:type="spellStart"/>
      <w:r w:rsidRPr="00461BEF">
        <w:rPr>
          <w:rFonts w:ascii="Arial" w:hAnsi="Arial" w:cs="Arial"/>
          <w:sz w:val="22"/>
          <w:szCs w:val="22"/>
        </w:rPr>
        <w:t>Khuzai</w:t>
      </w:r>
      <w:proofErr w:type="spellEnd"/>
      <w:r w:rsidRPr="00461BEF">
        <w:rPr>
          <w:rFonts w:ascii="Arial" w:hAnsi="Arial" w:cs="Arial"/>
          <w:sz w:val="22"/>
          <w:szCs w:val="22"/>
        </w:rPr>
        <w:t>, R. and Abdel-Rahman, I., 2023. The path toward achieving good health and well-being (SDG 3) through quality education (SDG 4). </w:t>
      </w:r>
      <w:r w:rsidRPr="00461BEF">
        <w:rPr>
          <w:rFonts w:ascii="Arial" w:hAnsi="Arial" w:cs="Arial"/>
          <w:i/>
          <w:iCs/>
          <w:sz w:val="22"/>
          <w:szCs w:val="22"/>
        </w:rPr>
        <w:t>International Journal of Membrane Science and Technology</w:t>
      </w:r>
      <w:r w:rsidRPr="00461BEF">
        <w:rPr>
          <w:rFonts w:ascii="Arial" w:hAnsi="Arial" w:cs="Arial"/>
          <w:sz w:val="22"/>
          <w:szCs w:val="22"/>
        </w:rPr>
        <w:t>, </w:t>
      </w:r>
      <w:r w:rsidRPr="00461BEF">
        <w:rPr>
          <w:rFonts w:ascii="Arial" w:hAnsi="Arial" w:cs="Arial"/>
          <w:i/>
          <w:iCs/>
          <w:sz w:val="22"/>
          <w:szCs w:val="22"/>
        </w:rPr>
        <w:t>10</w:t>
      </w:r>
      <w:r w:rsidRPr="00461BEF">
        <w:rPr>
          <w:rFonts w:ascii="Arial" w:hAnsi="Arial" w:cs="Arial"/>
          <w:sz w:val="22"/>
          <w:szCs w:val="22"/>
        </w:rPr>
        <w:t>(3), pp.111-117.</w:t>
      </w:r>
    </w:p>
    <w:p w14:paraId="177ABE49"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Babu, S.C. and Srivastava, N., 2024. Sustainable Development Goal 3: Good health and well-being. In </w:t>
      </w:r>
      <w:r w:rsidRPr="00461BEF">
        <w:rPr>
          <w:rFonts w:ascii="Arial" w:hAnsi="Arial" w:cs="Arial"/>
          <w:i/>
          <w:iCs/>
          <w:sz w:val="22"/>
          <w:szCs w:val="22"/>
        </w:rPr>
        <w:t>Handbook on Public Policy and Food Security</w:t>
      </w:r>
      <w:r w:rsidRPr="00461BEF">
        <w:rPr>
          <w:rFonts w:ascii="Arial" w:hAnsi="Arial" w:cs="Arial"/>
          <w:sz w:val="22"/>
          <w:szCs w:val="22"/>
        </w:rPr>
        <w:t> (pp. 101-109). Edward Elgar Publishing.</w:t>
      </w:r>
    </w:p>
    <w:p w14:paraId="5AE2AAAB"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 xml:space="preserve">Bhandari, M.P., 2024. What is next for the sustainable development goals, what are the challenges concerning SDG 10—reduced </w:t>
      </w:r>
      <w:proofErr w:type="gramStart"/>
      <w:r w:rsidRPr="00461BEF">
        <w:rPr>
          <w:rFonts w:ascii="Arial" w:hAnsi="Arial" w:cs="Arial"/>
          <w:sz w:val="22"/>
          <w:szCs w:val="22"/>
        </w:rPr>
        <w:t>inequalities?.</w:t>
      </w:r>
      <w:proofErr w:type="gramEnd"/>
      <w:r w:rsidRPr="00461BEF">
        <w:rPr>
          <w:rFonts w:ascii="Arial" w:hAnsi="Arial" w:cs="Arial"/>
          <w:sz w:val="22"/>
          <w:szCs w:val="22"/>
        </w:rPr>
        <w:t> </w:t>
      </w:r>
      <w:r w:rsidRPr="00461BEF">
        <w:rPr>
          <w:rFonts w:ascii="Arial" w:hAnsi="Arial" w:cs="Arial"/>
          <w:i/>
          <w:iCs/>
          <w:sz w:val="22"/>
          <w:szCs w:val="22"/>
        </w:rPr>
        <w:t>Sustainable Earth Reviews</w:t>
      </w:r>
      <w:r w:rsidRPr="00461BEF">
        <w:rPr>
          <w:rFonts w:ascii="Arial" w:hAnsi="Arial" w:cs="Arial"/>
          <w:sz w:val="22"/>
          <w:szCs w:val="22"/>
        </w:rPr>
        <w:t>, </w:t>
      </w:r>
      <w:r w:rsidRPr="00461BEF">
        <w:rPr>
          <w:rFonts w:ascii="Arial" w:hAnsi="Arial" w:cs="Arial"/>
          <w:i/>
          <w:iCs/>
          <w:sz w:val="22"/>
          <w:szCs w:val="22"/>
        </w:rPr>
        <w:t>7</w:t>
      </w:r>
      <w:r w:rsidRPr="00461BEF">
        <w:rPr>
          <w:rFonts w:ascii="Arial" w:hAnsi="Arial" w:cs="Arial"/>
          <w:sz w:val="22"/>
          <w:szCs w:val="22"/>
        </w:rPr>
        <w:t>(1), p.23.</w:t>
      </w:r>
    </w:p>
    <w:p w14:paraId="44BA4C25"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 xml:space="preserve">Biermann, F., Hickmann, T., </w:t>
      </w:r>
      <w:proofErr w:type="spellStart"/>
      <w:r w:rsidRPr="00461BEF">
        <w:rPr>
          <w:rFonts w:ascii="Arial" w:hAnsi="Arial" w:cs="Arial"/>
          <w:sz w:val="22"/>
          <w:szCs w:val="22"/>
        </w:rPr>
        <w:t>Sénit</w:t>
      </w:r>
      <w:proofErr w:type="spellEnd"/>
      <w:r w:rsidRPr="00461BEF">
        <w:rPr>
          <w:rFonts w:ascii="Arial" w:hAnsi="Arial" w:cs="Arial"/>
          <w:sz w:val="22"/>
          <w:szCs w:val="22"/>
        </w:rPr>
        <w:t xml:space="preserve">, C.A., Beisheim, M., Bernstein, S., </w:t>
      </w:r>
      <w:proofErr w:type="spellStart"/>
      <w:r w:rsidRPr="00461BEF">
        <w:rPr>
          <w:rFonts w:ascii="Arial" w:hAnsi="Arial" w:cs="Arial"/>
          <w:sz w:val="22"/>
          <w:szCs w:val="22"/>
        </w:rPr>
        <w:t>Chasek</w:t>
      </w:r>
      <w:proofErr w:type="spellEnd"/>
      <w:r w:rsidRPr="00461BEF">
        <w:rPr>
          <w:rFonts w:ascii="Arial" w:hAnsi="Arial" w:cs="Arial"/>
          <w:sz w:val="22"/>
          <w:szCs w:val="22"/>
        </w:rPr>
        <w:t xml:space="preserve">, P., Grob, L., Kim, R.E., </w:t>
      </w:r>
      <w:proofErr w:type="spellStart"/>
      <w:r w:rsidRPr="00461BEF">
        <w:rPr>
          <w:rFonts w:ascii="Arial" w:hAnsi="Arial" w:cs="Arial"/>
          <w:sz w:val="22"/>
          <w:szCs w:val="22"/>
        </w:rPr>
        <w:t>Kotzé</w:t>
      </w:r>
      <w:proofErr w:type="spellEnd"/>
      <w:r w:rsidRPr="00461BEF">
        <w:rPr>
          <w:rFonts w:ascii="Arial" w:hAnsi="Arial" w:cs="Arial"/>
          <w:sz w:val="22"/>
          <w:szCs w:val="22"/>
        </w:rPr>
        <w:t>, L.J., Nilsson, M. and Ordóñez Llanos, A., 2022. Scientific evidence on the political impact of the Sustainable Development Goals. </w:t>
      </w:r>
      <w:r w:rsidRPr="00461BEF">
        <w:rPr>
          <w:rFonts w:ascii="Arial" w:hAnsi="Arial" w:cs="Arial"/>
          <w:i/>
          <w:iCs/>
          <w:sz w:val="22"/>
          <w:szCs w:val="22"/>
        </w:rPr>
        <w:t>Nature sustainability</w:t>
      </w:r>
      <w:r w:rsidRPr="00461BEF">
        <w:rPr>
          <w:rFonts w:ascii="Arial" w:hAnsi="Arial" w:cs="Arial"/>
          <w:sz w:val="22"/>
          <w:szCs w:val="22"/>
        </w:rPr>
        <w:t>, </w:t>
      </w:r>
      <w:r w:rsidRPr="00461BEF">
        <w:rPr>
          <w:rFonts w:ascii="Arial" w:hAnsi="Arial" w:cs="Arial"/>
          <w:i/>
          <w:iCs/>
          <w:sz w:val="22"/>
          <w:szCs w:val="22"/>
        </w:rPr>
        <w:t>5</w:t>
      </w:r>
      <w:r w:rsidRPr="00461BEF">
        <w:rPr>
          <w:rFonts w:ascii="Arial" w:hAnsi="Arial" w:cs="Arial"/>
          <w:sz w:val="22"/>
          <w:szCs w:val="22"/>
        </w:rPr>
        <w:t>(9), pp.795-800.</w:t>
      </w:r>
    </w:p>
    <w:p w14:paraId="3A08021B"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 xml:space="preserve">Cojocaru, T.M., Ionescu, G.H., </w:t>
      </w:r>
      <w:proofErr w:type="spellStart"/>
      <w:r w:rsidRPr="00461BEF">
        <w:rPr>
          <w:rFonts w:ascii="Arial" w:hAnsi="Arial" w:cs="Arial"/>
          <w:sz w:val="22"/>
          <w:szCs w:val="22"/>
        </w:rPr>
        <w:t>Firoiu</w:t>
      </w:r>
      <w:proofErr w:type="spellEnd"/>
      <w:r w:rsidRPr="00461BEF">
        <w:rPr>
          <w:rFonts w:ascii="Arial" w:hAnsi="Arial" w:cs="Arial"/>
          <w:sz w:val="22"/>
          <w:szCs w:val="22"/>
        </w:rPr>
        <w:t xml:space="preserve">, D., </w:t>
      </w:r>
      <w:proofErr w:type="spellStart"/>
      <w:r w:rsidRPr="00461BEF">
        <w:rPr>
          <w:rFonts w:ascii="Arial" w:hAnsi="Arial" w:cs="Arial"/>
          <w:sz w:val="22"/>
          <w:szCs w:val="22"/>
        </w:rPr>
        <w:t>Cismaș</w:t>
      </w:r>
      <w:proofErr w:type="spellEnd"/>
      <w:r w:rsidRPr="00461BEF">
        <w:rPr>
          <w:rFonts w:ascii="Arial" w:hAnsi="Arial" w:cs="Arial"/>
          <w:sz w:val="22"/>
          <w:szCs w:val="22"/>
        </w:rPr>
        <w:t xml:space="preserve">, L.M., </w:t>
      </w:r>
      <w:proofErr w:type="spellStart"/>
      <w:r w:rsidRPr="00461BEF">
        <w:rPr>
          <w:rFonts w:ascii="Arial" w:hAnsi="Arial" w:cs="Arial"/>
          <w:sz w:val="22"/>
          <w:szCs w:val="22"/>
        </w:rPr>
        <w:t>Oțil</w:t>
      </w:r>
      <w:proofErr w:type="spellEnd"/>
      <w:r w:rsidRPr="00461BEF">
        <w:rPr>
          <w:rFonts w:ascii="Arial" w:hAnsi="Arial" w:cs="Arial"/>
          <w:sz w:val="22"/>
          <w:szCs w:val="22"/>
        </w:rPr>
        <w:t>, M.D. and Toma, O., 2022. Reducing inequalities within and among EU Countries—assessing the achievement of the 2030 agenda for sustainable development targets (SDG 10). </w:t>
      </w:r>
      <w:r w:rsidRPr="00461BEF">
        <w:rPr>
          <w:rFonts w:ascii="Arial" w:hAnsi="Arial" w:cs="Arial"/>
          <w:i/>
          <w:iCs/>
          <w:sz w:val="22"/>
          <w:szCs w:val="22"/>
        </w:rPr>
        <w:t>Sustainability</w:t>
      </w:r>
      <w:r w:rsidRPr="00461BEF">
        <w:rPr>
          <w:rFonts w:ascii="Arial" w:hAnsi="Arial" w:cs="Arial"/>
          <w:sz w:val="22"/>
          <w:szCs w:val="22"/>
        </w:rPr>
        <w:t>, </w:t>
      </w:r>
      <w:r w:rsidRPr="00461BEF">
        <w:rPr>
          <w:rFonts w:ascii="Arial" w:hAnsi="Arial" w:cs="Arial"/>
          <w:i/>
          <w:iCs/>
          <w:sz w:val="22"/>
          <w:szCs w:val="22"/>
        </w:rPr>
        <w:t>14</w:t>
      </w:r>
      <w:r w:rsidRPr="00461BEF">
        <w:rPr>
          <w:rFonts w:ascii="Arial" w:hAnsi="Arial" w:cs="Arial"/>
          <w:sz w:val="22"/>
          <w:szCs w:val="22"/>
        </w:rPr>
        <w:t>(13), p.7706.</w:t>
      </w:r>
    </w:p>
    <w:p w14:paraId="68CE4333" w14:textId="77777777" w:rsidR="00481C24" w:rsidRPr="00461BEF" w:rsidRDefault="00481C24" w:rsidP="00461BEF">
      <w:pPr>
        <w:spacing w:after="0" w:line="360" w:lineRule="auto"/>
        <w:ind w:left="720" w:hanging="720"/>
        <w:contextualSpacing/>
        <w:rPr>
          <w:rFonts w:ascii="Arial" w:hAnsi="Arial" w:cs="Arial"/>
          <w:sz w:val="22"/>
          <w:szCs w:val="22"/>
        </w:rPr>
      </w:pPr>
      <w:proofErr w:type="spellStart"/>
      <w:r w:rsidRPr="00461BEF">
        <w:rPr>
          <w:rFonts w:ascii="Arial" w:hAnsi="Arial" w:cs="Arial"/>
          <w:sz w:val="22"/>
          <w:szCs w:val="22"/>
        </w:rPr>
        <w:t>Fitawek</w:t>
      </w:r>
      <w:proofErr w:type="spellEnd"/>
      <w:r w:rsidRPr="00461BEF">
        <w:rPr>
          <w:rFonts w:ascii="Arial" w:hAnsi="Arial" w:cs="Arial"/>
          <w:sz w:val="22"/>
          <w:szCs w:val="22"/>
        </w:rPr>
        <w:t>, W. and Hendriks, S.L., 2024. Sustainable Development Goal 10: Reduce inequality within and among countries. In </w:t>
      </w:r>
      <w:r w:rsidRPr="00461BEF">
        <w:rPr>
          <w:rFonts w:ascii="Arial" w:hAnsi="Arial" w:cs="Arial"/>
          <w:i/>
          <w:iCs/>
          <w:sz w:val="22"/>
          <w:szCs w:val="22"/>
        </w:rPr>
        <w:t>Handbook on Public Policy and Food Security</w:t>
      </w:r>
      <w:r w:rsidRPr="00461BEF">
        <w:rPr>
          <w:rFonts w:ascii="Arial" w:hAnsi="Arial" w:cs="Arial"/>
          <w:sz w:val="22"/>
          <w:szCs w:val="22"/>
        </w:rPr>
        <w:t> (pp. 247-259). Edward Elgar Publishing.</w:t>
      </w:r>
    </w:p>
    <w:p w14:paraId="4BF4F43D"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Fonseca, L.M., Domingues, J.P. and Dima, A.M., 2020. Mapping the sustainable development goals relationships. </w:t>
      </w:r>
      <w:r w:rsidRPr="00461BEF">
        <w:rPr>
          <w:rFonts w:ascii="Arial" w:hAnsi="Arial" w:cs="Arial"/>
          <w:i/>
          <w:iCs/>
          <w:sz w:val="22"/>
          <w:szCs w:val="22"/>
        </w:rPr>
        <w:t>Sustainability</w:t>
      </w:r>
      <w:r w:rsidRPr="00461BEF">
        <w:rPr>
          <w:rFonts w:ascii="Arial" w:hAnsi="Arial" w:cs="Arial"/>
          <w:sz w:val="22"/>
          <w:szCs w:val="22"/>
        </w:rPr>
        <w:t>, </w:t>
      </w:r>
      <w:r w:rsidRPr="00461BEF">
        <w:rPr>
          <w:rFonts w:ascii="Arial" w:hAnsi="Arial" w:cs="Arial"/>
          <w:i/>
          <w:iCs/>
          <w:sz w:val="22"/>
          <w:szCs w:val="22"/>
        </w:rPr>
        <w:t>12</w:t>
      </w:r>
      <w:r w:rsidRPr="00461BEF">
        <w:rPr>
          <w:rFonts w:ascii="Arial" w:hAnsi="Arial" w:cs="Arial"/>
          <w:sz w:val="22"/>
          <w:szCs w:val="22"/>
        </w:rPr>
        <w:t>(8), p.3359.</w:t>
      </w:r>
    </w:p>
    <w:p w14:paraId="0F4A938B" w14:textId="77777777" w:rsidR="00481C24" w:rsidRPr="00461BEF" w:rsidRDefault="00481C24" w:rsidP="00461BEF">
      <w:pPr>
        <w:spacing w:after="0" w:line="360" w:lineRule="auto"/>
        <w:ind w:left="720" w:hanging="720"/>
        <w:contextualSpacing/>
        <w:rPr>
          <w:rFonts w:ascii="Arial" w:hAnsi="Arial" w:cs="Arial"/>
          <w:sz w:val="22"/>
          <w:szCs w:val="22"/>
        </w:rPr>
      </w:pPr>
      <w:proofErr w:type="spellStart"/>
      <w:r w:rsidRPr="00461BEF">
        <w:rPr>
          <w:rFonts w:ascii="Arial" w:hAnsi="Arial" w:cs="Arial"/>
          <w:sz w:val="22"/>
          <w:szCs w:val="22"/>
        </w:rPr>
        <w:t>Hák</w:t>
      </w:r>
      <w:proofErr w:type="spellEnd"/>
      <w:r w:rsidRPr="00461BEF">
        <w:rPr>
          <w:rFonts w:ascii="Arial" w:hAnsi="Arial" w:cs="Arial"/>
          <w:sz w:val="22"/>
          <w:szCs w:val="22"/>
        </w:rPr>
        <w:t>, T., Janoušková, S. and Moldan, B., 2016. Sustainable Development Goals: A need for relevant indicators. </w:t>
      </w:r>
      <w:r w:rsidRPr="00461BEF">
        <w:rPr>
          <w:rFonts w:ascii="Arial" w:hAnsi="Arial" w:cs="Arial"/>
          <w:i/>
          <w:iCs/>
          <w:sz w:val="22"/>
          <w:szCs w:val="22"/>
        </w:rPr>
        <w:t>Ecological indicators</w:t>
      </w:r>
      <w:r w:rsidRPr="00461BEF">
        <w:rPr>
          <w:rFonts w:ascii="Arial" w:hAnsi="Arial" w:cs="Arial"/>
          <w:sz w:val="22"/>
          <w:szCs w:val="22"/>
        </w:rPr>
        <w:t>, </w:t>
      </w:r>
      <w:r w:rsidRPr="00461BEF">
        <w:rPr>
          <w:rFonts w:ascii="Arial" w:hAnsi="Arial" w:cs="Arial"/>
          <w:i/>
          <w:iCs/>
          <w:sz w:val="22"/>
          <w:szCs w:val="22"/>
        </w:rPr>
        <w:t>60</w:t>
      </w:r>
      <w:r w:rsidRPr="00461BEF">
        <w:rPr>
          <w:rFonts w:ascii="Arial" w:hAnsi="Arial" w:cs="Arial"/>
          <w:sz w:val="22"/>
          <w:szCs w:val="22"/>
        </w:rPr>
        <w:t>, pp.565-573.</w:t>
      </w:r>
    </w:p>
    <w:p w14:paraId="3B0AE4A2"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 xml:space="preserve">Hales, R. and </w:t>
      </w:r>
      <w:proofErr w:type="spellStart"/>
      <w:r w:rsidRPr="00461BEF">
        <w:rPr>
          <w:rFonts w:ascii="Arial" w:hAnsi="Arial" w:cs="Arial"/>
          <w:sz w:val="22"/>
          <w:szCs w:val="22"/>
        </w:rPr>
        <w:t>Birdthistle</w:t>
      </w:r>
      <w:proofErr w:type="spellEnd"/>
      <w:r w:rsidRPr="00461BEF">
        <w:rPr>
          <w:rFonts w:ascii="Arial" w:hAnsi="Arial" w:cs="Arial"/>
          <w:sz w:val="22"/>
          <w:szCs w:val="22"/>
        </w:rPr>
        <w:t>, N., 2023. The sustainable development goal–SDG# 3 good health and well-being.</w:t>
      </w:r>
    </w:p>
    <w:p w14:paraId="2BF1E9FA"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Huang, Y.K. and Chang, Y.C., 2022. Oral health: the first step to sustainable development goal 3. </w:t>
      </w:r>
      <w:r w:rsidRPr="00461BEF">
        <w:rPr>
          <w:rFonts w:ascii="Arial" w:hAnsi="Arial" w:cs="Arial"/>
          <w:i/>
          <w:iCs/>
          <w:sz w:val="22"/>
          <w:szCs w:val="22"/>
        </w:rPr>
        <w:t>Journal of the Formosan Medical Association</w:t>
      </w:r>
      <w:r w:rsidRPr="00461BEF">
        <w:rPr>
          <w:rFonts w:ascii="Arial" w:hAnsi="Arial" w:cs="Arial"/>
          <w:sz w:val="22"/>
          <w:szCs w:val="22"/>
        </w:rPr>
        <w:t>, </w:t>
      </w:r>
      <w:r w:rsidRPr="00461BEF">
        <w:rPr>
          <w:rFonts w:ascii="Arial" w:hAnsi="Arial" w:cs="Arial"/>
          <w:i/>
          <w:iCs/>
          <w:sz w:val="22"/>
          <w:szCs w:val="22"/>
        </w:rPr>
        <w:t>121</w:t>
      </w:r>
      <w:r w:rsidRPr="00461BEF">
        <w:rPr>
          <w:rFonts w:ascii="Arial" w:hAnsi="Arial" w:cs="Arial"/>
          <w:sz w:val="22"/>
          <w:szCs w:val="22"/>
        </w:rPr>
        <w:t>(7), pp.1348-1350.</w:t>
      </w:r>
    </w:p>
    <w:p w14:paraId="7AA9EE77" w14:textId="77777777" w:rsidR="00481C24" w:rsidRPr="00461BEF" w:rsidRDefault="00481C24" w:rsidP="00461BEF">
      <w:pPr>
        <w:spacing w:after="0" w:line="360" w:lineRule="auto"/>
        <w:ind w:left="720" w:hanging="720"/>
        <w:contextualSpacing/>
        <w:rPr>
          <w:rFonts w:ascii="Arial" w:hAnsi="Arial" w:cs="Arial"/>
          <w:sz w:val="22"/>
          <w:szCs w:val="22"/>
        </w:rPr>
      </w:pPr>
      <w:proofErr w:type="spellStart"/>
      <w:r w:rsidRPr="00461BEF">
        <w:rPr>
          <w:rFonts w:ascii="Arial" w:hAnsi="Arial" w:cs="Arial"/>
          <w:sz w:val="22"/>
          <w:szCs w:val="22"/>
        </w:rPr>
        <w:t>Küfeoğlu</w:t>
      </w:r>
      <w:proofErr w:type="spellEnd"/>
      <w:r w:rsidRPr="00461BEF">
        <w:rPr>
          <w:rFonts w:ascii="Arial" w:hAnsi="Arial" w:cs="Arial"/>
          <w:sz w:val="22"/>
          <w:szCs w:val="22"/>
        </w:rPr>
        <w:t>, S., 2022. SDG-10: reduced inequalities. In </w:t>
      </w:r>
      <w:r w:rsidRPr="00461BEF">
        <w:rPr>
          <w:rFonts w:ascii="Arial" w:hAnsi="Arial" w:cs="Arial"/>
          <w:i/>
          <w:iCs/>
          <w:sz w:val="22"/>
          <w:szCs w:val="22"/>
        </w:rPr>
        <w:t>Emerging Technologies: Value Creation for Sustainable Development</w:t>
      </w:r>
      <w:r w:rsidRPr="00461BEF">
        <w:rPr>
          <w:rFonts w:ascii="Arial" w:hAnsi="Arial" w:cs="Arial"/>
          <w:sz w:val="22"/>
          <w:szCs w:val="22"/>
        </w:rPr>
        <w:t> (pp. 371-384). Cham: Springer International Publishing.</w:t>
      </w:r>
    </w:p>
    <w:p w14:paraId="642E327B" w14:textId="77777777" w:rsidR="00481C24" w:rsidRPr="00461BEF" w:rsidRDefault="00481C24" w:rsidP="00461BEF">
      <w:pPr>
        <w:spacing w:after="0" w:line="360" w:lineRule="auto"/>
        <w:ind w:left="720" w:hanging="720"/>
        <w:contextualSpacing/>
        <w:rPr>
          <w:rFonts w:ascii="Arial" w:hAnsi="Arial" w:cs="Arial"/>
          <w:sz w:val="22"/>
          <w:szCs w:val="22"/>
        </w:rPr>
      </w:pPr>
      <w:proofErr w:type="spellStart"/>
      <w:r w:rsidRPr="00461BEF">
        <w:rPr>
          <w:rFonts w:ascii="Arial" w:hAnsi="Arial" w:cs="Arial"/>
          <w:sz w:val="22"/>
          <w:szCs w:val="22"/>
        </w:rPr>
        <w:t>Küfeoğlu</w:t>
      </w:r>
      <w:proofErr w:type="spellEnd"/>
      <w:r w:rsidRPr="00461BEF">
        <w:rPr>
          <w:rFonts w:ascii="Arial" w:hAnsi="Arial" w:cs="Arial"/>
          <w:sz w:val="22"/>
          <w:szCs w:val="22"/>
        </w:rPr>
        <w:t>, S., 2022. SDG-3 Good health and well-being. In </w:t>
      </w:r>
      <w:r w:rsidRPr="00461BEF">
        <w:rPr>
          <w:rFonts w:ascii="Arial" w:hAnsi="Arial" w:cs="Arial"/>
          <w:i/>
          <w:iCs/>
          <w:sz w:val="22"/>
          <w:szCs w:val="22"/>
        </w:rPr>
        <w:t>Emerging Technologies: Value Creation for Sustainable Development</w:t>
      </w:r>
      <w:r w:rsidRPr="00461BEF">
        <w:rPr>
          <w:rFonts w:ascii="Arial" w:hAnsi="Arial" w:cs="Arial"/>
          <w:sz w:val="22"/>
          <w:szCs w:val="22"/>
        </w:rPr>
        <w:t> (pp. 229-253). Cham: Springer International Publishing.</w:t>
      </w:r>
    </w:p>
    <w:p w14:paraId="5B537E36"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lastRenderedPageBreak/>
        <w:t>Lorenzo, J.A., 2022. SDG 10-Reduce Inequality Within and Among Countries. </w:t>
      </w:r>
      <w:r w:rsidRPr="00461BEF">
        <w:rPr>
          <w:rFonts w:ascii="Arial" w:hAnsi="Arial" w:cs="Arial"/>
          <w:i/>
          <w:iCs/>
          <w:sz w:val="22"/>
          <w:szCs w:val="22"/>
        </w:rPr>
        <w:t xml:space="preserve">The UN Sustainable Development Goals: A Commentary (Ilias </w:t>
      </w:r>
      <w:proofErr w:type="spellStart"/>
      <w:r w:rsidRPr="00461BEF">
        <w:rPr>
          <w:rFonts w:ascii="Arial" w:hAnsi="Arial" w:cs="Arial"/>
          <w:i/>
          <w:iCs/>
          <w:sz w:val="22"/>
          <w:szCs w:val="22"/>
        </w:rPr>
        <w:t>Bantekas</w:t>
      </w:r>
      <w:proofErr w:type="spellEnd"/>
      <w:r w:rsidRPr="00461BEF">
        <w:rPr>
          <w:rFonts w:ascii="Arial" w:hAnsi="Arial" w:cs="Arial"/>
          <w:i/>
          <w:iCs/>
          <w:sz w:val="22"/>
          <w:szCs w:val="22"/>
        </w:rPr>
        <w:t xml:space="preserve"> and Francesco Seatzu, eds.), Oxford University Press (2023)</w:t>
      </w:r>
      <w:r w:rsidRPr="00461BEF">
        <w:rPr>
          <w:rFonts w:ascii="Arial" w:hAnsi="Arial" w:cs="Arial"/>
          <w:sz w:val="22"/>
          <w:szCs w:val="22"/>
        </w:rPr>
        <w:t>.</w:t>
      </w:r>
    </w:p>
    <w:p w14:paraId="2D1DBC2E"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 xml:space="preserve">Mathews, E., Ibáñez, E., Cifuentes, A. and </w:t>
      </w:r>
      <w:proofErr w:type="spellStart"/>
      <w:r w:rsidRPr="00461BEF">
        <w:rPr>
          <w:rFonts w:ascii="Arial" w:hAnsi="Arial" w:cs="Arial"/>
          <w:sz w:val="22"/>
          <w:szCs w:val="22"/>
        </w:rPr>
        <w:t>Atanassova</w:t>
      </w:r>
      <w:proofErr w:type="spellEnd"/>
      <w:r w:rsidRPr="00461BEF">
        <w:rPr>
          <w:rFonts w:ascii="Arial" w:hAnsi="Arial" w:cs="Arial"/>
          <w:sz w:val="22"/>
          <w:szCs w:val="22"/>
        </w:rPr>
        <w:t>, M., 2025. Nutrition and sustainable development goal 3: good health and wellbeing. </w:t>
      </w:r>
      <w:r w:rsidRPr="00461BEF">
        <w:rPr>
          <w:rFonts w:ascii="Arial" w:hAnsi="Arial" w:cs="Arial"/>
          <w:i/>
          <w:iCs/>
          <w:sz w:val="22"/>
          <w:szCs w:val="22"/>
        </w:rPr>
        <w:t>Frontiers in Nutrition</w:t>
      </w:r>
      <w:r w:rsidRPr="00461BEF">
        <w:rPr>
          <w:rFonts w:ascii="Arial" w:hAnsi="Arial" w:cs="Arial"/>
          <w:sz w:val="22"/>
          <w:szCs w:val="22"/>
        </w:rPr>
        <w:t>, </w:t>
      </w:r>
      <w:r w:rsidRPr="00461BEF">
        <w:rPr>
          <w:rFonts w:ascii="Arial" w:hAnsi="Arial" w:cs="Arial"/>
          <w:i/>
          <w:iCs/>
          <w:sz w:val="22"/>
          <w:szCs w:val="22"/>
        </w:rPr>
        <w:t>11</w:t>
      </w:r>
      <w:r w:rsidRPr="00461BEF">
        <w:rPr>
          <w:rFonts w:ascii="Arial" w:hAnsi="Arial" w:cs="Arial"/>
          <w:sz w:val="22"/>
          <w:szCs w:val="22"/>
        </w:rPr>
        <w:t>, p.1542307.</w:t>
      </w:r>
    </w:p>
    <w:p w14:paraId="68C8ED07"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 xml:space="preserve">Mishra, M., </w:t>
      </w:r>
      <w:proofErr w:type="spellStart"/>
      <w:r w:rsidRPr="00461BEF">
        <w:rPr>
          <w:rFonts w:ascii="Arial" w:hAnsi="Arial" w:cs="Arial"/>
          <w:sz w:val="22"/>
          <w:szCs w:val="22"/>
        </w:rPr>
        <w:t>Desul</w:t>
      </w:r>
      <w:proofErr w:type="spellEnd"/>
      <w:r w:rsidRPr="00461BEF">
        <w:rPr>
          <w:rFonts w:ascii="Arial" w:hAnsi="Arial" w:cs="Arial"/>
          <w:sz w:val="22"/>
          <w:szCs w:val="22"/>
        </w:rPr>
        <w:t>, S., Santos, C.A.G., Mishra, S.K., Kamal, A.H.M., Goswami, S., Kalumba, A.M., Biswal, R., Da Silva, R.M., Dos Santos, C.A.C. and Baral, K., 2024. A bibliometric analysis of sustainable development goals (SDGs): a review of progress, challenges, and opportunities. </w:t>
      </w:r>
      <w:r w:rsidRPr="00461BEF">
        <w:rPr>
          <w:rFonts w:ascii="Arial" w:hAnsi="Arial" w:cs="Arial"/>
          <w:i/>
          <w:iCs/>
          <w:sz w:val="22"/>
          <w:szCs w:val="22"/>
        </w:rPr>
        <w:t>Environment, development and sustainability</w:t>
      </w:r>
      <w:r w:rsidRPr="00461BEF">
        <w:rPr>
          <w:rFonts w:ascii="Arial" w:hAnsi="Arial" w:cs="Arial"/>
          <w:sz w:val="22"/>
          <w:szCs w:val="22"/>
        </w:rPr>
        <w:t>, </w:t>
      </w:r>
      <w:r w:rsidRPr="00461BEF">
        <w:rPr>
          <w:rFonts w:ascii="Arial" w:hAnsi="Arial" w:cs="Arial"/>
          <w:i/>
          <w:iCs/>
          <w:sz w:val="22"/>
          <w:szCs w:val="22"/>
        </w:rPr>
        <w:t>26</w:t>
      </w:r>
      <w:r w:rsidRPr="00461BEF">
        <w:rPr>
          <w:rFonts w:ascii="Arial" w:hAnsi="Arial" w:cs="Arial"/>
          <w:sz w:val="22"/>
          <w:szCs w:val="22"/>
        </w:rPr>
        <w:t>(5), pp.11101-11143.</w:t>
      </w:r>
    </w:p>
    <w:p w14:paraId="7F3A07D8" w14:textId="77777777" w:rsidR="00481C24" w:rsidRPr="00461BEF" w:rsidRDefault="00481C24" w:rsidP="00461BEF">
      <w:pPr>
        <w:spacing w:after="0" w:line="360" w:lineRule="auto"/>
        <w:ind w:left="720" w:hanging="720"/>
        <w:contextualSpacing/>
        <w:rPr>
          <w:rFonts w:ascii="Arial" w:hAnsi="Arial" w:cs="Arial"/>
          <w:b/>
          <w:sz w:val="22"/>
          <w:szCs w:val="22"/>
        </w:rPr>
      </w:pPr>
      <w:r w:rsidRPr="00461BEF">
        <w:rPr>
          <w:rFonts w:ascii="Arial" w:hAnsi="Arial" w:cs="Arial"/>
          <w:sz w:val="22"/>
          <w:szCs w:val="22"/>
        </w:rPr>
        <w:t xml:space="preserve">Office for National Statistics (ONS), 2024. Healthy life expectancy in England and Wales: between 2011 to 2013 and 2021 to 2023. Newport: Office for National Statistics. Available at: </w:t>
      </w:r>
      <w:hyperlink r:id="rId5" w:history="1">
        <w:r w:rsidRPr="00461BEF">
          <w:rPr>
            <w:rStyle w:val="Hyperlink"/>
            <w:rFonts w:ascii="Arial" w:hAnsi="Arial" w:cs="Arial"/>
            <w:sz w:val="22"/>
            <w:szCs w:val="22"/>
          </w:rPr>
          <w:t>https://www.ons.gov.uk/peoplepopulationandcommunity/healthandsocialcare/healthandlifeexpectancies/bulletins/healthstatelifeexpectanciesuk/between2011to2013and2021to2023?utm</w:t>
        </w:r>
      </w:hyperlink>
      <w:r w:rsidRPr="00461BEF">
        <w:rPr>
          <w:rFonts w:ascii="Arial" w:hAnsi="Arial" w:cs="Arial"/>
          <w:sz w:val="22"/>
          <w:szCs w:val="22"/>
        </w:rPr>
        <w:t xml:space="preserve"> </w:t>
      </w:r>
    </w:p>
    <w:p w14:paraId="704BF5A8"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 xml:space="preserve">Raman, R., Nair, V.K. and Nedungadi, P., 2023. Discrepancies in mapping sustainable development goal 3 (good health and well-being) research: a comparative analysis of </w:t>
      </w:r>
      <w:proofErr w:type="spellStart"/>
      <w:r w:rsidRPr="00461BEF">
        <w:rPr>
          <w:rFonts w:ascii="Arial" w:hAnsi="Arial" w:cs="Arial"/>
          <w:sz w:val="22"/>
          <w:szCs w:val="22"/>
        </w:rPr>
        <w:t>scopus</w:t>
      </w:r>
      <w:proofErr w:type="spellEnd"/>
      <w:r w:rsidRPr="00461BEF">
        <w:rPr>
          <w:rFonts w:ascii="Arial" w:hAnsi="Arial" w:cs="Arial"/>
          <w:sz w:val="22"/>
          <w:szCs w:val="22"/>
        </w:rPr>
        <w:t xml:space="preserve"> and dimensions databases. </w:t>
      </w:r>
      <w:r w:rsidRPr="00461BEF">
        <w:rPr>
          <w:rFonts w:ascii="Arial" w:hAnsi="Arial" w:cs="Arial"/>
          <w:i/>
          <w:iCs/>
          <w:sz w:val="22"/>
          <w:szCs w:val="22"/>
        </w:rPr>
        <w:t>Sustainability</w:t>
      </w:r>
      <w:r w:rsidRPr="00461BEF">
        <w:rPr>
          <w:rFonts w:ascii="Arial" w:hAnsi="Arial" w:cs="Arial"/>
          <w:sz w:val="22"/>
          <w:szCs w:val="22"/>
        </w:rPr>
        <w:t>, </w:t>
      </w:r>
      <w:r w:rsidRPr="00461BEF">
        <w:rPr>
          <w:rFonts w:ascii="Arial" w:hAnsi="Arial" w:cs="Arial"/>
          <w:i/>
          <w:iCs/>
          <w:sz w:val="22"/>
          <w:szCs w:val="22"/>
        </w:rPr>
        <w:t>15</w:t>
      </w:r>
      <w:r w:rsidRPr="00461BEF">
        <w:rPr>
          <w:rFonts w:ascii="Arial" w:hAnsi="Arial" w:cs="Arial"/>
          <w:sz w:val="22"/>
          <w:szCs w:val="22"/>
        </w:rPr>
        <w:t>(23), p.16413.</w:t>
      </w:r>
    </w:p>
    <w:p w14:paraId="2D1C288A"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Serafini, P.G., De Moura, J.M., De Almeida, M.R. and De Rezende, J.F.D., 2022. Sustainable development goals in higher education institutions: a systematic literature review. </w:t>
      </w:r>
      <w:r w:rsidRPr="00461BEF">
        <w:rPr>
          <w:rFonts w:ascii="Arial" w:hAnsi="Arial" w:cs="Arial"/>
          <w:i/>
          <w:iCs/>
          <w:sz w:val="22"/>
          <w:szCs w:val="22"/>
        </w:rPr>
        <w:t>Journal of Cleaner Production</w:t>
      </w:r>
      <w:r w:rsidRPr="00461BEF">
        <w:rPr>
          <w:rFonts w:ascii="Arial" w:hAnsi="Arial" w:cs="Arial"/>
          <w:sz w:val="22"/>
          <w:szCs w:val="22"/>
        </w:rPr>
        <w:t>, </w:t>
      </w:r>
      <w:r w:rsidRPr="00461BEF">
        <w:rPr>
          <w:rFonts w:ascii="Arial" w:hAnsi="Arial" w:cs="Arial"/>
          <w:i/>
          <w:iCs/>
          <w:sz w:val="22"/>
          <w:szCs w:val="22"/>
        </w:rPr>
        <w:t>370</w:t>
      </w:r>
      <w:r w:rsidRPr="00461BEF">
        <w:rPr>
          <w:rFonts w:ascii="Arial" w:hAnsi="Arial" w:cs="Arial"/>
          <w:sz w:val="22"/>
          <w:szCs w:val="22"/>
        </w:rPr>
        <w:t>, p.133473.</w:t>
      </w:r>
    </w:p>
    <w:p w14:paraId="2C4C0F60"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Stafford-Smith, M., Griggs, D., Gaffney, O., Ullah, F., Reyers, B., Kanie, N., Stigson, B., Shrivastava, P., Leach, M. and O’Connell, D., 2017. Integration: the key to implementing the Sustainable Development Goals. </w:t>
      </w:r>
      <w:r w:rsidRPr="00461BEF">
        <w:rPr>
          <w:rFonts w:ascii="Arial" w:hAnsi="Arial" w:cs="Arial"/>
          <w:i/>
          <w:iCs/>
          <w:sz w:val="22"/>
          <w:szCs w:val="22"/>
        </w:rPr>
        <w:t>Sustainability science</w:t>
      </w:r>
      <w:r w:rsidRPr="00461BEF">
        <w:rPr>
          <w:rFonts w:ascii="Arial" w:hAnsi="Arial" w:cs="Arial"/>
          <w:sz w:val="22"/>
          <w:szCs w:val="22"/>
        </w:rPr>
        <w:t>, </w:t>
      </w:r>
      <w:r w:rsidRPr="00461BEF">
        <w:rPr>
          <w:rFonts w:ascii="Arial" w:hAnsi="Arial" w:cs="Arial"/>
          <w:i/>
          <w:iCs/>
          <w:sz w:val="22"/>
          <w:szCs w:val="22"/>
        </w:rPr>
        <w:t>12</w:t>
      </w:r>
      <w:r w:rsidRPr="00461BEF">
        <w:rPr>
          <w:rFonts w:ascii="Arial" w:hAnsi="Arial" w:cs="Arial"/>
          <w:sz w:val="22"/>
          <w:szCs w:val="22"/>
        </w:rPr>
        <w:t>(6), pp.911-919.</w:t>
      </w:r>
    </w:p>
    <w:p w14:paraId="7CF69629"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Trends, G., 2017. Challenges and opportunities in the implementation of the Sustainable Development Goals. </w:t>
      </w:r>
      <w:r w:rsidRPr="00461BEF">
        <w:rPr>
          <w:rFonts w:ascii="Arial" w:hAnsi="Arial" w:cs="Arial"/>
          <w:i/>
          <w:iCs/>
          <w:sz w:val="22"/>
          <w:szCs w:val="22"/>
        </w:rPr>
        <w:t xml:space="preserve">United Nations Development </w:t>
      </w:r>
      <w:proofErr w:type="spellStart"/>
      <w:proofErr w:type="gramStart"/>
      <w:r w:rsidRPr="00461BEF">
        <w:rPr>
          <w:rFonts w:ascii="Arial" w:hAnsi="Arial" w:cs="Arial"/>
          <w:i/>
          <w:iCs/>
          <w:sz w:val="22"/>
          <w:szCs w:val="22"/>
        </w:rPr>
        <w:t>Programme</w:t>
      </w:r>
      <w:proofErr w:type="spellEnd"/>
      <w:r w:rsidRPr="00461BEF">
        <w:rPr>
          <w:rFonts w:ascii="Arial" w:hAnsi="Arial" w:cs="Arial"/>
          <w:i/>
          <w:iCs/>
          <w:sz w:val="22"/>
          <w:szCs w:val="22"/>
        </w:rPr>
        <w:t>&amp;</w:t>
      </w:r>
      <w:proofErr w:type="gramEnd"/>
      <w:r w:rsidRPr="00461BEF">
        <w:rPr>
          <w:rFonts w:ascii="Arial" w:hAnsi="Arial" w:cs="Arial"/>
          <w:i/>
          <w:iCs/>
          <w:sz w:val="22"/>
          <w:szCs w:val="22"/>
        </w:rPr>
        <w:t xml:space="preserve"> United Nations Research Institute for Social Development</w:t>
      </w:r>
      <w:r w:rsidRPr="00461BEF">
        <w:rPr>
          <w:rFonts w:ascii="Arial" w:hAnsi="Arial" w:cs="Arial"/>
          <w:sz w:val="22"/>
          <w:szCs w:val="22"/>
        </w:rPr>
        <w:t>, pp.0-3.</w:t>
      </w:r>
    </w:p>
    <w:p w14:paraId="1AEB9D41" w14:textId="77777777" w:rsidR="00481C24" w:rsidRPr="00461BEF" w:rsidRDefault="00481C24" w:rsidP="00461BEF">
      <w:pPr>
        <w:spacing w:after="0" w:line="360" w:lineRule="auto"/>
        <w:ind w:left="720" w:hanging="720"/>
        <w:contextualSpacing/>
        <w:rPr>
          <w:rFonts w:ascii="Arial" w:hAnsi="Arial" w:cs="Arial"/>
          <w:sz w:val="22"/>
          <w:szCs w:val="22"/>
        </w:rPr>
      </w:pPr>
      <w:r w:rsidRPr="00461BEF">
        <w:rPr>
          <w:rFonts w:ascii="Arial" w:hAnsi="Arial" w:cs="Arial"/>
          <w:sz w:val="22"/>
          <w:szCs w:val="22"/>
        </w:rPr>
        <w:t>Venkatesh, G., 2022. A brief analysis of SDG 3–Good health and well-being–and its synergies and trade-offs with the other Sustainable Development Goals. </w:t>
      </w:r>
      <w:proofErr w:type="spellStart"/>
      <w:r w:rsidRPr="00461BEF">
        <w:rPr>
          <w:rFonts w:ascii="Arial" w:hAnsi="Arial" w:cs="Arial"/>
          <w:i/>
          <w:iCs/>
          <w:sz w:val="22"/>
          <w:szCs w:val="22"/>
        </w:rPr>
        <w:t>Problemy</w:t>
      </w:r>
      <w:proofErr w:type="spellEnd"/>
      <w:r w:rsidRPr="00461BEF">
        <w:rPr>
          <w:rFonts w:ascii="Arial" w:hAnsi="Arial" w:cs="Arial"/>
          <w:i/>
          <w:iCs/>
          <w:sz w:val="22"/>
          <w:szCs w:val="22"/>
        </w:rPr>
        <w:t xml:space="preserve"> </w:t>
      </w:r>
      <w:proofErr w:type="spellStart"/>
      <w:r w:rsidRPr="00461BEF">
        <w:rPr>
          <w:rFonts w:ascii="Arial" w:hAnsi="Arial" w:cs="Arial"/>
          <w:i/>
          <w:iCs/>
          <w:sz w:val="22"/>
          <w:szCs w:val="22"/>
        </w:rPr>
        <w:t>Ekorozwoju</w:t>
      </w:r>
      <w:proofErr w:type="spellEnd"/>
      <w:r w:rsidRPr="00461BEF">
        <w:rPr>
          <w:rFonts w:ascii="Arial" w:hAnsi="Arial" w:cs="Arial"/>
          <w:sz w:val="22"/>
          <w:szCs w:val="22"/>
        </w:rPr>
        <w:t>, </w:t>
      </w:r>
      <w:r w:rsidRPr="00461BEF">
        <w:rPr>
          <w:rFonts w:ascii="Arial" w:hAnsi="Arial" w:cs="Arial"/>
          <w:i/>
          <w:iCs/>
          <w:sz w:val="22"/>
          <w:szCs w:val="22"/>
        </w:rPr>
        <w:t>17</w:t>
      </w:r>
      <w:r w:rsidRPr="00461BEF">
        <w:rPr>
          <w:rFonts w:ascii="Arial" w:hAnsi="Arial" w:cs="Arial"/>
          <w:sz w:val="22"/>
          <w:szCs w:val="22"/>
        </w:rPr>
        <w:t>(2).</w:t>
      </w:r>
    </w:p>
    <w:sectPr w:rsidR="00481C24" w:rsidRPr="00461B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6DA"/>
    <w:rsid w:val="000F6713"/>
    <w:rsid w:val="002D7691"/>
    <w:rsid w:val="003266E2"/>
    <w:rsid w:val="00384372"/>
    <w:rsid w:val="00432455"/>
    <w:rsid w:val="00461BEF"/>
    <w:rsid w:val="00481C24"/>
    <w:rsid w:val="00533D97"/>
    <w:rsid w:val="00673E91"/>
    <w:rsid w:val="007336DA"/>
    <w:rsid w:val="00791131"/>
    <w:rsid w:val="00876804"/>
    <w:rsid w:val="009C322F"/>
    <w:rsid w:val="00B001EB"/>
    <w:rsid w:val="00B237CF"/>
    <w:rsid w:val="00B37C26"/>
    <w:rsid w:val="00BE0589"/>
    <w:rsid w:val="00BF208A"/>
    <w:rsid w:val="00C71271"/>
    <w:rsid w:val="00C9633E"/>
    <w:rsid w:val="00FF23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6D994"/>
  <w15:chartTrackingRefBased/>
  <w15:docId w15:val="{CE3B4D96-EF03-440B-9551-7C79150C3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33E"/>
    <w:pPr>
      <w:keepNext/>
      <w:keepLines/>
      <w:spacing w:before="360" w:after="80"/>
      <w:outlineLvl w:val="0"/>
    </w:pPr>
    <w:rPr>
      <w:rFonts w:ascii="Times New Roman" w:eastAsiaTheme="majorEastAsia" w:hAnsi="Times New Roman" w:cs="Times New Roman"/>
      <w:b/>
      <w:bCs/>
      <w:i/>
      <w:iCs/>
    </w:rPr>
  </w:style>
  <w:style w:type="paragraph" w:styleId="Heading2">
    <w:name w:val="heading 2"/>
    <w:basedOn w:val="Normal"/>
    <w:next w:val="Normal"/>
    <w:link w:val="Heading2Char"/>
    <w:uiPriority w:val="9"/>
    <w:unhideWhenUsed/>
    <w:qFormat/>
    <w:rsid w:val="00C9633E"/>
    <w:pPr>
      <w:keepNext/>
      <w:keepLines/>
      <w:spacing w:before="160" w:after="80"/>
      <w:outlineLvl w:val="1"/>
    </w:pPr>
    <w:rPr>
      <w:rFonts w:ascii="Times New Roman" w:eastAsiaTheme="majorEastAsia" w:hAnsi="Times New Roman" w:cs="Times New Roman"/>
      <w:i/>
      <w:iCs/>
    </w:rPr>
  </w:style>
  <w:style w:type="paragraph" w:styleId="Heading3">
    <w:name w:val="heading 3"/>
    <w:basedOn w:val="Normal"/>
    <w:next w:val="Normal"/>
    <w:link w:val="Heading3Char"/>
    <w:uiPriority w:val="9"/>
    <w:semiHidden/>
    <w:unhideWhenUsed/>
    <w:qFormat/>
    <w:rsid w:val="00733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3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3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3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3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3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3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33E"/>
    <w:rPr>
      <w:rFonts w:ascii="Times New Roman" w:eastAsiaTheme="majorEastAsia" w:hAnsi="Times New Roman" w:cs="Times New Roman"/>
      <w:b/>
      <w:bCs/>
      <w:i/>
      <w:iCs/>
    </w:rPr>
  </w:style>
  <w:style w:type="character" w:customStyle="1" w:styleId="Heading2Char">
    <w:name w:val="Heading 2 Char"/>
    <w:basedOn w:val="DefaultParagraphFont"/>
    <w:link w:val="Heading2"/>
    <w:uiPriority w:val="9"/>
    <w:rsid w:val="00C9633E"/>
    <w:rPr>
      <w:rFonts w:ascii="Times New Roman" w:eastAsiaTheme="majorEastAsia" w:hAnsi="Times New Roman" w:cs="Times New Roman"/>
      <w:i/>
      <w:iCs/>
    </w:rPr>
  </w:style>
  <w:style w:type="character" w:customStyle="1" w:styleId="Heading3Char">
    <w:name w:val="Heading 3 Char"/>
    <w:basedOn w:val="DefaultParagraphFont"/>
    <w:link w:val="Heading3"/>
    <w:uiPriority w:val="9"/>
    <w:semiHidden/>
    <w:rsid w:val="00733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3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3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3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3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3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36DA"/>
    <w:rPr>
      <w:rFonts w:eastAsiaTheme="majorEastAsia" w:cstheme="majorBidi"/>
      <w:color w:val="272727" w:themeColor="text1" w:themeTint="D8"/>
    </w:rPr>
  </w:style>
  <w:style w:type="paragraph" w:styleId="Title">
    <w:name w:val="Title"/>
    <w:basedOn w:val="Normal"/>
    <w:next w:val="Normal"/>
    <w:link w:val="TitleChar"/>
    <w:uiPriority w:val="10"/>
    <w:qFormat/>
    <w:rsid w:val="00733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3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3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36DA"/>
    <w:pPr>
      <w:spacing w:before="160"/>
      <w:jc w:val="center"/>
    </w:pPr>
    <w:rPr>
      <w:i/>
      <w:iCs/>
      <w:color w:val="404040" w:themeColor="text1" w:themeTint="BF"/>
    </w:rPr>
  </w:style>
  <w:style w:type="character" w:customStyle="1" w:styleId="QuoteChar">
    <w:name w:val="Quote Char"/>
    <w:basedOn w:val="DefaultParagraphFont"/>
    <w:link w:val="Quote"/>
    <w:uiPriority w:val="29"/>
    <w:rsid w:val="007336DA"/>
    <w:rPr>
      <w:i/>
      <w:iCs/>
      <w:color w:val="404040" w:themeColor="text1" w:themeTint="BF"/>
    </w:rPr>
  </w:style>
  <w:style w:type="paragraph" w:styleId="ListParagraph">
    <w:name w:val="List Paragraph"/>
    <w:basedOn w:val="Normal"/>
    <w:uiPriority w:val="34"/>
    <w:qFormat/>
    <w:rsid w:val="007336DA"/>
    <w:pPr>
      <w:ind w:left="720"/>
      <w:contextualSpacing/>
    </w:pPr>
  </w:style>
  <w:style w:type="character" w:styleId="IntenseEmphasis">
    <w:name w:val="Intense Emphasis"/>
    <w:basedOn w:val="DefaultParagraphFont"/>
    <w:uiPriority w:val="21"/>
    <w:qFormat/>
    <w:rsid w:val="007336DA"/>
    <w:rPr>
      <w:i/>
      <w:iCs/>
      <w:color w:val="0F4761" w:themeColor="accent1" w:themeShade="BF"/>
    </w:rPr>
  </w:style>
  <w:style w:type="paragraph" w:styleId="IntenseQuote">
    <w:name w:val="Intense Quote"/>
    <w:basedOn w:val="Normal"/>
    <w:next w:val="Normal"/>
    <w:link w:val="IntenseQuoteChar"/>
    <w:uiPriority w:val="30"/>
    <w:qFormat/>
    <w:rsid w:val="00733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36DA"/>
    <w:rPr>
      <w:i/>
      <w:iCs/>
      <w:color w:val="0F4761" w:themeColor="accent1" w:themeShade="BF"/>
    </w:rPr>
  </w:style>
  <w:style w:type="character" w:styleId="IntenseReference">
    <w:name w:val="Intense Reference"/>
    <w:basedOn w:val="DefaultParagraphFont"/>
    <w:uiPriority w:val="32"/>
    <w:qFormat/>
    <w:rsid w:val="007336DA"/>
    <w:rPr>
      <w:b/>
      <w:bCs/>
      <w:smallCaps/>
      <w:color w:val="0F4761" w:themeColor="accent1" w:themeShade="BF"/>
      <w:spacing w:val="5"/>
    </w:rPr>
  </w:style>
  <w:style w:type="paragraph" w:styleId="NoSpacing">
    <w:name w:val="No Spacing"/>
    <w:uiPriority w:val="1"/>
    <w:qFormat/>
    <w:rsid w:val="00C9633E"/>
    <w:pPr>
      <w:spacing w:after="0" w:line="240" w:lineRule="auto"/>
    </w:pPr>
  </w:style>
  <w:style w:type="paragraph" w:styleId="TOCHeading">
    <w:name w:val="TOC Heading"/>
    <w:basedOn w:val="Heading1"/>
    <w:next w:val="Normal"/>
    <w:uiPriority w:val="39"/>
    <w:unhideWhenUsed/>
    <w:qFormat/>
    <w:rsid w:val="00C9633E"/>
    <w:pPr>
      <w:spacing w:before="240" w:after="0" w:line="259" w:lineRule="auto"/>
      <w:outlineLvl w:val="9"/>
    </w:pPr>
    <w:rPr>
      <w:rFonts w:asciiTheme="majorHAnsi" w:hAnsiTheme="majorHAnsi" w:cstheme="majorBidi"/>
      <w:b w:val="0"/>
      <w:bCs w:val="0"/>
      <w:i w:val="0"/>
      <w:i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C9633E"/>
    <w:pPr>
      <w:spacing w:after="100"/>
    </w:pPr>
  </w:style>
  <w:style w:type="paragraph" w:styleId="TOC2">
    <w:name w:val="toc 2"/>
    <w:basedOn w:val="Normal"/>
    <w:next w:val="Normal"/>
    <w:autoRedefine/>
    <w:uiPriority w:val="39"/>
    <w:unhideWhenUsed/>
    <w:rsid w:val="00C9633E"/>
    <w:pPr>
      <w:spacing w:after="100"/>
      <w:ind w:left="240"/>
    </w:pPr>
  </w:style>
  <w:style w:type="character" w:styleId="Hyperlink">
    <w:name w:val="Hyperlink"/>
    <w:basedOn w:val="DefaultParagraphFont"/>
    <w:uiPriority w:val="99"/>
    <w:unhideWhenUsed/>
    <w:rsid w:val="00C9633E"/>
    <w:rPr>
      <w:color w:val="467886" w:themeColor="hyperlink"/>
      <w:u w:val="single"/>
    </w:rPr>
  </w:style>
  <w:style w:type="character" w:styleId="UnresolvedMention">
    <w:name w:val="Unresolved Mention"/>
    <w:basedOn w:val="DefaultParagraphFont"/>
    <w:uiPriority w:val="99"/>
    <w:semiHidden/>
    <w:unhideWhenUsed/>
    <w:rsid w:val="00B001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ons.gov.uk/peoplepopulationandcommunity/healthandsocialcare/healthandlifeexpectancies/bulletins/healthstatelifeexpectanciesuk/between2011to2013and2021to2023?u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1927AA-7073-4B38-B2C7-DE6AED3B3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3696</Words>
  <Characters>21069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Marcia Marques</cp:lastModifiedBy>
  <cp:revision>4</cp:revision>
  <dcterms:created xsi:type="dcterms:W3CDTF">2026-08-05T16:21:00Z</dcterms:created>
  <dcterms:modified xsi:type="dcterms:W3CDTF">2026-08-06T16:27:00Z</dcterms:modified>
</cp:coreProperties>
</file>