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F5138" w14:textId="77777777" w:rsidR="004927B2" w:rsidRPr="004927B2" w:rsidRDefault="004927B2" w:rsidP="00A03088">
      <w:pPr>
        <w:spacing w:line="240" w:lineRule="auto"/>
        <w:rPr>
          <w:sz w:val="25"/>
          <w:szCs w:val="25"/>
        </w:rPr>
      </w:pPr>
      <w:r w:rsidRPr="004927B2">
        <w:rPr>
          <w:sz w:val="25"/>
          <w:szCs w:val="25"/>
        </w:rPr>
        <w:t xml:space="preserve">A Commentary on the </w:t>
      </w:r>
      <w:proofErr w:type="spellStart"/>
      <w:r w:rsidRPr="004927B2">
        <w:rPr>
          <w:sz w:val="25"/>
          <w:szCs w:val="25"/>
        </w:rPr>
        <w:t>Mérode</w:t>
      </w:r>
      <w:proofErr w:type="spellEnd"/>
      <w:r w:rsidRPr="004927B2">
        <w:rPr>
          <w:sz w:val="25"/>
          <w:szCs w:val="25"/>
        </w:rPr>
        <w:t xml:space="preserve"> Altarpiece and its Iconography</w:t>
      </w:r>
    </w:p>
    <w:p w14:paraId="6D6BAD0E" w14:textId="7046F86D" w:rsidR="004927B2" w:rsidRPr="004927B2" w:rsidRDefault="004927B2" w:rsidP="00A03088">
      <w:pPr>
        <w:spacing w:line="240" w:lineRule="auto"/>
      </w:pPr>
      <w:r w:rsidRPr="004927B2">
        <w:rPr>
          <w:noProof/>
        </w:rPr>
        <w:drawing>
          <wp:inline distT="0" distB="0" distL="0" distR="0" wp14:anchorId="446019EC" wp14:editId="6FABC762">
            <wp:extent cx="5731510" cy="2903855"/>
            <wp:effectExtent l="0" t="0" r="2540" b="0"/>
            <wp:docPr id="1430928144" name="Picture 2" descr="A painting of an angel and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28144" name="Picture 2" descr="A painting of an angel and a perso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03855"/>
                    </a:xfrm>
                    <a:prstGeom prst="rect">
                      <a:avLst/>
                    </a:prstGeom>
                    <a:noFill/>
                    <a:ln>
                      <a:noFill/>
                    </a:ln>
                  </pic:spPr>
                </pic:pic>
              </a:graphicData>
            </a:graphic>
          </wp:inline>
        </w:drawing>
      </w:r>
    </w:p>
    <w:p w14:paraId="475232E2" w14:textId="2B670732" w:rsidR="009648BD" w:rsidRPr="009648BD" w:rsidRDefault="009648BD" w:rsidP="00A03088">
      <w:pPr>
        <w:spacing w:line="240" w:lineRule="auto"/>
        <w:rPr>
          <w:color w:val="C00000"/>
          <w:sz w:val="22"/>
          <w:szCs w:val="22"/>
        </w:rPr>
      </w:pPr>
      <w:r w:rsidRPr="009648BD">
        <w:rPr>
          <w:b/>
          <w:bCs/>
          <w:color w:val="C00000"/>
          <w:sz w:val="22"/>
          <w:szCs w:val="22"/>
        </w:rPr>
        <w:t>4. Assessment Four: Image Commentary</w:t>
      </w:r>
      <w:r w:rsidR="008009B7" w:rsidRPr="00F77354">
        <w:rPr>
          <w:b/>
          <w:bCs/>
          <w:color w:val="C00000"/>
          <w:sz w:val="22"/>
          <w:szCs w:val="22"/>
        </w:rPr>
        <w:t xml:space="preserve"> </w:t>
      </w:r>
      <w:r w:rsidRPr="009648BD">
        <w:rPr>
          <w:color w:val="C00000"/>
          <w:sz w:val="22"/>
          <w:szCs w:val="22"/>
        </w:rPr>
        <w:t>This is </w:t>
      </w:r>
      <w:r w:rsidRPr="009648BD">
        <w:rPr>
          <w:b/>
          <w:bCs/>
          <w:color w:val="C00000"/>
          <w:sz w:val="22"/>
          <w:szCs w:val="22"/>
        </w:rPr>
        <w:t>20%</w:t>
      </w:r>
      <w:r w:rsidRPr="009648BD">
        <w:rPr>
          <w:color w:val="C00000"/>
          <w:sz w:val="22"/>
          <w:szCs w:val="22"/>
        </w:rPr>
        <w:t> your module grade, and is c.2000 words </w:t>
      </w:r>
    </w:p>
    <w:p w14:paraId="6E4D6BAB" w14:textId="6E9CBD77" w:rsidR="009648BD" w:rsidRPr="009648BD" w:rsidRDefault="009648BD" w:rsidP="00A03088">
      <w:pPr>
        <w:spacing w:line="240" w:lineRule="auto"/>
        <w:rPr>
          <w:color w:val="C00000"/>
          <w:sz w:val="22"/>
          <w:szCs w:val="22"/>
        </w:rPr>
      </w:pPr>
      <w:r w:rsidRPr="009648BD">
        <w:rPr>
          <w:color w:val="C00000"/>
          <w:sz w:val="22"/>
          <w:szCs w:val="22"/>
        </w:rPr>
        <w:t>Write a commentary on an image that you have found via archival research (either digital or physical archives). This could be a page from a digitised manuscript or a painting, photograph, tapestry, map, etc. located in an archive.</w:t>
      </w:r>
      <w:r w:rsidR="008009B7" w:rsidRPr="00F77354">
        <w:rPr>
          <w:color w:val="C00000"/>
          <w:sz w:val="22"/>
          <w:szCs w:val="22"/>
        </w:rPr>
        <w:br/>
      </w:r>
      <w:r w:rsidRPr="009648BD">
        <w:rPr>
          <w:color w:val="C00000"/>
          <w:sz w:val="22"/>
          <w:szCs w:val="22"/>
        </w:rPr>
        <w:t>The purpose of the commentary is for you to demonstrate that you understand the significance of a visual image, such as a painting or an illustrated page from a medieval manuscript. What we are asking you to do is to set a visual image it within its artistic, literary, social, cultural and/or historical context. You may wish to comment on the following:</w:t>
      </w:r>
    </w:p>
    <w:p w14:paraId="1894986E" w14:textId="584BA41C" w:rsidR="009648BD" w:rsidRPr="009648BD" w:rsidRDefault="009648BD" w:rsidP="00A03088">
      <w:pPr>
        <w:spacing w:line="240" w:lineRule="auto"/>
        <w:ind w:left="720"/>
        <w:rPr>
          <w:color w:val="C00000"/>
          <w:sz w:val="22"/>
          <w:szCs w:val="22"/>
        </w:rPr>
      </w:pPr>
      <w:r w:rsidRPr="009648BD">
        <w:rPr>
          <w:b/>
          <w:bCs/>
          <w:color w:val="C00000"/>
          <w:sz w:val="22"/>
          <w:szCs w:val="22"/>
        </w:rPr>
        <w:t>Content:</w:t>
      </w:r>
      <w:r w:rsidRPr="009648BD">
        <w:rPr>
          <w:color w:val="C00000"/>
          <w:sz w:val="22"/>
          <w:szCs w:val="22"/>
        </w:rPr>
        <w:t> What is depicted in the image? What are its most notable aesthetic features? What artistic techniques were used in its production?</w:t>
      </w:r>
      <w:r w:rsidR="008009B7" w:rsidRPr="00F77354">
        <w:rPr>
          <w:color w:val="C00000"/>
          <w:sz w:val="22"/>
          <w:szCs w:val="22"/>
        </w:rPr>
        <w:br/>
      </w:r>
      <w:r w:rsidRPr="009648BD">
        <w:rPr>
          <w:b/>
          <w:bCs/>
          <w:color w:val="C00000"/>
          <w:sz w:val="22"/>
          <w:szCs w:val="22"/>
        </w:rPr>
        <w:t>Context:</w:t>
      </w:r>
      <w:r w:rsidRPr="009648BD">
        <w:rPr>
          <w:color w:val="C00000"/>
          <w:sz w:val="22"/>
          <w:szCs w:val="22"/>
        </w:rPr>
        <w:t> What historical period is the image from and how might the image help us understand the historical period (and vice versa)?</w:t>
      </w:r>
      <w:r w:rsidR="008009B7" w:rsidRPr="00F77354">
        <w:rPr>
          <w:color w:val="C00000"/>
          <w:sz w:val="22"/>
          <w:szCs w:val="22"/>
        </w:rPr>
        <w:br/>
      </w:r>
      <w:r w:rsidRPr="009648BD">
        <w:rPr>
          <w:b/>
          <w:bCs/>
          <w:color w:val="C00000"/>
          <w:sz w:val="22"/>
          <w:szCs w:val="22"/>
        </w:rPr>
        <w:t>Medium &amp; Materials:</w:t>
      </w:r>
      <w:r w:rsidRPr="009648BD">
        <w:rPr>
          <w:color w:val="C00000"/>
          <w:sz w:val="22"/>
          <w:szCs w:val="22"/>
        </w:rPr>
        <w:t> What type of image is your source? What physical materials were used in its production?</w:t>
      </w:r>
      <w:r w:rsidR="008009B7" w:rsidRPr="00F77354">
        <w:rPr>
          <w:color w:val="C00000"/>
          <w:sz w:val="22"/>
          <w:szCs w:val="22"/>
        </w:rPr>
        <w:br/>
      </w:r>
      <w:r w:rsidRPr="009648BD">
        <w:rPr>
          <w:b/>
          <w:bCs/>
          <w:color w:val="C00000"/>
          <w:sz w:val="22"/>
          <w:szCs w:val="22"/>
        </w:rPr>
        <w:t>Producer(s)</w:t>
      </w:r>
      <w:r w:rsidRPr="009648BD">
        <w:rPr>
          <w:color w:val="C00000"/>
          <w:sz w:val="22"/>
          <w:szCs w:val="22"/>
        </w:rPr>
        <w:t>: Who made the visual source?</w:t>
      </w:r>
      <w:r w:rsidR="008009B7" w:rsidRPr="00F77354">
        <w:rPr>
          <w:color w:val="C00000"/>
          <w:sz w:val="22"/>
          <w:szCs w:val="22"/>
        </w:rPr>
        <w:br/>
      </w:r>
      <w:r w:rsidRPr="009648BD">
        <w:rPr>
          <w:b/>
          <w:bCs/>
          <w:color w:val="C00000"/>
          <w:sz w:val="22"/>
          <w:szCs w:val="22"/>
        </w:rPr>
        <w:t>Audience/Setting:</w:t>
      </w:r>
      <w:r w:rsidRPr="009648BD">
        <w:rPr>
          <w:color w:val="C00000"/>
          <w:sz w:val="22"/>
          <w:szCs w:val="22"/>
        </w:rPr>
        <w:t> Which people was the source intended to be seen by? Where was the image originally situated?</w:t>
      </w:r>
      <w:r w:rsidRPr="00F77354">
        <w:rPr>
          <w:color w:val="C00000"/>
          <w:sz w:val="22"/>
          <w:szCs w:val="22"/>
        </w:rPr>
        <w:br/>
      </w:r>
      <w:r w:rsidRPr="009648BD">
        <w:rPr>
          <w:b/>
          <w:bCs/>
          <w:color w:val="C00000"/>
          <w:sz w:val="22"/>
          <w:szCs w:val="22"/>
        </w:rPr>
        <w:t>Significance:</w:t>
      </w:r>
      <w:r w:rsidRPr="009648BD">
        <w:rPr>
          <w:color w:val="C00000"/>
          <w:sz w:val="22"/>
          <w:szCs w:val="22"/>
        </w:rPr>
        <w:t xml:space="preserve"> Why does the source matter? Why do </w:t>
      </w:r>
      <w:proofErr w:type="gramStart"/>
      <w:r w:rsidRPr="009648BD">
        <w:rPr>
          <w:color w:val="C00000"/>
          <w:sz w:val="22"/>
          <w:szCs w:val="22"/>
        </w:rPr>
        <w:t>all of</w:t>
      </w:r>
      <w:proofErr w:type="gramEnd"/>
      <w:r w:rsidRPr="009648BD">
        <w:rPr>
          <w:color w:val="C00000"/>
          <w:sz w:val="22"/>
          <w:szCs w:val="22"/>
        </w:rPr>
        <w:t xml:space="preserve"> the above points matter?</w:t>
      </w:r>
    </w:p>
    <w:p w14:paraId="17A86AF6" w14:textId="77777777" w:rsidR="009648BD" w:rsidRPr="00F77354" w:rsidRDefault="009648BD" w:rsidP="00A03088">
      <w:pPr>
        <w:spacing w:line="240" w:lineRule="auto"/>
        <w:rPr>
          <w:color w:val="C00000"/>
          <w:sz w:val="22"/>
          <w:szCs w:val="22"/>
        </w:rPr>
      </w:pPr>
      <w:r w:rsidRPr="009648BD">
        <w:rPr>
          <w:color w:val="C00000"/>
          <w:sz w:val="22"/>
          <w:szCs w:val="22"/>
        </w:rPr>
        <w:t xml:space="preserve">You will also need to relate this to notions of ‘visual culture’ and </w:t>
      </w:r>
      <w:proofErr w:type="gramStart"/>
      <w:r w:rsidRPr="009648BD">
        <w:rPr>
          <w:color w:val="C00000"/>
          <w:sz w:val="22"/>
          <w:szCs w:val="22"/>
        </w:rPr>
        <w:t>give consideration to</w:t>
      </w:r>
      <w:proofErr w:type="gramEnd"/>
      <w:r w:rsidRPr="009648BD">
        <w:rPr>
          <w:color w:val="C00000"/>
          <w:sz w:val="22"/>
          <w:szCs w:val="22"/>
        </w:rPr>
        <w:t xml:space="preserve"> the significance of the </w:t>
      </w:r>
      <w:proofErr w:type="gramStart"/>
      <w:r w:rsidRPr="009648BD">
        <w:rPr>
          <w:color w:val="C00000"/>
          <w:sz w:val="22"/>
          <w:szCs w:val="22"/>
        </w:rPr>
        <w:t>particular medium</w:t>
      </w:r>
      <w:proofErr w:type="gramEnd"/>
      <w:r w:rsidRPr="009648BD">
        <w:rPr>
          <w:color w:val="C00000"/>
          <w:sz w:val="22"/>
          <w:szCs w:val="22"/>
        </w:rPr>
        <w:t xml:space="preserve"> of your chosen image (e.g. a painting, a tympanum, an illumination, photograph, manuscript).</w:t>
      </w:r>
    </w:p>
    <w:p w14:paraId="7C95DAD2" w14:textId="77777777" w:rsidR="00973C23" w:rsidRDefault="00973C23" w:rsidP="00A03088">
      <w:pPr>
        <w:spacing w:line="240" w:lineRule="auto"/>
        <w:rPr>
          <w:sz w:val="22"/>
          <w:szCs w:val="22"/>
        </w:rPr>
      </w:pPr>
    </w:p>
    <w:p w14:paraId="2A0E1F6C" w14:textId="77777777" w:rsidR="00973C23" w:rsidRDefault="00973C23" w:rsidP="00A03088">
      <w:pPr>
        <w:spacing w:line="240" w:lineRule="auto"/>
        <w:rPr>
          <w:sz w:val="22"/>
          <w:szCs w:val="22"/>
        </w:rPr>
      </w:pPr>
    </w:p>
    <w:p w14:paraId="56C5E841" w14:textId="77777777" w:rsidR="00973C23" w:rsidRPr="009648BD" w:rsidRDefault="00973C23" w:rsidP="00A03088">
      <w:pPr>
        <w:spacing w:line="240" w:lineRule="auto"/>
        <w:rPr>
          <w:sz w:val="22"/>
          <w:szCs w:val="22"/>
        </w:rPr>
      </w:pPr>
    </w:p>
    <w:p w14:paraId="78D68D76" w14:textId="63793228" w:rsidR="00BF79E3" w:rsidRPr="004927B2" w:rsidRDefault="004927B2" w:rsidP="00B15300">
      <w:pPr>
        <w:spacing w:line="240" w:lineRule="auto"/>
        <w:rPr>
          <w:sz w:val="22"/>
          <w:szCs w:val="22"/>
        </w:rPr>
      </w:pPr>
      <w:r w:rsidRPr="004927B2">
        <w:rPr>
          <w:sz w:val="22"/>
          <w:szCs w:val="22"/>
        </w:rPr>
        <w:lastRenderedPageBreak/>
        <w:t xml:space="preserve">The </w:t>
      </w:r>
      <w:proofErr w:type="spellStart"/>
      <w:r w:rsidRPr="004927B2">
        <w:rPr>
          <w:sz w:val="22"/>
          <w:szCs w:val="22"/>
        </w:rPr>
        <w:t>Mérode</w:t>
      </w:r>
      <w:proofErr w:type="spellEnd"/>
      <w:r w:rsidRPr="004927B2">
        <w:rPr>
          <w:sz w:val="22"/>
          <w:szCs w:val="22"/>
        </w:rPr>
        <w:t xml:space="preserve"> Altarpiece is a triptych of the Annunciation</w:t>
      </w:r>
      <w:r w:rsidR="001F5756">
        <w:rPr>
          <w:sz w:val="22"/>
          <w:szCs w:val="22"/>
        </w:rPr>
        <w:t xml:space="preserve"> </w:t>
      </w:r>
      <w:r w:rsidR="001F5756" w:rsidRPr="004927B2">
        <w:rPr>
          <w:sz w:val="22"/>
          <w:szCs w:val="22"/>
        </w:rPr>
        <w:t>painted</w:t>
      </w:r>
      <w:r w:rsidR="001F5756">
        <w:rPr>
          <w:sz w:val="22"/>
          <w:szCs w:val="22"/>
        </w:rPr>
        <w:t xml:space="preserve"> onto three wooden panels</w:t>
      </w:r>
      <w:r w:rsidRPr="004927B2">
        <w:rPr>
          <w:sz w:val="22"/>
          <w:szCs w:val="22"/>
        </w:rPr>
        <w:t>.</w:t>
      </w:r>
      <w:r w:rsidR="00831765">
        <w:rPr>
          <w:rStyle w:val="FootnoteReference"/>
          <w:sz w:val="22"/>
          <w:szCs w:val="22"/>
        </w:rPr>
        <w:footnoteReference w:id="2"/>
      </w:r>
      <w:r w:rsidRPr="004927B2">
        <w:rPr>
          <w:sz w:val="22"/>
          <w:szCs w:val="22"/>
        </w:rPr>
        <w:t xml:space="preserve"> The work is </w:t>
      </w:r>
      <w:r w:rsidR="00AA3B64" w:rsidRPr="004927B2">
        <w:rPr>
          <w:sz w:val="22"/>
          <w:szCs w:val="22"/>
        </w:rPr>
        <w:t>often</w:t>
      </w:r>
      <w:r w:rsidRPr="004927B2">
        <w:rPr>
          <w:sz w:val="22"/>
          <w:szCs w:val="22"/>
        </w:rPr>
        <w:t xml:space="preserve"> attributed to the workshop of Robert Campin</w:t>
      </w:r>
      <w:r w:rsidR="00007D58">
        <w:rPr>
          <w:sz w:val="22"/>
          <w:szCs w:val="22"/>
        </w:rPr>
        <w:t xml:space="preserve">, </w:t>
      </w:r>
      <w:r w:rsidR="006C5638">
        <w:rPr>
          <w:sz w:val="22"/>
          <w:szCs w:val="22"/>
        </w:rPr>
        <w:t>also identified as</w:t>
      </w:r>
      <w:r w:rsidR="00007D58">
        <w:rPr>
          <w:sz w:val="22"/>
          <w:szCs w:val="22"/>
        </w:rPr>
        <w:t xml:space="preserve"> the </w:t>
      </w:r>
      <w:r w:rsidR="00007D58" w:rsidRPr="00007D58">
        <w:rPr>
          <w:sz w:val="22"/>
          <w:szCs w:val="22"/>
        </w:rPr>
        <w:t xml:space="preserve">Master of </w:t>
      </w:r>
      <w:proofErr w:type="spellStart"/>
      <w:r w:rsidR="00007D58" w:rsidRPr="00007D58">
        <w:rPr>
          <w:sz w:val="22"/>
          <w:szCs w:val="22"/>
        </w:rPr>
        <w:t>Flémalle</w:t>
      </w:r>
      <w:proofErr w:type="spellEnd"/>
      <w:r w:rsidR="00007D58">
        <w:rPr>
          <w:sz w:val="22"/>
          <w:szCs w:val="22"/>
        </w:rPr>
        <w:t>,</w:t>
      </w:r>
      <w:r w:rsidRPr="004927B2">
        <w:rPr>
          <w:sz w:val="22"/>
          <w:szCs w:val="22"/>
        </w:rPr>
        <w:t xml:space="preserve"> in Tournai in the southern Netherlands and is dated to between 1427 and 1432.</w:t>
      </w:r>
      <w:r w:rsidRPr="004927B2">
        <w:rPr>
          <w:sz w:val="22"/>
          <w:szCs w:val="22"/>
          <w:vertAlign w:val="superscript"/>
        </w:rPr>
        <w:footnoteReference w:id="3"/>
      </w:r>
      <w:r w:rsidRPr="004927B2">
        <w:rPr>
          <w:sz w:val="22"/>
          <w:szCs w:val="22"/>
        </w:rPr>
        <w:t xml:space="preserve"> The triptych </w:t>
      </w:r>
      <w:r w:rsidR="00A71D25">
        <w:rPr>
          <w:sz w:val="22"/>
          <w:szCs w:val="22"/>
        </w:rPr>
        <w:t xml:space="preserve">is </w:t>
      </w:r>
      <w:r w:rsidR="001472B8">
        <w:rPr>
          <w:sz w:val="22"/>
          <w:szCs w:val="22"/>
        </w:rPr>
        <w:t>oil painted on oak and is now located in</w:t>
      </w:r>
      <w:r w:rsidR="000E7F3C">
        <w:rPr>
          <w:sz w:val="22"/>
          <w:szCs w:val="22"/>
        </w:rPr>
        <w:t xml:space="preserve"> </w:t>
      </w:r>
      <w:proofErr w:type="spellStart"/>
      <w:r w:rsidR="000E7F3C">
        <w:rPr>
          <w:sz w:val="22"/>
          <w:szCs w:val="22"/>
        </w:rPr>
        <w:t>Manhatten</w:t>
      </w:r>
      <w:proofErr w:type="spellEnd"/>
      <w:r w:rsidR="000E7F3C">
        <w:rPr>
          <w:sz w:val="22"/>
          <w:szCs w:val="22"/>
        </w:rPr>
        <w:t>,</w:t>
      </w:r>
      <w:r w:rsidR="001472B8">
        <w:rPr>
          <w:sz w:val="22"/>
          <w:szCs w:val="22"/>
        </w:rPr>
        <w:t xml:space="preserve"> New York at the </w:t>
      </w:r>
      <w:r w:rsidR="000E7F3C">
        <w:rPr>
          <w:sz w:val="22"/>
          <w:szCs w:val="22"/>
        </w:rPr>
        <w:t>Met Cloisters</w:t>
      </w:r>
      <w:r w:rsidR="00A01797">
        <w:rPr>
          <w:sz w:val="22"/>
          <w:szCs w:val="22"/>
        </w:rPr>
        <w:t>, a museum of medieval art and architecture</w:t>
      </w:r>
      <w:r w:rsidR="000E7F3C">
        <w:rPr>
          <w:sz w:val="22"/>
          <w:szCs w:val="22"/>
        </w:rPr>
        <w:t>.</w:t>
      </w:r>
      <w:r w:rsidR="00E26992">
        <w:rPr>
          <w:rStyle w:val="FootnoteReference"/>
          <w:sz w:val="22"/>
          <w:szCs w:val="22"/>
        </w:rPr>
        <w:footnoteReference w:id="4"/>
      </w:r>
      <w:r w:rsidR="000E7F3C">
        <w:rPr>
          <w:sz w:val="22"/>
          <w:szCs w:val="22"/>
        </w:rPr>
        <w:t xml:space="preserve"> </w:t>
      </w:r>
      <w:r w:rsidR="00055B09">
        <w:rPr>
          <w:sz w:val="22"/>
          <w:szCs w:val="22"/>
        </w:rPr>
        <w:t>P</w:t>
      </w:r>
      <w:r w:rsidR="00A71D25">
        <w:rPr>
          <w:sz w:val="22"/>
          <w:szCs w:val="22"/>
        </w:rPr>
        <w:t>ainted onto</w:t>
      </w:r>
      <w:r w:rsidR="00161C10">
        <w:rPr>
          <w:sz w:val="22"/>
          <w:szCs w:val="22"/>
        </w:rPr>
        <w:t xml:space="preserve"> the two smaller side panels</w:t>
      </w:r>
      <w:r w:rsidRPr="004927B2">
        <w:rPr>
          <w:sz w:val="22"/>
          <w:szCs w:val="22"/>
        </w:rPr>
        <w:t xml:space="preserve"> </w:t>
      </w:r>
      <w:r w:rsidR="00161C10">
        <w:rPr>
          <w:sz w:val="22"/>
          <w:szCs w:val="22"/>
        </w:rPr>
        <w:t xml:space="preserve">on </w:t>
      </w:r>
      <w:r w:rsidRPr="004927B2">
        <w:rPr>
          <w:sz w:val="22"/>
          <w:szCs w:val="22"/>
        </w:rPr>
        <w:t>either sid</w:t>
      </w:r>
      <w:r w:rsidR="00161C10">
        <w:rPr>
          <w:sz w:val="22"/>
          <w:szCs w:val="22"/>
        </w:rPr>
        <w:t xml:space="preserve">e of the larger central panel is </w:t>
      </w:r>
      <w:r w:rsidRPr="004927B2">
        <w:rPr>
          <w:sz w:val="22"/>
          <w:szCs w:val="22"/>
        </w:rPr>
        <w:t xml:space="preserve">the workshop of Saint Joseph on the right and a depiction of the patrons in a garden on the left. </w:t>
      </w:r>
      <w:r w:rsidR="00745A78">
        <w:rPr>
          <w:sz w:val="22"/>
          <w:szCs w:val="22"/>
        </w:rPr>
        <w:t xml:space="preserve">These two smaller </w:t>
      </w:r>
      <w:r w:rsidR="005735F0">
        <w:rPr>
          <w:sz w:val="22"/>
          <w:szCs w:val="22"/>
        </w:rPr>
        <w:t xml:space="preserve">oak </w:t>
      </w:r>
      <w:r w:rsidR="00745A78">
        <w:rPr>
          <w:sz w:val="22"/>
          <w:szCs w:val="22"/>
        </w:rPr>
        <w:t xml:space="preserve">panels are hinged and can close. </w:t>
      </w:r>
      <w:proofErr w:type="spellStart"/>
      <w:r w:rsidR="00BF79E3">
        <w:rPr>
          <w:sz w:val="22"/>
          <w:szCs w:val="22"/>
        </w:rPr>
        <w:t>Thre</w:t>
      </w:r>
      <w:proofErr w:type="spellEnd"/>
      <w:r w:rsidR="00BF79E3">
        <w:rPr>
          <w:sz w:val="22"/>
          <w:szCs w:val="22"/>
        </w:rPr>
        <w:t xml:space="preserve"> dimensions of the entire altarpiece </w:t>
      </w:r>
      <w:r w:rsidR="00221835">
        <w:rPr>
          <w:sz w:val="22"/>
          <w:szCs w:val="22"/>
        </w:rPr>
        <w:t xml:space="preserve">when open </w:t>
      </w:r>
      <w:r w:rsidR="00BF79E3">
        <w:rPr>
          <w:sz w:val="22"/>
          <w:szCs w:val="22"/>
        </w:rPr>
        <w:t xml:space="preserve">are </w:t>
      </w:r>
      <w:r w:rsidR="00221835" w:rsidRPr="00BF79E3">
        <w:rPr>
          <w:sz w:val="22"/>
          <w:szCs w:val="22"/>
        </w:rPr>
        <w:t xml:space="preserve">64.5 </w:t>
      </w:r>
      <w:r w:rsidR="00221835">
        <w:rPr>
          <w:sz w:val="22"/>
          <w:szCs w:val="22"/>
        </w:rPr>
        <w:t>by</w:t>
      </w:r>
      <w:r w:rsidR="00221835" w:rsidRPr="00BF79E3">
        <w:rPr>
          <w:sz w:val="22"/>
          <w:szCs w:val="22"/>
        </w:rPr>
        <w:t xml:space="preserve"> 117.8 cm</w:t>
      </w:r>
      <w:r w:rsidR="00221835">
        <w:rPr>
          <w:sz w:val="22"/>
          <w:szCs w:val="22"/>
        </w:rPr>
        <w:t xml:space="preserve">, the central panel is </w:t>
      </w:r>
      <w:r w:rsidR="00221835" w:rsidRPr="00BF79E3">
        <w:rPr>
          <w:sz w:val="22"/>
          <w:szCs w:val="22"/>
        </w:rPr>
        <w:t xml:space="preserve">64.1 </w:t>
      </w:r>
      <w:r w:rsidR="00221835">
        <w:rPr>
          <w:sz w:val="22"/>
          <w:szCs w:val="22"/>
        </w:rPr>
        <w:t xml:space="preserve">by </w:t>
      </w:r>
      <w:r w:rsidR="00221835" w:rsidRPr="00BF79E3">
        <w:rPr>
          <w:sz w:val="22"/>
          <w:szCs w:val="22"/>
        </w:rPr>
        <w:t>63.2 cm</w:t>
      </w:r>
      <w:r w:rsidR="00221835">
        <w:rPr>
          <w:sz w:val="22"/>
          <w:szCs w:val="22"/>
        </w:rPr>
        <w:t xml:space="preserve">, and the </w:t>
      </w:r>
      <w:r w:rsidR="00B15300">
        <w:rPr>
          <w:sz w:val="22"/>
          <w:szCs w:val="22"/>
        </w:rPr>
        <w:t xml:space="preserve">side panels are each </w:t>
      </w:r>
      <w:r w:rsidR="00B15300" w:rsidRPr="00BF79E3">
        <w:rPr>
          <w:sz w:val="22"/>
          <w:szCs w:val="22"/>
        </w:rPr>
        <w:t xml:space="preserve">64.5 </w:t>
      </w:r>
      <w:r w:rsidR="00B15300">
        <w:rPr>
          <w:sz w:val="22"/>
          <w:szCs w:val="22"/>
        </w:rPr>
        <w:t>by</w:t>
      </w:r>
      <w:r w:rsidR="00B15300" w:rsidRPr="00BF79E3">
        <w:rPr>
          <w:sz w:val="22"/>
          <w:szCs w:val="22"/>
        </w:rPr>
        <w:t xml:space="preserve"> 27.3 cm</w:t>
      </w:r>
      <w:r w:rsidR="00B15300">
        <w:rPr>
          <w:sz w:val="22"/>
          <w:szCs w:val="22"/>
        </w:rPr>
        <w:t>.</w:t>
      </w:r>
      <w:r w:rsidR="00C44DB3">
        <w:rPr>
          <w:rStyle w:val="FootnoteReference"/>
          <w:sz w:val="22"/>
          <w:szCs w:val="22"/>
        </w:rPr>
        <w:footnoteReference w:id="5"/>
      </w:r>
    </w:p>
    <w:p w14:paraId="24B0FF1F" w14:textId="786BC601" w:rsidR="004927B2" w:rsidRPr="004927B2" w:rsidRDefault="004927B2" w:rsidP="00A03088">
      <w:pPr>
        <w:spacing w:line="240" w:lineRule="auto"/>
        <w:rPr>
          <w:sz w:val="22"/>
          <w:szCs w:val="22"/>
        </w:rPr>
      </w:pPr>
      <w:r w:rsidRPr="004927B2">
        <w:rPr>
          <w:sz w:val="22"/>
          <w:szCs w:val="22"/>
        </w:rPr>
        <w:t xml:space="preserve">The </w:t>
      </w:r>
      <w:r w:rsidR="00945816">
        <w:rPr>
          <w:sz w:val="22"/>
          <w:szCs w:val="22"/>
        </w:rPr>
        <w:t>middle</w:t>
      </w:r>
      <w:r w:rsidRPr="004927B2">
        <w:rPr>
          <w:sz w:val="22"/>
          <w:szCs w:val="22"/>
        </w:rPr>
        <w:t xml:space="preserve"> panel </w:t>
      </w:r>
      <w:r w:rsidR="00007FE4">
        <w:rPr>
          <w:sz w:val="22"/>
          <w:szCs w:val="22"/>
        </w:rPr>
        <w:t>depicts</w:t>
      </w:r>
      <w:r w:rsidRPr="004927B2">
        <w:rPr>
          <w:sz w:val="22"/>
          <w:szCs w:val="22"/>
        </w:rPr>
        <w:t xml:space="preserve"> the scene of the Annunciation </w:t>
      </w:r>
      <w:proofErr w:type="gramStart"/>
      <w:r w:rsidRPr="004927B2">
        <w:rPr>
          <w:sz w:val="22"/>
          <w:szCs w:val="22"/>
        </w:rPr>
        <w:t>at the moment</w:t>
      </w:r>
      <w:proofErr w:type="gramEnd"/>
      <w:r w:rsidRPr="004927B2">
        <w:rPr>
          <w:sz w:val="22"/>
          <w:szCs w:val="22"/>
        </w:rPr>
        <w:t xml:space="preserve"> </w:t>
      </w:r>
      <w:r w:rsidR="00007FE4">
        <w:rPr>
          <w:sz w:val="22"/>
          <w:szCs w:val="22"/>
        </w:rPr>
        <w:t xml:space="preserve">that </w:t>
      </w:r>
      <w:r w:rsidRPr="004927B2">
        <w:rPr>
          <w:sz w:val="22"/>
          <w:szCs w:val="22"/>
        </w:rPr>
        <w:t>the Virgin Mary conceives</w:t>
      </w:r>
      <w:r w:rsidR="00007FE4">
        <w:rPr>
          <w:sz w:val="22"/>
          <w:szCs w:val="22"/>
        </w:rPr>
        <w:t xml:space="preserve"> the </w:t>
      </w:r>
      <w:r w:rsidR="00CC33AD">
        <w:rPr>
          <w:sz w:val="22"/>
          <w:szCs w:val="22"/>
        </w:rPr>
        <w:t>Christ Child</w:t>
      </w:r>
      <w:r w:rsidRPr="004927B2">
        <w:rPr>
          <w:sz w:val="22"/>
          <w:szCs w:val="22"/>
        </w:rPr>
        <w:t xml:space="preserve">. The room depicted in this </w:t>
      </w:r>
      <w:r w:rsidR="00BA34AA">
        <w:rPr>
          <w:sz w:val="22"/>
          <w:szCs w:val="22"/>
        </w:rPr>
        <w:t xml:space="preserve">central </w:t>
      </w:r>
      <w:r w:rsidRPr="004927B2">
        <w:rPr>
          <w:sz w:val="22"/>
          <w:szCs w:val="22"/>
        </w:rPr>
        <w:t xml:space="preserve">panel is </w:t>
      </w:r>
      <w:r w:rsidR="00AA227F">
        <w:rPr>
          <w:sz w:val="22"/>
          <w:szCs w:val="22"/>
        </w:rPr>
        <w:t xml:space="preserve">an </w:t>
      </w:r>
      <w:r w:rsidRPr="004927B2">
        <w:rPr>
          <w:sz w:val="22"/>
          <w:szCs w:val="22"/>
        </w:rPr>
        <w:t>easily recognisable</w:t>
      </w:r>
      <w:r w:rsidR="00AA227F">
        <w:rPr>
          <w:sz w:val="22"/>
          <w:szCs w:val="22"/>
        </w:rPr>
        <w:t xml:space="preserve"> </w:t>
      </w:r>
      <w:r w:rsidRPr="004927B2">
        <w:rPr>
          <w:sz w:val="22"/>
          <w:szCs w:val="22"/>
        </w:rPr>
        <w:t>contemporary Flemish domestic interior.</w:t>
      </w:r>
      <w:r w:rsidRPr="004927B2">
        <w:rPr>
          <w:sz w:val="22"/>
          <w:szCs w:val="22"/>
          <w:vertAlign w:val="superscript"/>
        </w:rPr>
        <w:footnoteReference w:id="6"/>
      </w:r>
      <w:r w:rsidRPr="004927B2">
        <w:rPr>
          <w:sz w:val="22"/>
          <w:szCs w:val="22"/>
        </w:rPr>
        <w:t xml:space="preserve"> </w:t>
      </w:r>
      <w:r w:rsidR="00F519E8">
        <w:rPr>
          <w:sz w:val="22"/>
          <w:szCs w:val="22"/>
        </w:rPr>
        <w:t xml:space="preserve">This room is </w:t>
      </w:r>
      <w:r w:rsidR="00AA227F" w:rsidRPr="004927B2">
        <w:rPr>
          <w:sz w:val="22"/>
          <w:szCs w:val="22"/>
        </w:rPr>
        <w:t>an intensely private and secluded space</w:t>
      </w:r>
      <w:r w:rsidR="00F519E8">
        <w:rPr>
          <w:sz w:val="22"/>
          <w:szCs w:val="22"/>
        </w:rPr>
        <w:t xml:space="preserve">. Apart from the highest panes in the </w:t>
      </w:r>
      <w:r w:rsidR="003E5CC5">
        <w:rPr>
          <w:sz w:val="22"/>
          <w:szCs w:val="22"/>
        </w:rPr>
        <w:t>window, t</w:t>
      </w:r>
      <w:r w:rsidRPr="004927B2">
        <w:rPr>
          <w:sz w:val="22"/>
          <w:szCs w:val="22"/>
        </w:rPr>
        <w:t>he shutters and screens on the windows are closed</w:t>
      </w:r>
      <w:r w:rsidR="003E5CC5">
        <w:rPr>
          <w:sz w:val="22"/>
          <w:szCs w:val="22"/>
        </w:rPr>
        <w:t xml:space="preserve"> </w:t>
      </w:r>
      <w:r w:rsidRPr="004927B2">
        <w:rPr>
          <w:sz w:val="22"/>
          <w:szCs w:val="22"/>
        </w:rPr>
        <w:t xml:space="preserve">so that the only thing </w:t>
      </w:r>
      <w:r w:rsidR="00127A6E">
        <w:rPr>
          <w:sz w:val="22"/>
          <w:szCs w:val="22"/>
        </w:rPr>
        <w:t>that can be seen</w:t>
      </w:r>
      <w:r w:rsidRPr="004927B2">
        <w:rPr>
          <w:sz w:val="22"/>
          <w:szCs w:val="22"/>
        </w:rPr>
        <w:t xml:space="preserve"> from the interior are the clouds in the sky</w:t>
      </w:r>
      <w:r w:rsidR="00062904">
        <w:rPr>
          <w:sz w:val="22"/>
          <w:szCs w:val="22"/>
        </w:rPr>
        <w:t xml:space="preserve">. </w:t>
      </w:r>
      <w:proofErr w:type="gramStart"/>
      <w:r w:rsidR="00062904">
        <w:rPr>
          <w:sz w:val="22"/>
          <w:szCs w:val="22"/>
        </w:rPr>
        <w:t>Thus</w:t>
      </w:r>
      <w:proofErr w:type="gramEnd"/>
      <w:r w:rsidR="00062904">
        <w:rPr>
          <w:sz w:val="22"/>
          <w:szCs w:val="22"/>
        </w:rPr>
        <w:t xml:space="preserve"> </w:t>
      </w:r>
      <w:r w:rsidRPr="004927B2">
        <w:rPr>
          <w:sz w:val="22"/>
          <w:szCs w:val="22"/>
        </w:rPr>
        <w:t xml:space="preserve">the privacy of preceding Annunciation artworks is maintained. </w:t>
      </w:r>
      <w:r w:rsidR="00424C61" w:rsidRPr="004927B2">
        <w:rPr>
          <w:sz w:val="22"/>
          <w:szCs w:val="22"/>
        </w:rPr>
        <w:t>However,</w:t>
      </w:r>
      <w:r w:rsidRPr="004927B2">
        <w:rPr>
          <w:sz w:val="22"/>
          <w:szCs w:val="22"/>
        </w:rPr>
        <w:t xml:space="preserve"> </w:t>
      </w:r>
      <w:r w:rsidR="00FE2F02">
        <w:rPr>
          <w:sz w:val="22"/>
          <w:szCs w:val="22"/>
        </w:rPr>
        <w:t>t</w:t>
      </w:r>
      <w:r w:rsidRPr="004927B2">
        <w:rPr>
          <w:sz w:val="22"/>
          <w:szCs w:val="22"/>
        </w:rPr>
        <w:t>h</w:t>
      </w:r>
      <w:r w:rsidR="00062904">
        <w:rPr>
          <w:sz w:val="22"/>
          <w:szCs w:val="22"/>
        </w:rPr>
        <w:t xml:space="preserve">e </w:t>
      </w:r>
      <w:proofErr w:type="spellStart"/>
      <w:r w:rsidR="00062904" w:rsidRPr="004927B2">
        <w:rPr>
          <w:sz w:val="22"/>
          <w:szCs w:val="22"/>
        </w:rPr>
        <w:t>Mérode</w:t>
      </w:r>
      <w:proofErr w:type="spellEnd"/>
      <w:r w:rsidR="00062904" w:rsidRPr="004927B2">
        <w:rPr>
          <w:sz w:val="22"/>
          <w:szCs w:val="22"/>
        </w:rPr>
        <w:t xml:space="preserve"> Altarpiece</w:t>
      </w:r>
      <w:r w:rsidRPr="004927B2">
        <w:rPr>
          <w:sz w:val="22"/>
          <w:szCs w:val="22"/>
        </w:rPr>
        <w:t xml:space="preserve"> is the first known depiction of the Annunciation </w:t>
      </w:r>
      <w:r w:rsidR="00E442BE">
        <w:rPr>
          <w:sz w:val="22"/>
          <w:szCs w:val="22"/>
        </w:rPr>
        <w:t>which does not take place in the more common</w:t>
      </w:r>
      <w:r w:rsidR="009560C2">
        <w:rPr>
          <w:sz w:val="22"/>
          <w:szCs w:val="22"/>
        </w:rPr>
        <w:t xml:space="preserve"> setting of </w:t>
      </w:r>
      <w:r w:rsidR="007B3881">
        <w:rPr>
          <w:sz w:val="22"/>
          <w:szCs w:val="22"/>
        </w:rPr>
        <w:t xml:space="preserve">the young Virgin </w:t>
      </w:r>
      <w:r w:rsidR="009560C2">
        <w:rPr>
          <w:sz w:val="22"/>
          <w:szCs w:val="22"/>
        </w:rPr>
        <w:t>Mary’s bedchamber, the</w:t>
      </w:r>
      <w:r w:rsidR="00E442BE">
        <w:rPr>
          <w:sz w:val="22"/>
          <w:szCs w:val="22"/>
        </w:rPr>
        <w:t xml:space="preserve"> </w:t>
      </w:r>
      <w:r w:rsidR="00E442BE" w:rsidRPr="004927B2">
        <w:rPr>
          <w:i/>
          <w:sz w:val="22"/>
          <w:szCs w:val="22"/>
        </w:rPr>
        <w:t xml:space="preserve">thalamus </w:t>
      </w:r>
      <w:proofErr w:type="spellStart"/>
      <w:r w:rsidR="00E442BE" w:rsidRPr="004927B2">
        <w:rPr>
          <w:i/>
          <w:sz w:val="22"/>
          <w:szCs w:val="22"/>
        </w:rPr>
        <w:t>virginis</w:t>
      </w:r>
      <w:proofErr w:type="spellEnd"/>
      <w:r w:rsidR="009560C2">
        <w:rPr>
          <w:sz w:val="22"/>
          <w:szCs w:val="22"/>
        </w:rPr>
        <w:t xml:space="preserve">, </w:t>
      </w:r>
      <w:r w:rsidR="00E442BE">
        <w:rPr>
          <w:sz w:val="22"/>
          <w:szCs w:val="22"/>
        </w:rPr>
        <w:t>but in a c</w:t>
      </w:r>
      <w:r w:rsidR="009560C2">
        <w:rPr>
          <w:sz w:val="22"/>
          <w:szCs w:val="22"/>
        </w:rPr>
        <w:t>ontemporary and domestic living space</w:t>
      </w:r>
      <w:r w:rsidRPr="004927B2">
        <w:rPr>
          <w:sz w:val="22"/>
          <w:szCs w:val="22"/>
        </w:rPr>
        <w:t>.</w:t>
      </w:r>
      <w:r w:rsidRPr="004927B2">
        <w:rPr>
          <w:sz w:val="22"/>
          <w:szCs w:val="22"/>
          <w:vertAlign w:val="superscript"/>
        </w:rPr>
        <w:footnoteReference w:id="7"/>
      </w:r>
      <w:r w:rsidRPr="004927B2">
        <w:rPr>
          <w:sz w:val="22"/>
          <w:szCs w:val="22"/>
        </w:rPr>
        <w:t xml:space="preserve"> </w:t>
      </w:r>
    </w:p>
    <w:p w14:paraId="35380075" w14:textId="4C851485" w:rsidR="004927B2" w:rsidRPr="004927B2" w:rsidRDefault="004927B2" w:rsidP="00A03088">
      <w:pPr>
        <w:spacing w:line="240" w:lineRule="auto"/>
        <w:rPr>
          <w:sz w:val="22"/>
          <w:szCs w:val="22"/>
        </w:rPr>
      </w:pPr>
      <w:r w:rsidRPr="004927B2">
        <w:rPr>
          <w:sz w:val="22"/>
          <w:szCs w:val="22"/>
        </w:rPr>
        <w:t xml:space="preserve">The Angel Gabriel </w:t>
      </w:r>
      <w:r w:rsidR="00A7011F">
        <w:rPr>
          <w:sz w:val="22"/>
          <w:szCs w:val="22"/>
        </w:rPr>
        <w:t xml:space="preserve">faces </w:t>
      </w:r>
      <w:r w:rsidRPr="004927B2">
        <w:rPr>
          <w:sz w:val="22"/>
          <w:szCs w:val="22"/>
        </w:rPr>
        <w:t>the Virgin Mary and is in the process of kneeling and bending towards her</w:t>
      </w:r>
      <w:r w:rsidR="007B3881">
        <w:rPr>
          <w:sz w:val="22"/>
          <w:szCs w:val="22"/>
        </w:rPr>
        <w:t xml:space="preserve">. </w:t>
      </w:r>
      <w:r w:rsidR="00DF3126">
        <w:rPr>
          <w:sz w:val="22"/>
          <w:szCs w:val="22"/>
        </w:rPr>
        <w:t xml:space="preserve">This creates an </w:t>
      </w:r>
      <w:r w:rsidRPr="004927B2">
        <w:rPr>
          <w:sz w:val="22"/>
          <w:szCs w:val="22"/>
        </w:rPr>
        <w:t xml:space="preserve">impression that </w:t>
      </w:r>
      <w:r w:rsidR="00DF3126">
        <w:rPr>
          <w:sz w:val="22"/>
          <w:szCs w:val="22"/>
        </w:rPr>
        <w:t>t</w:t>
      </w:r>
      <w:r w:rsidRPr="004927B2">
        <w:rPr>
          <w:sz w:val="22"/>
          <w:szCs w:val="22"/>
        </w:rPr>
        <w:t xml:space="preserve">he </w:t>
      </w:r>
      <w:r w:rsidR="00DF3126">
        <w:rPr>
          <w:sz w:val="22"/>
          <w:szCs w:val="22"/>
        </w:rPr>
        <w:t xml:space="preserve">angel </w:t>
      </w:r>
      <w:r w:rsidRPr="004927B2">
        <w:rPr>
          <w:sz w:val="22"/>
          <w:szCs w:val="22"/>
        </w:rPr>
        <w:t xml:space="preserve">is trying to catch </w:t>
      </w:r>
      <w:r w:rsidR="00DF3126">
        <w:rPr>
          <w:sz w:val="22"/>
          <w:szCs w:val="22"/>
        </w:rPr>
        <w:t>the Virgin’s</w:t>
      </w:r>
      <w:r w:rsidRPr="004927B2">
        <w:rPr>
          <w:sz w:val="22"/>
          <w:szCs w:val="22"/>
        </w:rPr>
        <w:t xml:space="preserve"> attention. </w:t>
      </w:r>
      <w:r w:rsidR="00FD3BEC">
        <w:rPr>
          <w:sz w:val="22"/>
          <w:szCs w:val="22"/>
        </w:rPr>
        <w:t xml:space="preserve">Mary </w:t>
      </w:r>
      <w:r w:rsidRPr="004927B2">
        <w:rPr>
          <w:sz w:val="22"/>
          <w:szCs w:val="22"/>
        </w:rPr>
        <w:t xml:space="preserve">herself is seated on </w:t>
      </w:r>
      <w:r w:rsidR="00AD14AD">
        <w:rPr>
          <w:sz w:val="22"/>
          <w:szCs w:val="22"/>
        </w:rPr>
        <w:t xml:space="preserve">either </w:t>
      </w:r>
      <w:r w:rsidRPr="004927B2">
        <w:rPr>
          <w:sz w:val="22"/>
          <w:szCs w:val="22"/>
        </w:rPr>
        <w:t xml:space="preserve">the </w:t>
      </w:r>
      <w:r w:rsidR="006D471A" w:rsidRPr="004927B2">
        <w:rPr>
          <w:sz w:val="22"/>
          <w:szCs w:val="22"/>
        </w:rPr>
        <w:t>footrest</w:t>
      </w:r>
      <w:r w:rsidRPr="004927B2">
        <w:rPr>
          <w:sz w:val="22"/>
          <w:szCs w:val="22"/>
        </w:rPr>
        <w:t xml:space="preserve"> of </w:t>
      </w:r>
      <w:r w:rsidR="00AD14AD">
        <w:rPr>
          <w:sz w:val="22"/>
          <w:szCs w:val="22"/>
        </w:rPr>
        <w:t>the long</w:t>
      </w:r>
      <w:r w:rsidRPr="004927B2">
        <w:rPr>
          <w:sz w:val="22"/>
          <w:szCs w:val="22"/>
        </w:rPr>
        <w:t xml:space="preserve"> wooden bench</w:t>
      </w:r>
      <w:r w:rsidR="00AD14AD">
        <w:rPr>
          <w:sz w:val="22"/>
          <w:szCs w:val="22"/>
        </w:rPr>
        <w:t xml:space="preserve"> </w:t>
      </w:r>
      <w:r w:rsidRPr="004927B2">
        <w:rPr>
          <w:sz w:val="22"/>
          <w:szCs w:val="22"/>
        </w:rPr>
        <w:t>or</w:t>
      </w:r>
      <w:r w:rsidR="00AD14AD">
        <w:rPr>
          <w:sz w:val="22"/>
          <w:szCs w:val="22"/>
        </w:rPr>
        <w:t>, perhaps, on</w:t>
      </w:r>
      <w:r w:rsidRPr="004927B2">
        <w:rPr>
          <w:sz w:val="22"/>
          <w:szCs w:val="22"/>
        </w:rPr>
        <w:t xml:space="preserve"> the floor</w:t>
      </w:r>
      <w:r w:rsidR="00AD14AD">
        <w:rPr>
          <w:sz w:val="22"/>
          <w:szCs w:val="22"/>
        </w:rPr>
        <w:t>. She</w:t>
      </w:r>
      <w:r w:rsidRPr="004927B2">
        <w:rPr>
          <w:sz w:val="22"/>
          <w:szCs w:val="22"/>
        </w:rPr>
        <w:t xml:space="preserve"> is </w:t>
      </w:r>
      <w:r w:rsidR="00A93112">
        <w:rPr>
          <w:sz w:val="22"/>
          <w:szCs w:val="22"/>
        </w:rPr>
        <w:t xml:space="preserve">wearing </w:t>
      </w:r>
      <w:r w:rsidRPr="004927B2">
        <w:rPr>
          <w:sz w:val="22"/>
          <w:szCs w:val="22"/>
        </w:rPr>
        <w:t xml:space="preserve">a </w:t>
      </w:r>
      <w:proofErr w:type="gramStart"/>
      <w:r w:rsidRPr="004927B2">
        <w:rPr>
          <w:sz w:val="22"/>
          <w:szCs w:val="22"/>
        </w:rPr>
        <w:t>loose fitting</w:t>
      </w:r>
      <w:proofErr w:type="gramEnd"/>
      <w:r w:rsidRPr="004927B2">
        <w:rPr>
          <w:sz w:val="22"/>
          <w:szCs w:val="22"/>
        </w:rPr>
        <w:t xml:space="preserve"> red robe and </w:t>
      </w:r>
      <w:r w:rsidR="00A93112">
        <w:rPr>
          <w:sz w:val="22"/>
          <w:szCs w:val="22"/>
        </w:rPr>
        <w:t xml:space="preserve">is </w:t>
      </w:r>
      <w:r w:rsidRPr="004927B2">
        <w:rPr>
          <w:sz w:val="22"/>
          <w:szCs w:val="22"/>
        </w:rPr>
        <w:t xml:space="preserve">reading from a book. </w:t>
      </w:r>
      <w:r w:rsidR="0055150E">
        <w:rPr>
          <w:sz w:val="22"/>
          <w:szCs w:val="22"/>
        </w:rPr>
        <w:t xml:space="preserve">Mary </w:t>
      </w:r>
      <w:r w:rsidRPr="004927B2">
        <w:rPr>
          <w:sz w:val="22"/>
          <w:szCs w:val="22"/>
        </w:rPr>
        <w:t>demurely look</w:t>
      </w:r>
      <w:r w:rsidR="0055150E">
        <w:rPr>
          <w:sz w:val="22"/>
          <w:szCs w:val="22"/>
        </w:rPr>
        <w:t>s</w:t>
      </w:r>
      <w:r w:rsidRPr="004927B2">
        <w:rPr>
          <w:sz w:val="22"/>
          <w:szCs w:val="22"/>
        </w:rPr>
        <w:t xml:space="preserve"> at her book and </w:t>
      </w:r>
      <w:r w:rsidR="0055150E">
        <w:rPr>
          <w:sz w:val="22"/>
          <w:szCs w:val="22"/>
        </w:rPr>
        <w:t>seems</w:t>
      </w:r>
      <w:r w:rsidRPr="004927B2">
        <w:rPr>
          <w:sz w:val="22"/>
          <w:szCs w:val="22"/>
        </w:rPr>
        <w:t xml:space="preserve"> to be so absorbed </w:t>
      </w:r>
      <w:r w:rsidR="0055150E">
        <w:rPr>
          <w:sz w:val="22"/>
          <w:szCs w:val="22"/>
        </w:rPr>
        <w:t xml:space="preserve">in the subject matter </w:t>
      </w:r>
      <w:r w:rsidRPr="004927B2">
        <w:rPr>
          <w:sz w:val="22"/>
          <w:szCs w:val="22"/>
        </w:rPr>
        <w:t xml:space="preserve">that she </w:t>
      </w:r>
      <w:r w:rsidR="0055150E">
        <w:rPr>
          <w:sz w:val="22"/>
          <w:szCs w:val="22"/>
        </w:rPr>
        <w:t>appears</w:t>
      </w:r>
      <w:r w:rsidRPr="004927B2">
        <w:rPr>
          <w:sz w:val="22"/>
          <w:szCs w:val="22"/>
        </w:rPr>
        <w:t xml:space="preserve"> to be </w:t>
      </w:r>
      <w:r w:rsidR="0055150E">
        <w:rPr>
          <w:sz w:val="22"/>
          <w:szCs w:val="22"/>
        </w:rPr>
        <w:t xml:space="preserve">completely </w:t>
      </w:r>
      <w:r w:rsidRPr="004927B2">
        <w:rPr>
          <w:sz w:val="22"/>
          <w:szCs w:val="22"/>
        </w:rPr>
        <w:t xml:space="preserve">unaware of the presence of </w:t>
      </w:r>
      <w:r w:rsidR="00744F07">
        <w:rPr>
          <w:sz w:val="22"/>
          <w:szCs w:val="22"/>
        </w:rPr>
        <w:t>the angel Gabirel</w:t>
      </w:r>
      <w:r w:rsidRPr="004927B2">
        <w:rPr>
          <w:sz w:val="22"/>
          <w:szCs w:val="22"/>
        </w:rPr>
        <w:t xml:space="preserve">. </w:t>
      </w:r>
      <w:r w:rsidR="00744F07">
        <w:rPr>
          <w:sz w:val="22"/>
          <w:szCs w:val="22"/>
        </w:rPr>
        <w:t>Possibly</w:t>
      </w:r>
      <w:r w:rsidRPr="004927B2">
        <w:rPr>
          <w:sz w:val="22"/>
          <w:szCs w:val="22"/>
        </w:rPr>
        <w:t xml:space="preserve"> she is reading the Ol</w:t>
      </w:r>
      <w:r w:rsidR="00744F07">
        <w:rPr>
          <w:sz w:val="22"/>
          <w:szCs w:val="22"/>
        </w:rPr>
        <w:t>d</w:t>
      </w:r>
      <w:r w:rsidRPr="004927B2">
        <w:rPr>
          <w:sz w:val="22"/>
          <w:szCs w:val="22"/>
        </w:rPr>
        <w:t xml:space="preserve"> Testament</w:t>
      </w:r>
      <w:r w:rsidR="00744F07">
        <w:rPr>
          <w:sz w:val="22"/>
          <w:szCs w:val="22"/>
        </w:rPr>
        <w:t xml:space="preserve">, </w:t>
      </w:r>
      <w:proofErr w:type="gramStart"/>
      <w:r w:rsidR="00744F07">
        <w:rPr>
          <w:sz w:val="22"/>
          <w:szCs w:val="22"/>
        </w:rPr>
        <w:t>in particular</w:t>
      </w:r>
      <w:proofErr w:type="gramEnd"/>
      <w:r w:rsidR="00744F07">
        <w:rPr>
          <w:sz w:val="22"/>
          <w:szCs w:val="22"/>
        </w:rPr>
        <w:t xml:space="preserve"> the</w:t>
      </w:r>
      <w:r w:rsidRPr="004927B2">
        <w:rPr>
          <w:sz w:val="22"/>
          <w:szCs w:val="22"/>
        </w:rPr>
        <w:t xml:space="preserve"> prophecies </w:t>
      </w:r>
      <w:r w:rsidR="00744F07">
        <w:rPr>
          <w:sz w:val="22"/>
          <w:szCs w:val="22"/>
        </w:rPr>
        <w:t>heralding the birth o</w:t>
      </w:r>
      <w:r w:rsidRPr="004927B2">
        <w:rPr>
          <w:sz w:val="22"/>
          <w:szCs w:val="22"/>
        </w:rPr>
        <w:t xml:space="preserve">f the Messiah. </w:t>
      </w:r>
    </w:p>
    <w:p w14:paraId="40766B2F" w14:textId="6916E592" w:rsidR="004927B2" w:rsidRPr="004927B2" w:rsidRDefault="00642276" w:rsidP="00A03088">
      <w:pPr>
        <w:spacing w:line="240" w:lineRule="auto"/>
        <w:rPr>
          <w:sz w:val="22"/>
          <w:szCs w:val="22"/>
        </w:rPr>
      </w:pPr>
      <w:r>
        <w:rPr>
          <w:sz w:val="22"/>
          <w:szCs w:val="22"/>
        </w:rPr>
        <w:t>Nearly</w:t>
      </w:r>
      <w:r w:rsidR="004927B2" w:rsidRPr="004927B2">
        <w:rPr>
          <w:sz w:val="22"/>
          <w:szCs w:val="22"/>
        </w:rPr>
        <w:t xml:space="preserve"> all the </w:t>
      </w:r>
      <w:r>
        <w:rPr>
          <w:sz w:val="22"/>
          <w:szCs w:val="22"/>
        </w:rPr>
        <w:t>furniture and i</w:t>
      </w:r>
      <w:r w:rsidR="004927B2" w:rsidRPr="004927B2">
        <w:rPr>
          <w:sz w:val="22"/>
          <w:szCs w:val="22"/>
        </w:rPr>
        <w:t xml:space="preserve">tems </w:t>
      </w:r>
      <w:r w:rsidR="00F52E9C">
        <w:rPr>
          <w:sz w:val="22"/>
          <w:szCs w:val="22"/>
        </w:rPr>
        <w:t xml:space="preserve">in the room depicted in the central panel carry </w:t>
      </w:r>
      <w:r w:rsidR="004927B2" w:rsidRPr="004927B2">
        <w:rPr>
          <w:sz w:val="22"/>
          <w:szCs w:val="22"/>
        </w:rPr>
        <w:t xml:space="preserve">a </w:t>
      </w:r>
      <w:r w:rsidR="00F52E9C" w:rsidRPr="004927B2">
        <w:rPr>
          <w:sz w:val="22"/>
          <w:szCs w:val="22"/>
        </w:rPr>
        <w:t>significant</w:t>
      </w:r>
      <w:r w:rsidR="004927B2" w:rsidRPr="004927B2">
        <w:rPr>
          <w:sz w:val="22"/>
          <w:szCs w:val="22"/>
        </w:rPr>
        <w:t xml:space="preserve"> religious connotation.</w:t>
      </w:r>
      <w:r w:rsidR="004927B2" w:rsidRPr="004927B2">
        <w:rPr>
          <w:sz w:val="22"/>
          <w:szCs w:val="22"/>
          <w:vertAlign w:val="superscript"/>
        </w:rPr>
        <w:footnoteReference w:id="8"/>
      </w:r>
      <w:r w:rsidR="00AB7F71" w:rsidRPr="004927B2">
        <w:rPr>
          <w:sz w:val="22"/>
          <w:szCs w:val="22"/>
        </w:rPr>
        <w:t xml:space="preserve"> </w:t>
      </w:r>
      <w:r w:rsidR="004927B2" w:rsidRPr="004927B2">
        <w:rPr>
          <w:sz w:val="22"/>
          <w:szCs w:val="22"/>
        </w:rPr>
        <w:t xml:space="preserve">The book </w:t>
      </w:r>
      <w:r w:rsidR="006B4EE4">
        <w:rPr>
          <w:sz w:val="22"/>
          <w:szCs w:val="22"/>
        </w:rPr>
        <w:t xml:space="preserve">in Mary’s hands </w:t>
      </w:r>
      <w:r w:rsidR="004927B2" w:rsidRPr="004927B2">
        <w:rPr>
          <w:sz w:val="22"/>
          <w:szCs w:val="22"/>
        </w:rPr>
        <w:t xml:space="preserve">is likely </w:t>
      </w:r>
      <w:r w:rsidR="006B4EE4">
        <w:rPr>
          <w:sz w:val="22"/>
          <w:szCs w:val="22"/>
        </w:rPr>
        <w:t>to be t</w:t>
      </w:r>
      <w:r w:rsidR="004927B2" w:rsidRPr="004927B2">
        <w:rPr>
          <w:sz w:val="22"/>
          <w:szCs w:val="22"/>
        </w:rPr>
        <w:t xml:space="preserve">he </w:t>
      </w:r>
      <w:r w:rsidR="00D81165">
        <w:rPr>
          <w:sz w:val="22"/>
          <w:szCs w:val="22"/>
        </w:rPr>
        <w:t xml:space="preserve">Tanakh, the Jewish Bible and </w:t>
      </w:r>
      <w:r w:rsidR="004927B2" w:rsidRPr="004927B2">
        <w:rPr>
          <w:sz w:val="22"/>
          <w:szCs w:val="22"/>
        </w:rPr>
        <w:t>Old Testament, wrapped in a white cloth cover. On the table to her left are a</w:t>
      </w:r>
      <w:r w:rsidR="003F116A">
        <w:rPr>
          <w:sz w:val="22"/>
          <w:szCs w:val="22"/>
        </w:rPr>
        <w:t xml:space="preserve"> second</w:t>
      </w:r>
      <w:r w:rsidR="004927B2" w:rsidRPr="004927B2">
        <w:rPr>
          <w:sz w:val="22"/>
          <w:szCs w:val="22"/>
        </w:rPr>
        <w:t xml:space="preserve"> book </w:t>
      </w:r>
      <w:proofErr w:type="gramStart"/>
      <w:r w:rsidR="004927B2" w:rsidRPr="004927B2">
        <w:rPr>
          <w:sz w:val="22"/>
          <w:szCs w:val="22"/>
        </w:rPr>
        <w:t xml:space="preserve">and </w:t>
      </w:r>
      <w:r w:rsidR="003F116A">
        <w:rPr>
          <w:sz w:val="22"/>
          <w:szCs w:val="22"/>
        </w:rPr>
        <w:t>also</w:t>
      </w:r>
      <w:proofErr w:type="gramEnd"/>
      <w:r w:rsidR="003F116A">
        <w:rPr>
          <w:sz w:val="22"/>
          <w:szCs w:val="22"/>
        </w:rPr>
        <w:t xml:space="preserve"> </w:t>
      </w:r>
      <w:r w:rsidR="004927B2" w:rsidRPr="004927B2">
        <w:rPr>
          <w:sz w:val="22"/>
          <w:szCs w:val="22"/>
        </w:rPr>
        <w:t xml:space="preserve">a scroll. These </w:t>
      </w:r>
      <w:r w:rsidR="003F116A">
        <w:rPr>
          <w:sz w:val="22"/>
          <w:szCs w:val="22"/>
        </w:rPr>
        <w:t xml:space="preserve">two </w:t>
      </w:r>
      <w:r w:rsidR="00B857FB">
        <w:rPr>
          <w:sz w:val="22"/>
          <w:szCs w:val="22"/>
        </w:rPr>
        <w:t>items</w:t>
      </w:r>
      <w:r w:rsidR="003F116A">
        <w:rPr>
          <w:sz w:val="22"/>
          <w:szCs w:val="22"/>
        </w:rPr>
        <w:t xml:space="preserve"> </w:t>
      </w:r>
      <w:r w:rsidR="004927B2" w:rsidRPr="004927B2">
        <w:rPr>
          <w:sz w:val="22"/>
          <w:szCs w:val="22"/>
        </w:rPr>
        <w:t>are suggestive of the Old</w:t>
      </w:r>
      <w:r w:rsidR="003F116A">
        <w:rPr>
          <w:sz w:val="22"/>
          <w:szCs w:val="22"/>
        </w:rPr>
        <w:t xml:space="preserve"> Testament, depicted as the older scroll, </w:t>
      </w:r>
      <w:r w:rsidR="004927B2" w:rsidRPr="004927B2">
        <w:rPr>
          <w:sz w:val="22"/>
          <w:szCs w:val="22"/>
        </w:rPr>
        <w:t xml:space="preserve"> and New Testament</w:t>
      </w:r>
      <w:r w:rsidR="003F116A">
        <w:rPr>
          <w:sz w:val="22"/>
          <w:szCs w:val="22"/>
        </w:rPr>
        <w:t>, the more modern book</w:t>
      </w:r>
      <w:r w:rsidR="004927B2" w:rsidRPr="004927B2">
        <w:rPr>
          <w:sz w:val="22"/>
          <w:szCs w:val="22"/>
        </w:rPr>
        <w:t>. The</w:t>
      </w:r>
      <w:r w:rsidR="00B857FB">
        <w:rPr>
          <w:sz w:val="22"/>
          <w:szCs w:val="22"/>
        </w:rPr>
        <w:t xml:space="preserve"> </w:t>
      </w:r>
      <w:proofErr w:type="gramStart"/>
      <w:r w:rsidR="00B857FB">
        <w:rPr>
          <w:sz w:val="22"/>
          <w:szCs w:val="22"/>
        </w:rPr>
        <w:t>sixteen sided</w:t>
      </w:r>
      <w:proofErr w:type="gramEnd"/>
      <w:r w:rsidR="004927B2" w:rsidRPr="004927B2">
        <w:rPr>
          <w:sz w:val="22"/>
          <w:szCs w:val="22"/>
        </w:rPr>
        <w:t xml:space="preserve"> table</w:t>
      </w:r>
      <w:r w:rsidR="00B857FB">
        <w:rPr>
          <w:sz w:val="22"/>
          <w:szCs w:val="22"/>
        </w:rPr>
        <w:t xml:space="preserve"> </w:t>
      </w:r>
      <w:r w:rsidR="004F0CEA">
        <w:rPr>
          <w:sz w:val="22"/>
          <w:szCs w:val="22"/>
        </w:rPr>
        <w:t xml:space="preserve">may be symbolically </w:t>
      </w:r>
      <w:r w:rsidR="004927B2" w:rsidRPr="004927B2">
        <w:rPr>
          <w:sz w:val="22"/>
          <w:szCs w:val="22"/>
        </w:rPr>
        <w:t>referring to the sixteen prophets</w:t>
      </w:r>
      <w:r w:rsidR="004F0CEA">
        <w:rPr>
          <w:sz w:val="22"/>
          <w:szCs w:val="22"/>
        </w:rPr>
        <w:t xml:space="preserve"> of the </w:t>
      </w:r>
      <w:r w:rsidR="004F0CEA" w:rsidRPr="004927B2">
        <w:rPr>
          <w:sz w:val="22"/>
          <w:szCs w:val="22"/>
        </w:rPr>
        <w:t>Old Testament</w:t>
      </w:r>
      <w:r w:rsidR="004927B2" w:rsidRPr="004927B2">
        <w:rPr>
          <w:sz w:val="22"/>
          <w:szCs w:val="22"/>
        </w:rPr>
        <w:t xml:space="preserve">. The bench Mary leans against is very interesting. It is decorated with lions and dogs. The dog is a common symbol of </w:t>
      </w:r>
      <w:r w:rsidR="00E96A08" w:rsidRPr="004927B2">
        <w:rPr>
          <w:sz w:val="22"/>
          <w:szCs w:val="22"/>
        </w:rPr>
        <w:t>devotion</w:t>
      </w:r>
      <w:r w:rsidR="004927B2" w:rsidRPr="004927B2">
        <w:rPr>
          <w:sz w:val="22"/>
          <w:szCs w:val="22"/>
        </w:rPr>
        <w:t xml:space="preserve"> and the lions recall the Throne of Solomon which was decorated with lions. </w:t>
      </w:r>
      <w:r w:rsidR="00322174">
        <w:rPr>
          <w:sz w:val="22"/>
          <w:szCs w:val="22"/>
        </w:rPr>
        <w:t xml:space="preserve">In medieval Europe </w:t>
      </w:r>
      <w:proofErr w:type="gramStart"/>
      <w:r w:rsidR="004927B2" w:rsidRPr="004927B2">
        <w:rPr>
          <w:sz w:val="22"/>
          <w:szCs w:val="22"/>
        </w:rPr>
        <w:t>The</w:t>
      </w:r>
      <w:proofErr w:type="gramEnd"/>
      <w:r w:rsidR="004927B2" w:rsidRPr="004927B2">
        <w:rPr>
          <w:sz w:val="22"/>
          <w:szCs w:val="22"/>
        </w:rPr>
        <w:t xml:space="preserve"> Throne of Solomon </w:t>
      </w:r>
      <w:r w:rsidR="00322174">
        <w:rPr>
          <w:sz w:val="22"/>
          <w:szCs w:val="22"/>
        </w:rPr>
        <w:t xml:space="preserve">was a common </w:t>
      </w:r>
      <w:r w:rsidR="004927B2" w:rsidRPr="004927B2">
        <w:rPr>
          <w:sz w:val="22"/>
          <w:szCs w:val="22"/>
        </w:rPr>
        <w:t>Old Testament prototype of the Virgin.</w:t>
      </w:r>
      <w:r w:rsidR="004927B2" w:rsidRPr="004927B2">
        <w:rPr>
          <w:sz w:val="22"/>
          <w:szCs w:val="22"/>
          <w:vertAlign w:val="superscript"/>
        </w:rPr>
        <w:footnoteReference w:id="9"/>
      </w:r>
      <w:r w:rsidR="004927B2" w:rsidRPr="004927B2">
        <w:rPr>
          <w:sz w:val="22"/>
          <w:szCs w:val="22"/>
        </w:rPr>
        <w:t xml:space="preserve"> </w:t>
      </w:r>
      <w:r w:rsidR="00EC0674">
        <w:rPr>
          <w:sz w:val="22"/>
          <w:szCs w:val="22"/>
        </w:rPr>
        <w:t xml:space="preserve">This </w:t>
      </w:r>
      <w:r w:rsidR="004927B2" w:rsidRPr="004927B2">
        <w:rPr>
          <w:sz w:val="22"/>
          <w:szCs w:val="22"/>
        </w:rPr>
        <w:t xml:space="preserve">bench is also evocative of the Throne of Heaven. </w:t>
      </w:r>
      <w:r w:rsidR="005237BF">
        <w:rPr>
          <w:sz w:val="22"/>
          <w:szCs w:val="22"/>
        </w:rPr>
        <w:t xml:space="preserve">The Virgin’s position against the bench draws attention </w:t>
      </w:r>
      <w:r w:rsidR="00F30E24">
        <w:rPr>
          <w:sz w:val="22"/>
          <w:szCs w:val="22"/>
        </w:rPr>
        <w:t>to her humility and loyalty, intriguingly she has not sat on the bench, but also</w:t>
      </w:r>
      <w:r w:rsidR="00780F41">
        <w:rPr>
          <w:sz w:val="22"/>
          <w:szCs w:val="22"/>
        </w:rPr>
        <w:t xml:space="preserve"> emphasises </w:t>
      </w:r>
      <w:r w:rsidR="00F30314">
        <w:rPr>
          <w:sz w:val="22"/>
          <w:szCs w:val="22"/>
        </w:rPr>
        <w:t>how the seat is unoccupied.</w:t>
      </w:r>
      <w:r w:rsidR="004927B2" w:rsidRPr="004927B2">
        <w:rPr>
          <w:sz w:val="22"/>
          <w:szCs w:val="22"/>
          <w:vertAlign w:val="superscript"/>
        </w:rPr>
        <w:footnoteReference w:id="10"/>
      </w:r>
      <w:r w:rsidR="004927B2" w:rsidRPr="004927B2">
        <w:rPr>
          <w:sz w:val="22"/>
          <w:szCs w:val="22"/>
        </w:rPr>
        <w:t xml:space="preserve"> The</w:t>
      </w:r>
      <w:r w:rsidR="00250D29">
        <w:rPr>
          <w:sz w:val="22"/>
          <w:szCs w:val="22"/>
        </w:rPr>
        <w:t>re is a</w:t>
      </w:r>
      <w:r w:rsidR="004927B2" w:rsidRPr="004927B2">
        <w:rPr>
          <w:sz w:val="22"/>
          <w:szCs w:val="22"/>
        </w:rPr>
        <w:t xml:space="preserve"> cushion </w:t>
      </w:r>
      <w:r w:rsidR="00250D29">
        <w:rPr>
          <w:sz w:val="22"/>
          <w:szCs w:val="22"/>
        </w:rPr>
        <w:t xml:space="preserve">on the bench and this placement of a cushion </w:t>
      </w:r>
      <w:r w:rsidR="004927B2" w:rsidRPr="004927B2">
        <w:rPr>
          <w:sz w:val="22"/>
          <w:szCs w:val="22"/>
        </w:rPr>
        <w:t xml:space="preserve">on an </w:t>
      </w:r>
      <w:r w:rsidR="004927B2" w:rsidRPr="004927B2">
        <w:rPr>
          <w:sz w:val="22"/>
          <w:szCs w:val="22"/>
        </w:rPr>
        <w:lastRenderedPageBreak/>
        <w:t xml:space="preserve">empty bench is a common </w:t>
      </w:r>
      <w:r w:rsidR="00250D29">
        <w:rPr>
          <w:sz w:val="22"/>
          <w:szCs w:val="22"/>
        </w:rPr>
        <w:t>symbol found</w:t>
      </w:r>
      <w:r w:rsidR="004927B2" w:rsidRPr="004927B2">
        <w:rPr>
          <w:sz w:val="22"/>
          <w:szCs w:val="22"/>
        </w:rPr>
        <w:t xml:space="preserve"> in </w:t>
      </w:r>
      <w:r w:rsidR="00AD7C19">
        <w:rPr>
          <w:sz w:val="22"/>
          <w:szCs w:val="22"/>
        </w:rPr>
        <w:t xml:space="preserve">contemporary </w:t>
      </w:r>
      <w:r w:rsidR="004927B2" w:rsidRPr="004927B2">
        <w:rPr>
          <w:sz w:val="22"/>
          <w:szCs w:val="22"/>
        </w:rPr>
        <w:t xml:space="preserve">Flemish art </w:t>
      </w:r>
      <w:r w:rsidR="00AD7C19">
        <w:rPr>
          <w:sz w:val="22"/>
          <w:szCs w:val="22"/>
        </w:rPr>
        <w:t xml:space="preserve">meaning </w:t>
      </w:r>
      <w:r w:rsidR="004927B2" w:rsidRPr="004927B2">
        <w:rPr>
          <w:sz w:val="22"/>
          <w:szCs w:val="22"/>
        </w:rPr>
        <w:t xml:space="preserve">that </w:t>
      </w:r>
      <w:r w:rsidR="007011C8">
        <w:rPr>
          <w:sz w:val="22"/>
          <w:szCs w:val="22"/>
        </w:rPr>
        <w:t xml:space="preserve">the seat will soon be occupied by </w:t>
      </w:r>
      <w:r w:rsidR="004927B2" w:rsidRPr="004927B2">
        <w:rPr>
          <w:sz w:val="22"/>
          <w:szCs w:val="22"/>
        </w:rPr>
        <w:t>someone.</w:t>
      </w:r>
      <w:r w:rsidR="004927B2" w:rsidRPr="004927B2">
        <w:rPr>
          <w:sz w:val="22"/>
          <w:szCs w:val="22"/>
          <w:vertAlign w:val="superscript"/>
        </w:rPr>
        <w:footnoteReference w:id="11"/>
      </w:r>
      <w:r w:rsidR="004927B2" w:rsidRPr="004927B2">
        <w:rPr>
          <w:sz w:val="22"/>
          <w:szCs w:val="22"/>
        </w:rPr>
        <w:t xml:space="preserve"> This sense of readiness </w:t>
      </w:r>
      <w:r w:rsidR="00B34881">
        <w:rPr>
          <w:sz w:val="22"/>
          <w:szCs w:val="22"/>
        </w:rPr>
        <w:t>can be</w:t>
      </w:r>
      <w:r w:rsidR="004927B2" w:rsidRPr="004927B2">
        <w:rPr>
          <w:sz w:val="22"/>
          <w:szCs w:val="22"/>
        </w:rPr>
        <w:t xml:space="preserve"> easily understood as </w:t>
      </w:r>
      <w:r w:rsidR="00B34881">
        <w:rPr>
          <w:sz w:val="22"/>
          <w:szCs w:val="22"/>
        </w:rPr>
        <w:t>representing</w:t>
      </w:r>
      <w:r w:rsidR="004927B2" w:rsidRPr="004927B2">
        <w:rPr>
          <w:sz w:val="22"/>
          <w:szCs w:val="22"/>
        </w:rPr>
        <w:t xml:space="preserve"> the </w:t>
      </w:r>
      <w:r w:rsidR="002C5979">
        <w:rPr>
          <w:sz w:val="22"/>
          <w:szCs w:val="22"/>
        </w:rPr>
        <w:t xml:space="preserve">preparation of the </w:t>
      </w:r>
      <w:r w:rsidR="004927B2" w:rsidRPr="004927B2">
        <w:rPr>
          <w:sz w:val="22"/>
          <w:szCs w:val="22"/>
        </w:rPr>
        <w:t xml:space="preserve">world for </w:t>
      </w:r>
      <w:r w:rsidR="002C5979">
        <w:rPr>
          <w:sz w:val="22"/>
          <w:szCs w:val="22"/>
        </w:rPr>
        <w:t>t</w:t>
      </w:r>
      <w:r w:rsidR="004927B2" w:rsidRPr="004927B2">
        <w:rPr>
          <w:sz w:val="22"/>
          <w:szCs w:val="22"/>
        </w:rPr>
        <w:t xml:space="preserve">he </w:t>
      </w:r>
      <w:r w:rsidR="00867F66">
        <w:rPr>
          <w:sz w:val="22"/>
          <w:szCs w:val="22"/>
        </w:rPr>
        <w:t xml:space="preserve">coming </w:t>
      </w:r>
      <w:r w:rsidR="004927B2" w:rsidRPr="004927B2">
        <w:rPr>
          <w:sz w:val="22"/>
          <w:szCs w:val="22"/>
        </w:rPr>
        <w:t xml:space="preserve">Messiah </w:t>
      </w:r>
      <w:r w:rsidR="00681120">
        <w:rPr>
          <w:sz w:val="22"/>
          <w:szCs w:val="22"/>
        </w:rPr>
        <w:t>which at the same time being symbolic</w:t>
      </w:r>
      <w:r w:rsidR="004927B2" w:rsidRPr="004927B2">
        <w:rPr>
          <w:sz w:val="22"/>
          <w:szCs w:val="22"/>
        </w:rPr>
        <w:t xml:space="preserve"> of the Throne of Heaven </w:t>
      </w:r>
      <w:r w:rsidR="00786F69">
        <w:rPr>
          <w:sz w:val="22"/>
          <w:szCs w:val="22"/>
        </w:rPr>
        <w:t>to which</w:t>
      </w:r>
      <w:r w:rsidR="004927B2" w:rsidRPr="004927B2">
        <w:rPr>
          <w:sz w:val="22"/>
          <w:szCs w:val="22"/>
        </w:rPr>
        <w:t xml:space="preserve"> Christ will eventually ascend. The</w:t>
      </w:r>
      <w:r w:rsidR="00712B50">
        <w:rPr>
          <w:sz w:val="22"/>
          <w:szCs w:val="22"/>
        </w:rPr>
        <w:t xml:space="preserve"> position of the</w:t>
      </w:r>
      <w:r w:rsidR="004927B2" w:rsidRPr="004927B2">
        <w:rPr>
          <w:sz w:val="22"/>
          <w:szCs w:val="22"/>
        </w:rPr>
        <w:t xml:space="preserve"> bench in front of the fireplace</w:t>
      </w:r>
      <w:r w:rsidR="00712B50">
        <w:rPr>
          <w:sz w:val="22"/>
          <w:szCs w:val="22"/>
        </w:rPr>
        <w:t xml:space="preserve"> is </w:t>
      </w:r>
      <w:r w:rsidR="00730582">
        <w:rPr>
          <w:sz w:val="22"/>
          <w:szCs w:val="22"/>
        </w:rPr>
        <w:t>the position</w:t>
      </w:r>
      <w:r w:rsidR="004927B2" w:rsidRPr="004927B2">
        <w:rPr>
          <w:sz w:val="22"/>
          <w:szCs w:val="22"/>
        </w:rPr>
        <w:t xml:space="preserve"> the master of the house </w:t>
      </w:r>
      <w:r w:rsidR="00730582">
        <w:rPr>
          <w:sz w:val="22"/>
          <w:szCs w:val="22"/>
        </w:rPr>
        <w:t>or</w:t>
      </w:r>
      <w:r w:rsidR="004927B2" w:rsidRPr="004927B2">
        <w:rPr>
          <w:sz w:val="22"/>
          <w:szCs w:val="22"/>
        </w:rPr>
        <w:t xml:space="preserve"> honoured guests would sit.</w:t>
      </w:r>
      <w:r w:rsidR="004927B2" w:rsidRPr="004927B2">
        <w:rPr>
          <w:sz w:val="22"/>
          <w:szCs w:val="22"/>
          <w:vertAlign w:val="superscript"/>
        </w:rPr>
        <w:footnoteReference w:id="12"/>
      </w:r>
      <w:r w:rsidR="004927B2" w:rsidRPr="004927B2">
        <w:rPr>
          <w:sz w:val="22"/>
          <w:szCs w:val="22"/>
        </w:rPr>
        <w:t xml:space="preserve"> </w:t>
      </w:r>
      <w:r w:rsidR="002C5979">
        <w:rPr>
          <w:sz w:val="22"/>
          <w:szCs w:val="22"/>
        </w:rPr>
        <w:t xml:space="preserve">Similarly this is evocative of </w:t>
      </w:r>
      <w:r w:rsidR="00867F66">
        <w:rPr>
          <w:sz w:val="22"/>
          <w:szCs w:val="22"/>
        </w:rPr>
        <w:t xml:space="preserve">making the world ready for the arrival of Christ. </w:t>
      </w:r>
      <w:r w:rsidR="007B06FF">
        <w:rPr>
          <w:sz w:val="22"/>
          <w:szCs w:val="22"/>
        </w:rPr>
        <w:t xml:space="preserve">The bench is a common type of late medieval bench with a reversible back. </w:t>
      </w:r>
      <w:r w:rsidR="00DA0EE7">
        <w:rPr>
          <w:sz w:val="22"/>
          <w:szCs w:val="22"/>
        </w:rPr>
        <w:t>Like most of the items in the triptych this piece of furniture</w:t>
      </w:r>
      <w:r w:rsidR="00E0149A">
        <w:rPr>
          <w:sz w:val="22"/>
          <w:szCs w:val="22"/>
        </w:rPr>
        <w:t xml:space="preserve"> </w:t>
      </w:r>
      <w:r w:rsidR="004927B2" w:rsidRPr="004927B2">
        <w:rPr>
          <w:sz w:val="22"/>
          <w:szCs w:val="22"/>
        </w:rPr>
        <w:t>serves a dual function.</w:t>
      </w:r>
      <w:r w:rsidR="004927B2" w:rsidRPr="004927B2">
        <w:rPr>
          <w:sz w:val="22"/>
          <w:szCs w:val="22"/>
          <w:vertAlign w:val="superscript"/>
        </w:rPr>
        <w:footnoteReference w:id="13"/>
      </w:r>
      <w:r w:rsidR="004927B2" w:rsidRPr="004927B2">
        <w:rPr>
          <w:sz w:val="22"/>
          <w:szCs w:val="22"/>
        </w:rPr>
        <w:t xml:space="preserve"> Whilst</w:t>
      </w:r>
      <w:r w:rsidR="00860DDE">
        <w:rPr>
          <w:sz w:val="22"/>
          <w:szCs w:val="22"/>
        </w:rPr>
        <w:t xml:space="preserve"> this reversible back is</w:t>
      </w:r>
      <w:r w:rsidR="004927B2" w:rsidRPr="004927B2">
        <w:rPr>
          <w:sz w:val="22"/>
          <w:szCs w:val="22"/>
        </w:rPr>
        <w:t xml:space="preserve"> practical</w:t>
      </w:r>
      <w:r w:rsidR="0022458A">
        <w:rPr>
          <w:sz w:val="22"/>
          <w:szCs w:val="22"/>
        </w:rPr>
        <w:t xml:space="preserve"> and enables </w:t>
      </w:r>
      <w:r w:rsidR="00E03E52">
        <w:rPr>
          <w:sz w:val="22"/>
          <w:szCs w:val="22"/>
        </w:rPr>
        <w:t xml:space="preserve">the bench </w:t>
      </w:r>
      <w:r w:rsidR="0022458A">
        <w:rPr>
          <w:sz w:val="22"/>
          <w:szCs w:val="22"/>
        </w:rPr>
        <w:t>to</w:t>
      </w:r>
      <w:r w:rsidR="00E03E52">
        <w:rPr>
          <w:sz w:val="22"/>
          <w:szCs w:val="22"/>
        </w:rPr>
        <w:t xml:space="preserve"> face either direction</w:t>
      </w:r>
      <w:r w:rsidR="0022458A">
        <w:rPr>
          <w:sz w:val="22"/>
          <w:szCs w:val="22"/>
        </w:rPr>
        <w:t xml:space="preserve"> it is also evocative of the two heavenly thrones, one of which is Mary’s own throne in Heaven.</w:t>
      </w:r>
      <w:r w:rsidR="004927B2" w:rsidRPr="004927B2">
        <w:rPr>
          <w:sz w:val="22"/>
          <w:szCs w:val="22"/>
          <w:vertAlign w:val="superscript"/>
        </w:rPr>
        <w:footnoteReference w:id="14"/>
      </w:r>
      <w:r w:rsidR="004927B2" w:rsidRPr="004927B2">
        <w:rPr>
          <w:sz w:val="22"/>
          <w:szCs w:val="22"/>
        </w:rPr>
        <w:t xml:space="preserve"> </w:t>
      </w:r>
    </w:p>
    <w:p w14:paraId="19FACC62" w14:textId="538F4BD9" w:rsidR="004927B2" w:rsidRPr="004927B2" w:rsidRDefault="004927B2" w:rsidP="00A03088">
      <w:pPr>
        <w:spacing w:line="240" w:lineRule="auto"/>
        <w:rPr>
          <w:sz w:val="22"/>
          <w:szCs w:val="22"/>
        </w:rPr>
      </w:pPr>
      <w:r w:rsidRPr="004927B2">
        <w:rPr>
          <w:sz w:val="22"/>
          <w:szCs w:val="22"/>
        </w:rPr>
        <w:t>The vase of three lilie</w:t>
      </w:r>
      <w:r w:rsidR="00CA5FA9">
        <w:rPr>
          <w:sz w:val="22"/>
          <w:szCs w:val="22"/>
        </w:rPr>
        <w:t xml:space="preserve">s on the table to Mary’s right </w:t>
      </w:r>
      <w:r w:rsidR="00185EB3">
        <w:rPr>
          <w:sz w:val="22"/>
          <w:szCs w:val="22"/>
        </w:rPr>
        <w:t xml:space="preserve">most </w:t>
      </w:r>
      <w:r w:rsidRPr="004927B2">
        <w:rPr>
          <w:sz w:val="22"/>
          <w:szCs w:val="22"/>
        </w:rPr>
        <w:t>likely represent</w:t>
      </w:r>
      <w:r w:rsidR="00185EB3">
        <w:rPr>
          <w:sz w:val="22"/>
          <w:szCs w:val="22"/>
        </w:rPr>
        <w:t xml:space="preserve"> </w:t>
      </w:r>
      <w:r w:rsidRPr="004927B2">
        <w:rPr>
          <w:sz w:val="22"/>
          <w:szCs w:val="22"/>
        </w:rPr>
        <w:t>the Holy Trinity</w:t>
      </w:r>
      <w:r w:rsidR="00185EB3">
        <w:rPr>
          <w:sz w:val="22"/>
          <w:szCs w:val="22"/>
        </w:rPr>
        <w:t>. The tw</w:t>
      </w:r>
      <w:r w:rsidR="00CD4BA4">
        <w:rPr>
          <w:sz w:val="22"/>
          <w:szCs w:val="22"/>
        </w:rPr>
        <w:t xml:space="preserve">o open flowers represent the Father and the Holy Spirit and the third </w:t>
      </w:r>
      <w:r w:rsidRPr="004927B2">
        <w:rPr>
          <w:sz w:val="22"/>
          <w:szCs w:val="22"/>
        </w:rPr>
        <w:t>bud represen</w:t>
      </w:r>
      <w:r w:rsidR="00CD4BA4">
        <w:rPr>
          <w:sz w:val="22"/>
          <w:szCs w:val="22"/>
        </w:rPr>
        <w:t xml:space="preserve">ts </w:t>
      </w:r>
      <w:r w:rsidRPr="004927B2">
        <w:rPr>
          <w:sz w:val="22"/>
          <w:szCs w:val="22"/>
        </w:rPr>
        <w:t>Christ</w:t>
      </w:r>
      <w:r w:rsidR="00CD4BA4">
        <w:rPr>
          <w:sz w:val="22"/>
          <w:szCs w:val="22"/>
        </w:rPr>
        <w:t>, being conceived in this very moment</w:t>
      </w:r>
      <w:r w:rsidR="00185EB3" w:rsidRPr="004927B2">
        <w:rPr>
          <w:sz w:val="22"/>
          <w:szCs w:val="22"/>
        </w:rPr>
        <w:t>.</w:t>
      </w:r>
      <w:r w:rsidR="00185EB3" w:rsidRPr="004927B2">
        <w:rPr>
          <w:sz w:val="22"/>
          <w:szCs w:val="22"/>
          <w:vertAlign w:val="superscript"/>
        </w:rPr>
        <w:footnoteReference w:id="15"/>
      </w:r>
      <w:r w:rsidR="00F26B02">
        <w:rPr>
          <w:sz w:val="22"/>
          <w:szCs w:val="22"/>
        </w:rPr>
        <w:t xml:space="preserve"> The white vase which the lilies are in is </w:t>
      </w:r>
      <w:r w:rsidRPr="004927B2">
        <w:rPr>
          <w:sz w:val="22"/>
          <w:szCs w:val="22"/>
        </w:rPr>
        <w:t>decorated with navy foliage</w:t>
      </w:r>
      <w:r w:rsidR="00471DA5">
        <w:rPr>
          <w:sz w:val="22"/>
          <w:szCs w:val="22"/>
        </w:rPr>
        <w:t xml:space="preserve">. The </w:t>
      </w:r>
      <w:r w:rsidRPr="004927B2">
        <w:rPr>
          <w:sz w:val="22"/>
          <w:szCs w:val="22"/>
        </w:rPr>
        <w:t>three vines curling in the design</w:t>
      </w:r>
      <w:r w:rsidR="00471DA5">
        <w:rPr>
          <w:sz w:val="22"/>
          <w:szCs w:val="22"/>
        </w:rPr>
        <w:t xml:space="preserve"> are symbolic of </w:t>
      </w:r>
      <w:r w:rsidRPr="004927B2">
        <w:rPr>
          <w:sz w:val="22"/>
          <w:szCs w:val="22"/>
        </w:rPr>
        <w:t>the Tree of Jesse which is often associated with a vine</w:t>
      </w:r>
      <w:r w:rsidR="00471DA5">
        <w:rPr>
          <w:sz w:val="22"/>
          <w:szCs w:val="22"/>
        </w:rPr>
        <w:t xml:space="preserve"> as well as of the Trinity again</w:t>
      </w:r>
      <w:r w:rsidRPr="004927B2">
        <w:rPr>
          <w:sz w:val="22"/>
          <w:szCs w:val="22"/>
        </w:rPr>
        <w:t xml:space="preserve">. </w:t>
      </w:r>
      <w:r w:rsidR="00AD4243">
        <w:rPr>
          <w:sz w:val="22"/>
          <w:szCs w:val="22"/>
        </w:rPr>
        <w:t xml:space="preserve">Interestingly </w:t>
      </w:r>
      <w:r w:rsidRPr="004927B2">
        <w:rPr>
          <w:sz w:val="22"/>
          <w:szCs w:val="22"/>
        </w:rPr>
        <w:t xml:space="preserve">the vase is also decorated with </w:t>
      </w:r>
      <w:r w:rsidR="00AD4243">
        <w:rPr>
          <w:sz w:val="22"/>
          <w:szCs w:val="22"/>
        </w:rPr>
        <w:t xml:space="preserve">what appear to be </w:t>
      </w:r>
      <w:r w:rsidRPr="004927B2">
        <w:rPr>
          <w:sz w:val="22"/>
          <w:szCs w:val="22"/>
        </w:rPr>
        <w:t xml:space="preserve">Hebrew letters. The use of the colours white and navy are also </w:t>
      </w:r>
      <w:r w:rsidR="00573BD2">
        <w:rPr>
          <w:sz w:val="22"/>
          <w:szCs w:val="22"/>
        </w:rPr>
        <w:t>meaningful</w:t>
      </w:r>
      <w:r w:rsidRPr="004927B2">
        <w:rPr>
          <w:sz w:val="22"/>
          <w:szCs w:val="22"/>
        </w:rPr>
        <w:t xml:space="preserve">. </w:t>
      </w:r>
      <w:r w:rsidR="00AD4243">
        <w:rPr>
          <w:sz w:val="22"/>
          <w:szCs w:val="22"/>
        </w:rPr>
        <w:t>I</w:t>
      </w:r>
      <w:r w:rsidRPr="004927B2">
        <w:rPr>
          <w:sz w:val="22"/>
          <w:szCs w:val="22"/>
        </w:rPr>
        <w:t>n Judaism</w:t>
      </w:r>
      <w:r w:rsidR="00AD4243">
        <w:rPr>
          <w:sz w:val="22"/>
          <w:szCs w:val="22"/>
        </w:rPr>
        <w:t xml:space="preserve"> the colour white</w:t>
      </w:r>
      <w:r w:rsidRPr="004927B2">
        <w:rPr>
          <w:sz w:val="22"/>
          <w:szCs w:val="22"/>
        </w:rPr>
        <w:t xml:space="preserve"> is </w:t>
      </w:r>
      <w:r w:rsidR="00325C31">
        <w:rPr>
          <w:sz w:val="22"/>
          <w:szCs w:val="22"/>
        </w:rPr>
        <w:t xml:space="preserve">representative </w:t>
      </w:r>
      <w:r w:rsidRPr="004927B2">
        <w:rPr>
          <w:sz w:val="22"/>
          <w:szCs w:val="22"/>
        </w:rPr>
        <w:t xml:space="preserve">of God’s benevolence </w:t>
      </w:r>
      <w:r w:rsidR="00AD4243">
        <w:rPr>
          <w:sz w:val="22"/>
          <w:szCs w:val="22"/>
        </w:rPr>
        <w:t>with</w:t>
      </w:r>
      <w:r w:rsidRPr="004927B2">
        <w:rPr>
          <w:sz w:val="22"/>
          <w:szCs w:val="22"/>
        </w:rPr>
        <w:t xml:space="preserve"> navy </w:t>
      </w:r>
      <w:r w:rsidR="00AD4243">
        <w:rPr>
          <w:sz w:val="22"/>
          <w:szCs w:val="22"/>
        </w:rPr>
        <w:t>being symbolic of</w:t>
      </w:r>
      <w:r w:rsidR="00573BD2">
        <w:rPr>
          <w:sz w:val="22"/>
          <w:szCs w:val="22"/>
        </w:rPr>
        <w:t xml:space="preserve"> divinity</w:t>
      </w:r>
      <w:r w:rsidRPr="004927B2">
        <w:rPr>
          <w:sz w:val="22"/>
          <w:szCs w:val="22"/>
        </w:rPr>
        <w:t xml:space="preserve">. These two colours are also commonly </w:t>
      </w:r>
      <w:r w:rsidR="00F73B40">
        <w:rPr>
          <w:sz w:val="22"/>
          <w:szCs w:val="22"/>
        </w:rPr>
        <w:t>found in</w:t>
      </w:r>
      <w:r w:rsidRPr="004927B2">
        <w:rPr>
          <w:sz w:val="22"/>
          <w:szCs w:val="22"/>
        </w:rPr>
        <w:t xml:space="preserve"> a </w:t>
      </w:r>
      <w:r w:rsidRPr="004927B2">
        <w:rPr>
          <w:i/>
          <w:sz w:val="22"/>
          <w:szCs w:val="22"/>
        </w:rPr>
        <w:t>tallit</w:t>
      </w:r>
      <w:r w:rsidRPr="004927B2">
        <w:rPr>
          <w:sz w:val="22"/>
          <w:szCs w:val="22"/>
        </w:rPr>
        <w:t xml:space="preserve">, a </w:t>
      </w:r>
      <w:r w:rsidR="00F73B40">
        <w:rPr>
          <w:sz w:val="22"/>
          <w:szCs w:val="22"/>
        </w:rPr>
        <w:t xml:space="preserve">Jewish </w:t>
      </w:r>
      <w:r w:rsidRPr="004927B2">
        <w:rPr>
          <w:sz w:val="22"/>
          <w:szCs w:val="22"/>
        </w:rPr>
        <w:t>prayer shawl, one of which hangs on the wall be</w:t>
      </w:r>
      <w:r w:rsidR="003965B0">
        <w:rPr>
          <w:sz w:val="22"/>
          <w:szCs w:val="22"/>
        </w:rPr>
        <w:t>side the window</w:t>
      </w:r>
      <w:r w:rsidRPr="004927B2">
        <w:rPr>
          <w:sz w:val="22"/>
          <w:szCs w:val="22"/>
        </w:rPr>
        <w:t xml:space="preserve">. This shawl </w:t>
      </w:r>
      <w:r w:rsidR="000275DF">
        <w:rPr>
          <w:sz w:val="22"/>
          <w:szCs w:val="22"/>
        </w:rPr>
        <w:t>has</w:t>
      </w:r>
      <w:r w:rsidRPr="004927B2">
        <w:rPr>
          <w:sz w:val="22"/>
          <w:szCs w:val="22"/>
        </w:rPr>
        <w:t xml:space="preserve"> often </w:t>
      </w:r>
      <w:r w:rsidR="000275DF">
        <w:rPr>
          <w:sz w:val="22"/>
          <w:szCs w:val="22"/>
        </w:rPr>
        <w:t xml:space="preserve">been </w:t>
      </w:r>
      <w:r w:rsidRPr="004927B2">
        <w:rPr>
          <w:sz w:val="22"/>
          <w:szCs w:val="22"/>
        </w:rPr>
        <w:t>identified as a towel</w:t>
      </w:r>
      <w:r w:rsidR="00D850A3">
        <w:rPr>
          <w:sz w:val="22"/>
          <w:szCs w:val="22"/>
        </w:rPr>
        <w:t xml:space="preserve"> which seemingly has no obvious symbolism. This </w:t>
      </w:r>
      <w:r w:rsidR="00900077">
        <w:rPr>
          <w:sz w:val="22"/>
          <w:szCs w:val="22"/>
        </w:rPr>
        <w:t xml:space="preserve">would surely be unlikely within the context of the </w:t>
      </w:r>
      <w:r w:rsidR="004A316D">
        <w:rPr>
          <w:sz w:val="22"/>
          <w:szCs w:val="22"/>
        </w:rPr>
        <w:t xml:space="preserve">heavily </w:t>
      </w:r>
      <w:r w:rsidR="006C41F8">
        <w:rPr>
          <w:sz w:val="22"/>
          <w:szCs w:val="22"/>
        </w:rPr>
        <w:t xml:space="preserve">religiously </w:t>
      </w:r>
      <w:r w:rsidR="004A316D">
        <w:rPr>
          <w:sz w:val="22"/>
          <w:szCs w:val="22"/>
        </w:rPr>
        <w:t xml:space="preserve">symbolic </w:t>
      </w:r>
      <w:r w:rsidR="00900077">
        <w:rPr>
          <w:sz w:val="22"/>
          <w:szCs w:val="22"/>
        </w:rPr>
        <w:t>alt</w:t>
      </w:r>
      <w:r w:rsidR="004A316D">
        <w:rPr>
          <w:sz w:val="22"/>
          <w:szCs w:val="22"/>
        </w:rPr>
        <w:t xml:space="preserve">arpiece </w:t>
      </w:r>
      <w:r w:rsidR="006C41F8">
        <w:rPr>
          <w:sz w:val="22"/>
          <w:szCs w:val="22"/>
        </w:rPr>
        <w:t>especially when considering the central position of the shawl in the middle panel</w:t>
      </w:r>
      <w:r w:rsidRPr="004927B2">
        <w:rPr>
          <w:sz w:val="22"/>
          <w:szCs w:val="22"/>
        </w:rPr>
        <w:t>.</w:t>
      </w:r>
      <w:r w:rsidRPr="004927B2">
        <w:rPr>
          <w:sz w:val="22"/>
          <w:szCs w:val="22"/>
          <w:vertAlign w:val="superscript"/>
        </w:rPr>
        <w:footnoteReference w:id="16"/>
      </w:r>
      <w:r w:rsidRPr="004927B2">
        <w:rPr>
          <w:sz w:val="22"/>
          <w:szCs w:val="22"/>
        </w:rPr>
        <w:t xml:space="preserve"> </w:t>
      </w:r>
      <w:r w:rsidR="009E2A53">
        <w:rPr>
          <w:sz w:val="22"/>
          <w:szCs w:val="22"/>
        </w:rPr>
        <w:t xml:space="preserve">The </w:t>
      </w:r>
      <w:proofErr w:type="gramStart"/>
      <w:r w:rsidR="009E2A53">
        <w:rPr>
          <w:sz w:val="22"/>
          <w:szCs w:val="22"/>
        </w:rPr>
        <w:t>close proximity</w:t>
      </w:r>
      <w:proofErr w:type="gramEnd"/>
      <w:r w:rsidR="009E2A53">
        <w:rPr>
          <w:sz w:val="22"/>
          <w:szCs w:val="22"/>
        </w:rPr>
        <w:t xml:space="preserve"> of this piece of fabric would also lend weight to </w:t>
      </w:r>
      <w:r w:rsidR="0050492F">
        <w:rPr>
          <w:sz w:val="22"/>
          <w:szCs w:val="22"/>
        </w:rPr>
        <w:t>the argument of it being a prayer shawl as it hangs close to the alcove in the wall</w:t>
      </w:r>
      <w:r w:rsidR="00714683">
        <w:rPr>
          <w:sz w:val="22"/>
          <w:szCs w:val="22"/>
        </w:rPr>
        <w:t xml:space="preserve"> which contains a hanging basin.</w:t>
      </w:r>
      <w:r w:rsidR="00714683" w:rsidRPr="004927B2">
        <w:rPr>
          <w:sz w:val="22"/>
          <w:szCs w:val="22"/>
          <w:vertAlign w:val="superscript"/>
        </w:rPr>
        <w:footnoteReference w:id="17"/>
      </w:r>
      <w:r w:rsidR="00FA3293">
        <w:rPr>
          <w:sz w:val="22"/>
          <w:szCs w:val="22"/>
        </w:rPr>
        <w:t xml:space="preserve"> This basin evokes rituals surrounding purification and is also evocative of </w:t>
      </w:r>
      <w:r w:rsidR="00847DDB" w:rsidRPr="004973B1">
        <w:rPr>
          <w:sz w:val="22"/>
          <w:szCs w:val="22"/>
          <w:highlight w:val="yellow"/>
        </w:rPr>
        <w:t xml:space="preserve">medieval </w:t>
      </w:r>
      <w:r w:rsidR="004973B1" w:rsidRPr="004973B1">
        <w:rPr>
          <w:sz w:val="22"/>
          <w:szCs w:val="22"/>
          <w:highlight w:val="yellow"/>
        </w:rPr>
        <w:t xml:space="preserve">saint’s </w:t>
      </w:r>
      <w:r w:rsidR="00847DDB" w:rsidRPr="004973B1">
        <w:rPr>
          <w:sz w:val="22"/>
          <w:szCs w:val="22"/>
          <w:highlight w:val="yellow"/>
        </w:rPr>
        <w:t>shrines</w:t>
      </w:r>
      <w:r w:rsidR="004973B1" w:rsidRPr="004973B1">
        <w:rPr>
          <w:sz w:val="22"/>
          <w:szCs w:val="22"/>
          <w:highlight w:val="yellow"/>
        </w:rPr>
        <w:t xml:space="preserve"> you know the type with water fountains</w:t>
      </w:r>
      <w:r w:rsidR="00847DDB">
        <w:rPr>
          <w:sz w:val="22"/>
          <w:szCs w:val="22"/>
        </w:rPr>
        <w:t xml:space="preserve">. This inclusion of a </w:t>
      </w:r>
      <w:r w:rsidR="006E3D06">
        <w:rPr>
          <w:sz w:val="22"/>
          <w:szCs w:val="22"/>
        </w:rPr>
        <w:t xml:space="preserve">vase decorated with Hebrew letters and a </w:t>
      </w:r>
      <w:r w:rsidR="006E3D06" w:rsidRPr="00C2302A">
        <w:rPr>
          <w:i/>
          <w:iCs/>
          <w:sz w:val="22"/>
          <w:szCs w:val="22"/>
        </w:rPr>
        <w:t>tallit</w:t>
      </w:r>
      <w:r w:rsidR="006E3D06">
        <w:rPr>
          <w:sz w:val="22"/>
          <w:szCs w:val="22"/>
        </w:rPr>
        <w:t xml:space="preserve"> make this room almost instantly </w:t>
      </w:r>
      <w:r w:rsidR="009B7018">
        <w:rPr>
          <w:sz w:val="22"/>
          <w:szCs w:val="22"/>
        </w:rPr>
        <w:t>recognisable</w:t>
      </w:r>
      <w:r w:rsidR="006E3D06">
        <w:rPr>
          <w:sz w:val="22"/>
          <w:szCs w:val="22"/>
        </w:rPr>
        <w:t xml:space="preserve"> as being an interior belonging to an </w:t>
      </w:r>
      <w:r w:rsidR="009B7018">
        <w:rPr>
          <w:sz w:val="22"/>
          <w:szCs w:val="22"/>
        </w:rPr>
        <w:t>Ashkenazi</w:t>
      </w:r>
      <w:r w:rsidR="006E3D06">
        <w:rPr>
          <w:sz w:val="22"/>
          <w:szCs w:val="22"/>
        </w:rPr>
        <w:t xml:space="preserve"> Jewish home. </w:t>
      </w:r>
      <w:r w:rsidR="00C2302A">
        <w:rPr>
          <w:sz w:val="22"/>
          <w:szCs w:val="22"/>
        </w:rPr>
        <w:t xml:space="preserve">This is perhaps symbolic of the transition of the world from the Old Covenant to the New </w:t>
      </w:r>
      <w:r w:rsidR="004973B1">
        <w:rPr>
          <w:sz w:val="22"/>
          <w:szCs w:val="22"/>
        </w:rPr>
        <w:t>Covenant</w:t>
      </w:r>
      <w:r w:rsidR="00C2302A">
        <w:rPr>
          <w:sz w:val="22"/>
          <w:szCs w:val="22"/>
        </w:rPr>
        <w:t>,</w:t>
      </w:r>
      <w:r w:rsidRPr="004927B2">
        <w:rPr>
          <w:sz w:val="22"/>
          <w:szCs w:val="22"/>
        </w:rPr>
        <w:t xml:space="preserve"> the Old Law into the New Law. </w:t>
      </w:r>
    </w:p>
    <w:p w14:paraId="457F8B11" w14:textId="6489B129" w:rsidR="004927B2" w:rsidRPr="004927B2" w:rsidRDefault="004927B2" w:rsidP="00A03088">
      <w:pPr>
        <w:spacing w:line="240" w:lineRule="auto"/>
        <w:rPr>
          <w:sz w:val="22"/>
          <w:szCs w:val="22"/>
        </w:rPr>
      </w:pPr>
      <w:r w:rsidRPr="004927B2">
        <w:rPr>
          <w:sz w:val="22"/>
          <w:szCs w:val="22"/>
        </w:rPr>
        <w:t xml:space="preserve">At the </w:t>
      </w:r>
      <w:r w:rsidR="00387F12">
        <w:rPr>
          <w:sz w:val="22"/>
          <w:szCs w:val="22"/>
        </w:rPr>
        <w:t xml:space="preserve">absolute </w:t>
      </w:r>
      <w:r w:rsidRPr="004927B2">
        <w:rPr>
          <w:sz w:val="22"/>
          <w:szCs w:val="22"/>
        </w:rPr>
        <w:t xml:space="preserve">centre of the </w:t>
      </w:r>
      <w:r w:rsidR="00387F12">
        <w:rPr>
          <w:sz w:val="22"/>
          <w:szCs w:val="22"/>
        </w:rPr>
        <w:t>central</w:t>
      </w:r>
      <w:r w:rsidRPr="004927B2">
        <w:rPr>
          <w:sz w:val="22"/>
          <w:szCs w:val="22"/>
        </w:rPr>
        <w:t xml:space="preserve"> panel, and </w:t>
      </w:r>
      <w:r w:rsidR="00387F12">
        <w:rPr>
          <w:sz w:val="22"/>
          <w:szCs w:val="22"/>
        </w:rPr>
        <w:t xml:space="preserve">therefore </w:t>
      </w:r>
      <w:r w:rsidRPr="004927B2">
        <w:rPr>
          <w:sz w:val="22"/>
          <w:szCs w:val="22"/>
        </w:rPr>
        <w:t xml:space="preserve">the centre of the entire </w:t>
      </w:r>
      <w:r w:rsidR="008F0A86">
        <w:rPr>
          <w:sz w:val="22"/>
          <w:szCs w:val="22"/>
        </w:rPr>
        <w:t>altarpiece</w:t>
      </w:r>
      <w:r w:rsidRPr="004927B2">
        <w:rPr>
          <w:sz w:val="22"/>
          <w:szCs w:val="22"/>
        </w:rPr>
        <w:t xml:space="preserve">, is a </w:t>
      </w:r>
      <w:r w:rsidR="000E550F">
        <w:rPr>
          <w:sz w:val="22"/>
          <w:szCs w:val="22"/>
        </w:rPr>
        <w:t>lone</w:t>
      </w:r>
      <w:r w:rsidRPr="004927B2">
        <w:rPr>
          <w:sz w:val="22"/>
          <w:szCs w:val="22"/>
        </w:rPr>
        <w:t xml:space="preserve"> </w:t>
      </w:r>
      <w:r w:rsidR="008F0A86">
        <w:rPr>
          <w:sz w:val="22"/>
          <w:szCs w:val="22"/>
        </w:rPr>
        <w:t xml:space="preserve">and </w:t>
      </w:r>
      <w:r w:rsidR="007B603F">
        <w:rPr>
          <w:sz w:val="22"/>
          <w:szCs w:val="22"/>
        </w:rPr>
        <w:t xml:space="preserve">recently </w:t>
      </w:r>
      <w:r w:rsidR="00030A44">
        <w:rPr>
          <w:sz w:val="22"/>
          <w:szCs w:val="22"/>
        </w:rPr>
        <w:t>extinguished</w:t>
      </w:r>
      <w:r w:rsidR="007B603F">
        <w:rPr>
          <w:sz w:val="22"/>
          <w:szCs w:val="22"/>
        </w:rPr>
        <w:t xml:space="preserve"> </w:t>
      </w:r>
      <w:r w:rsidRPr="004927B2">
        <w:rPr>
          <w:sz w:val="22"/>
          <w:szCs w:val="22"/>
        </w:rPr>
        <w:t>candle. Th</w:t>
      </w:r>
      <w:r w:rsidR="00F543B3">
        <w:rPr>
          <w:sz w:val="22"/>
          <w:szCs w:val="22"/>
        </w:rPr>
        <w:t>is</w:t>
      </w:r>
      <w:r w:rsidRPr="004927B2">
        <w:rPr>
          <w:sz w:val="22"/>
          <w:szCs w:val="22"/>
        </w:rPr>
        <w:t xml:space="preserve"> extinction of the flame draws the </w:t>
      </w:r>
      <w:r w:rsidR="00D36857">
        <w:rPr>
          <w:sz w:val="22"/>
          <w:szCs w:val="22"/>
        </w:rPr>
        <w:t>eye</w:t>
      </w:r>
      <w:r w:rsidRPr="004927B2">
        <w:rPr>
          <w:sz w:val="22"/>
          <w:szCs w:val="22"/>
        </w:rPr>
        <w:t xml:space="preserve"> to the very heart of the Annunciation</w:t>
      </w:r>
      <w:r w:rsidR="00F543B3">
        <w:rPr>
          <w:sz w:val="22"/>
          <w:szCs w:val="22"/>
        </w:rPr>
        <w:t xml:space="preserve">, both in this triptych and </w:t>
      </w:r>
      <w:proofErr w:type="gramStart"/>
      <w:r w:rsidR="00F543B3">
        <w:rPr>
          <w:sz w:val="22"/>
          <w:szCs w:val="22"/>
        </w:rPr>
        <w:t>its</w:t>
      </w:r>
      <w:proofErr w:type="gramEnd"/>
      <w:r w:rsidR="00F543B3">
        <w:rPr>
          <w:sz w:val="22"/>
          <w:szCs w:val="22"/>
        </w:rPr>
        <w:t xml:space="preserve"> meaning </w:t>
      </w:r>
      <w:r w:rsidR="00997C4F">
        <w:rPr>
          <w:sz w:val="22"/>
          <w:szCs w:val="22"/>
        </w:rPr>
        <w:t>theologically</w:t>
      </w:r>
      <w:r w:rsidRPr="004927B2">
        <w:rPr>
          <w:sz w:val="22"/>
          <w:szCs w:val="22"/>
        </w:rPr>
        <w:t xml:space="preserve">. The </w:t>
      </w:r>
      <w:r w:rsidR="00CC5268">
        <w:rPr>
          <w:sz w:val="22"/>
          <w:szCs w:val="22"/>
        </w:rPr>
        <w:t>source of the gust of air which has blown out the candle’s flame is the Christ Child</w:t>
      </w:r>
      <w:r w:rsidR="00AB79FB">
        <w:rPr>
          <w:sz w:val="22"/>
          <w:szCs w:val="22"/>
        </w:rPr>
        <w:t>, the tiny figure of whom can be seen in the top left of the central panel.</w:t>
      </w:r>
      <w:r w:rsidR="00074522">
        <w:rPr>
          <w:sz w:val="22"/>
          <w:szCs w:val="22"/>
        </w:rPr>
        <w:t xml:space="preserve"> This sets the timing of the scene to be the second that Jesus is conceived. </w:t>
      </w:r>
      <w:r w:rsidR="000F4F20">
        <w:rPr>
          <w:sz w:val="22"/>
          <w:szCs w:val="22"/>
        </w:rPr>
        <w:t xml:space="preserve">This symbolism of the extinguished flame </w:t>
      </w:r>
      <w:r w:rsidR="00901A4A">
        <w:rPr>
          <w:sz w:val="22"/>
          <w:szCs w:val="22"/>
        </w:rPr>
        <w:t>is representative of the temporary end of the divinity of God as God is made flesh</w:t>
      </w:r>
      <w:r w:rsidRPr="004927B2">
        <w:rPr>
          <w:sz w:val="22"/>
          <w:szCs w:val="22"/>
        </w:rPr>
        <w:t>.</w:t>
      </w:r>
      <w:r w:rsidRPr="004927B2">
        <w:rPr>
          <w:sz w:val="22"/>
          <w:szCs w:val="22"/>
          <w:vertAlign w:val="superscript"/>
        </w:rPr>
        <w:footnoteReference w:id="18"/>
      </w:r>
      <w:r w:rsidRPr="004927B2">
        <w:rPr>
          <w:sz w:val="22"/>
          <w:szCs w:val="22"/>
        </w:rPr>
        <w:t xml:space="preserve"> Th</w:t>
      </w:r>
      <w:r w:rsidR="00286342">
        <w:rPr>
          <w:sz w:val="22"/>
          <w:szCs w:val="22"/>
        </w:rPr>
        <w:t xml:space="preserve">is </w:t>
      </w:r>
      <w:r w:rsidRPr="004927B2">
        <w:rPr>
          <w:sz w:val="22"/>
          <w:szCs w:val="22"/>
        </w:rPr>
        <w:t xml:space="preserve">candle </w:t>
      </w:r>
      <w:r w:rsidR="00286342">
        <w:rPr>
          <w:sz w:val="22"/>
          <w:szCs w:val="22"/>
        </w:rPr>
        <w:t xml:space="preserve">also </w:t>
      </w:r>
      <w:r w:rsidRPr="004927B2">
        <w:rPr>
          <w:sz w:val="22"/>
          <w:szCs w:val="22"/>
        </w:rPr>
        <w:t>evo</w:t>
      </w:r>
      <w:r w:rsidR="00286342">
        <w:rPr>
          <w:sz w:val="22"/>
          <w:szCs w:val="22"/>
        </w:rPr>
        <w:t>kes</w:t>
      </w:r>
      <w:r w:rsidRPr="004927B2">
        <w:rPr>
          <w:sz w:val="22"/>
          <w:szCs w:val="22"/>
        </w:rPr>
        <w:t xml:space="preserve"> the passage </w:t>
      </w:r>
      <w:r w:rsidR="00286342">
        <w:rPr>
          <w:sz w:val="22"/>
          <w:szCs w:val="22"/>
        </w:rPr>
        <w:t>in</w:t>
      </w:r>
      <w:r w:rsidRPr="004927B2">
        <w:rPr>
          <w:sz w:val="22"/>
          <w:szCs w:val="22"/>
        </w:rPr>
        <w:t xml:space="preserve"> Isaiah 42:3, “A bruised reed shall He not break, and the smoking flax shall He not quench; He shall bring forth judgment unto truth.”</w:t>
      </w:r>
      <w:r w:rsidRPr="004927B2">
        <w:rPr>
          <w:sz w:val="22"/>
          <w:szCs w:val="22"/>
          <w:vertAlign w:val="superscript"/>
        </w:rPr>
        <w:footnoteReference w:id="19"/>
      </w:r>
      <w:r w:rsidRPr="004927B2">
        <w:rPr>
          <w:sz w:val="22"/>
          <w:szCs w:val="22"/>
        </w:rPr>
        <w:t xml:space="preserve"> The candle </w:t>
      </w:r>
      <w:r w:rsidR="0071247C">
        <w:rPr>
          <w:sz w:val="22"/>
          <w:szCs w:val="22"/>
        </w:rPr>
        <w:t xml:space="preserve">therefore also </w:t>
      </w:r>
      <w:r w:rsidRPr="004927B2">
        <w:rPr>
          <w:sz w:val="22"/>
          <w:szCs w:val="22"/>
        </w:rPr>
        <w:t xml:space="preserve">links to </w:t>
      </w:r>
      <w:r w:rsidR="0071247C">
        <w:rPr>
          <w:sz w:val="22"/>
          <w:szCs w:val="22"/>
        </w:rPr>
        <w:t xml:space="preserve">the words </w:t>
      </w:r>
      <w:r w:rsidR="0071247C">
        <w:rPr>
          <w:sz w:val="22"/>
          <w:szCs w:val="22"/>
        </w:rPr>
        <w:lastRenderedPageBreak/>
        <w:t xml:space="preserve">the angel </w:t>
      </w:r>
      <w:r w:rsidRPr="004927B2">
        <w:rPr>
          <w:sz w:val="22"/>
          <w:szCs w:val="22"/>
        </w:rPr>
        <w:t>Gabriel</w:t>
      </w:r>
      <w:r w:rsidR="0071247C">
        <w:rPr>
          <w:sz w:val="22"/>
          <w:szCs w:val="22"/>
        </w:rPr>
        <w:t xml:space="preserve"> spoke to the Virgin</w:t>
      </w:r>
      <w:r w:rsidRPr="004927B2">
        <w:rPr>
          <w:sz w:val="22"/>
          <w:szCs w:val="22"/>
        </w:rPr>
        <w:t xml:space="preserve"> Mary at the Annunciation which </w:t>
      </w:r>
      <w:r w:rsidR="00404EB2">
        <w:rPr>
          <w:sz w:val="22"/>
          <w:szCs w:val="22"/>
        </w:rPr>
        <w:t xml:space="preserve">paraphrase those of the prophet </w:t>
      </w:r>
      <w:r w:rsidRPr="004927B2">
        <w:rPr>
          <w:sz w:val="22"/>
          <w:szCs w:val="22"/>
        </w:rPr>
        <w:t>Isaiah.</w:t>
      </w:r>
      <w:r w:rsidRPr="004927B2">
        <w:rPr>
          <w:sz w:val="22"/>
          <w:szCs w:val="22"/>
          <w:vertAlign w:val="superscript"/>
        </w:rPr>
        <w:footnoteReference w:id="20"/>
      </w:r>
      <w:r w:rsidRPr="004927B2">
        <w:rPr>
          <w:sz w:val="22"/>
          <w:szCs w:val="22"/>
        </w:rPr>
        <w:t xml:space="preserve"> </w:t>
      </w:r>
    </w:p>
    <w:p w14:paraId="4906DF3F" w14:textId="3A86B217" w:rsidR="004927B2" w:rsidRPr="004927B2" w:rsidRDefault="004927B2" w:rsidP="00A03088">
      <w:pPr>
        <w:spacing w:line="240" w:lineRule="auto"/>
        <w:rPr>
          <w:sz w:val="22"/>
          <w:szCs w:val="22"/>
        </w:rPr>
      </w:pPr>
      <w:r w:rsidRPr="004927B2">
        <w:rPr>
          <w:sz w:val="22"/>
          <w:szCs w:val="22"/>
        </w:rPr>
        <w:t xml:space="preserve">In the </w:t>
      </w:r>
      <w:proofErr w:type="gramStart"/>
      <w:r w:rsidR="001408F8">
        <w:rPr>
          <w:sz w:val="22"/>
          <w:szCs w:val="22"/>
        </w:rPr>
        <w:t>right hand</w:t>
      </w:r>
      <w:proofErr w:type="gramEnd"/>
      <w:r w:rsidR="001408F8">
        <w:rPr>
          <w:sz w:val="22"/>
          <w:szCs w:val="22"/>
        </w:rPr>
        <w:t xml:space="preserve"> </w:t>
      </w:r>
      <w:r w:rsidRPr="004927B2">
        <w:rPr>
          <w:sz w:val="22"/>
          <w:szCs w:val="22"/>
        </w:rPr>
        <w:t xml:space="preserve">panel Saint Joseph </w:t>
      </w:r>
      <w:r w:rsidR="001408F8">
        <w:rPr>
          <w:sz w:val="22"/>
          <w:szCs w:val="22"/>
        </w:rPr>
        <w:t>works</w:t>
      </w:r>
      <w:r w:rsidRPr="004927B2">
        <w:rPr>
          <w:sz w:val="22"/>
          <w:szCs w:val="22"/>
        </w:rPr>
        <w:t xml:space="preserve"> in his </w:t>
      </w:r>
      <w:r w:rsidR="006D471A" w:rsidRPr="004927B2">
        <w:rPr>
          <w:sz w:val="22"/>
          <w:szCs w:val="22"/>
        </w:rPr>
        <w:t>carpenter’s</w:t>
      </w:r>
      <w:r w:rsidRPr="004927B2">
        <w:rPr>
          <w:sz w:val="22"/>
          <w:szCs w:val="22"/>
        </w:rPr>
        <w:t xml:space="preserve"> shop. The tools at Joseph’s feet, an axe, a saw, and a rod, whilst common in a carpenters’ workshop, are a reference to Isaiah 10:15.</w:t>
      </w:r>
      <w:r w:rsidRPr="004927B2">
        <w:rPr>
          <w:sz w:val="22"/>
          <w:szCs w:val="22"/>
          <w:vertAlign w:val="superscript"/>
        </w:rPr>
        <w:footnoteReference w:id="21"/>
      </w:r>
      <w:r w:rsidRPr="004927B2">
        <w:rPr>
          <w:sz w:val="22"/>
          <w:szCs w:val="22"/>
        </w:rPr>
        <w:t xml:space="preserve"> During the late medieval period depictions of Saint Joseph shift from an elderly and unproductive figure to a hardworking man who provides for his family.</w:t>
      </w:r>
      <w:r w:rsidRPr="004927B2">
        <w:rPr>
          <w:sz w:val="22"/>
          <w:szCs w:val="22"/>
          <w:vertAlign w:val="superscript"/>
        </w:rPr>
        <w:footnoteReference w:id="22"/>
      </w:r>
      <w:r w:rsidRPr="004927B2">
        <w:rPr>
          <w:sz w:val="22"/>
          <w:szCs w:val="22"/>
        </w:rPr>
        <w:t xml:space="preserve"> The </w:t>
      </w:r>
      <w:proofErr w:type="spellStart"/>
      <w:r w:rsidRPr="004927B2">
        <w:rPr>
          <w:sz w:val="22"/>
          <w:szCs w:val="22"/>
        </w:rPr>
        <w:t>Mérode</w:t>
      </w:r>
      <w:proofErr w:type="spellEnd"/>
      <w:r w:rsidRPr="004927B2">
        <w:rPr>
          <w:sz w:val="22"/>
          <w:szCs w:val="22"/>
        </w:rPr>
        <w:t xml:space="preserve"> Altarpiece fits this newer type for Joseph with the saint hard at work in a contemporary Flemish carpentry shop. What Joseph has been making is displayed on the workbench and the shopfront bench at the outside of the window, mousetraps.</w:t>
      </w:r>
      <w:r w:rsidRPr="004927B2">
        <w:rPr>
          <w:sz w:val="22"/>
          <w:szCs w:val="22"/>
          <w:vertAlign w:val="superscript"/>
        </w:rPr>
        <w:footnoteReference w:id="23"/>
      </w:r>
      <w:r w:rsidRPr="004927B2">
        <w:rPr>
          <w:sz w:val="22"/>
          <w:szCs w:val="22"/>
        </w:rPr>
        <w:t xml:space="preserve"> The inclusion of mousetraps in the </w:t>
      </w:r>
      <w:proofErr w:type="spellStart"/>
      <w:r w:rsidRPr="004927B2">
        <w:rPr>
          <w:sz w:val="22"/>
          <w:szCs w:val="22"/>
        </w:rPr>
        <w:t>Mérode</w:t>
      </w:r>
      <w:proofErr w:type="spellEnd"/>
      <w:r w:rsidRPr="004927B2">
        <w:rPr>
          <w:sz w:val="22"/>
          <w:szCs w:val="22"/>
        </w:rPr>
        <w:t xml:space="preserve"> Altarpiece is probably a reference to a sermon by Saint Augustin</w:t>
      </w:r>
      <w:r w:rsidR="003C2798">
        <w:rPr>
          <w:sz w:val="22"/>
          <w:szCs w:val="22"/>
        </w:rPr>
        <w:t>e,</w:t>
      </w:r>
      <w:r w:rsidR="00B632FA">
        <w:rPr>
          <w:sz w:val="22"/>
          <w:szCs w:val="22"/>
        </w:rPr>
        <w:t xml:space="preserve"> </w:t>
      </w:r>
      <w:r w:rsidRPr="004927B2">
        <w:rPr>
          <w:sz w:val="22"/>
          <w:szCs w:val="22"/>
        </w:rPr>
        <w:t>“The cross of the Lord was the devil’s mousetrap; the bait by which he was caught was the Lord’s death.”</w:t>
      </w:r>
      <w:r w:rsidR="003C2798" w:rsidRPr="003C2798">
        <w:rPr>
          <w:sz w:val="22"/>
          <w:szCs w:val="22"/>
          <w:vertAlign w:val="superscript"/>
        </w:rPr>
        <w:t xml:space="preserve"> </w:t>
      </w:r>
      <w:r w:rsidR="003C2798" w:rsidRPr="004927B2">
        <w:rPr>
          <w:sz w:val="22"/>
          <w:szCs w:val="22"/>
          <w:vertAlign w:val="superscript"/>
        </w:rPr>
        <w:footnoteReference w:id="24"/>
      </w:r>
    </w:p>
    <w:p w14:paraId="27AF4616" w14:textId="77777777" w:rsidR="004927B2" w:rsidRPr="004927B2" w:rsidRDefault="004927B2" w:rsidP="00A03088">
      <w:pPr>
        <w:spacing w:line="240" w:lineRule="auto"/>
        <w:rPr>
          <w:sz w:val="22"/>
          <w:szCs w:val="22"/>
        </w:rPr>
      </w:pPr>
      <w:r w:rsidRPr="004927B2">
        <w:rPr>
          <w:sz w:val="22"/>
          <w:szCs w:val="22"/>
        </w:rPr>
        <w:t>What Joseph is currently working on is not entirely clear. Margaret B. Freeman makes a case that the wooden block Joseph is boring small holes into is a spike block. This is an item seen in depictions from the Low Countries of Christ carrying the cross. These spike blocks hang before his shins adding to his torture.</w:t>
      </w:r>
      <w:r w:rsidRPr="004927B2">
        <w:rPr>
          <w:sz w:val="22"/>
          <w:szCs w:val="22"/>
          <w:vertAlign w:val="superscript"/>
        </w:rPr>
        <w:footnoteReference w:id="25"/>
      </w:r>
      <w:r w:rsidRPr="004927B2">
        <w:rPr>
          <w:sz w:val="22"/>
          <w:szCs w:val="22"/>
        </w:rPr>
        <w:t xml:space="preserve"> This </w:t>
      </w:r>
      <w:proofErr w:type="gramStart"/>
      <w:r w:rsidRPr="004927B2">
        <w:rPr>
          <w:sz w:val="22"/>
          <w:szCs w:val="22"/>
        </w:rPr>
        <w:t>is not be</w:t>
      </w:r>
      <w:proofErr w:type="gramEnd"/>
      <w:r w:rsidRPr="004927B2">
        <w:rPr>
          <w:sz w:val="22"/>
          <w:szCs w:val="22"/>
        </w:rPr>
        <w:t xml:space="preserve"> the only cross bearing and crucifixion imagery seen in the </w:t>
      </w:r>
      <w:proofErr w:type="spellStart"/>
      <w:r w:rsidRPr="004927B2">
        <w:rPr>
          <w:sz w:val="22"/>
          <w:szCs w:val="22"/>
        </w:rPr>
        <w:t>Mérode</w:t>
      </w:r>
      <w:proofErr w:type="spellEnd"/>
      <w:r w:rsidRPr="004927B2">
        <w:rPr>
          <w:sz w:val="22"/>
          <w:szCs w:val="22"/>
        </w:rPr>
        <w:t xml:space="preserve"> Altarpiece. The tiny body of Christ, about to be conceived, is coming through a round window in the central panel with his cross already leaning on his shoulders. The mousetraps, although less obvious at first, are another image foreshadowing the fate of Christ. The nails on Joseph’s workbench could also fit this image. Perhaps these nails are intended to be placed into the holes in the block to create a spike block. </w:t>
      </w:r>
    </w:p>
    <w:p w14:paraId="0A207770" w14:textId="0E66B4CC" w:rsidR="004927B2" w:rsidRPr="004927B2" w:rsidRDefault="004927B2" w:rsidP="00A03088">
      <w:pPr>
        <w:spacing w:line="240" w:lineRule="auto"/>
        <w:rPr>
          <w:sz w:val="22"/>
          <w:szCs w:val="22"/>
        </w:rPr>
      </w:pPr>
      <w:r w:rsidRPr="004927B2">
        <w:rPr>
          <w:sz w:val="22"/>
          <w:szCs w:val="22"/>
        </w:rPr>
        <w:t>The city seen through the door and windows of Joseph’s workshop</w:t>
      </w:r>
      <w:r w:rsidR="00807B05">
        <w:rPr>
          <w:sz w:val="22"/>
          <w:szCs w:val="22"/>
        </w:rPr>
        <w:t>,</w:t>
      </w:r>
      <w:r w:rsidRPr="004927B2">
        <w:rPr>
          <w:sz w:val="22"/>
          <w:szCs w:val="22"/>
        </w:rPr>
        <w:t xml:space="preserve"> and also through the garden gate in the left hand panel</w:t>
      </w:r>
      <w:r w:rsidR="00807B05">
        <w:rPr>
          <w:sz w:val="22"/>
          <w:szCs w:val="22"/>
        </w:rPr>
        <w:t>,</w:t>
      </w:r>
      <w:r w:rsidRPr="004927B2">
        <w:rPr>
          <w:sz w:val="22"/>
          <w:szCs w:val="22"/>
        </w:rPr>
        <w:t xml:space="preserve"> is likely to be Liège.</w:t>
      </w:r>
      <w:r w:rsidRPr="004927B2">
        <w:rPr>
          <w:sz w:val="22"/>
          <w:szCs w:val="22"/>
          <w:vertAlign w:val="superscript"/>
        </w:rPr>
        <w:footnoteReference w:id="26"/>
      </w:r>
      <w:r w:rsidRPr="004927B2">
        <w:rPr>
          <w:sz w:val="22"/>
          <w:szCs w:val="22"/>
        </w:rPr>
        <w:t xml:space="preserve"> Jacques Duchesne-Guillemin makes a case for this in his paper </w:t>
      </w:r>
      <w:r w:rsidRPr="004927B2">
        <w:rPr>
          <w:i/>
          <w:sz w:val="22"/>
          <w:szCs w:val="22"/>
        </w:rPr>
        <w:t xml:space="preserve">On the Cityscape of the </w:t>
      </w:r>
      <w:proofErr w:type="spellStart"/>
      <w:r w:rsidRPr="004927B2">
        <w:rPr>
          <w:i/>
          <w:sz w:val="22"/>
          <w:szCs w:val="22"/>
        </w:rPr>
        <w:t>Mérode</w:t>
      </w:r>
      <w:proofErr w:type="spellEnd"/>
      <w:r w:rsidRPr="004927B2">
        <w:rPr>
          <w:i/>
          <w:sz w:val="22"/>
          <w:szCs w:val="22"/>
        </w:rPr>
        <w:t xml:space="preserve"> Altarpiece</w:t>
      </w:r>
      <w:r w:rsidRPr="004927B2">
        <w:rPr>
          <w:sz w:val="22"/>
          <w:szCs w:val="22"/>
        </w:rPr>
        <w:t xml:space="preserve"> by comparing the two churches seen through Joseph’s window with the two Liège churches of Sainte Croix and Saint Pierre.</w:t>
      </w:r>
      <w:r w:rsidRPr="004927B2">
        <w:rPr>
          <w:sz w:val="22"/>
          <w:szCs w:val="22"/>
          <w:vertAlign w:val="superscript"/>
        </w:rPr>
        <w:footnoteReference w:id="27"/>
      </w:r>
    </w:p>
    <w:p w14:paraId="1A92B511" w14:textId="2BAF1E17" w:rsidR="004927B2" w:rsidRPr="004927B2" w:rsidRDefault="004927B2" w:rsidP="00A03088">
      <w:pPr>
        <w:spacing w:line="240" w:lineRule="auto"/>
        <w:rPr>
          <w:sz w:val="22"/>
          <w:szCs w:val="22"/>
        </w:rPr>
      </w:pPr>
      <w:r w:rsidRPr="004927B2">
        <w:rPr>
          <w:sz w:val="22"/>
          <w:szCs w:val="22"/>
        </w:rPr>
        <w:t>Charles Ilsley Minott</w:t>
      </w:r>
      <w:r w:rsidR="009D191F">
        <w:rPr>
          <w:sz w:val="22"/>
          <w:szCs w:val="22"/>
        </w:rPr>
        <w:t xml:space="preserve">, in his article </w:t>
      </w:r>
      <w:r w:rsidR="009D191F" w:rsidRPr="00C261EA">
        <w:rPr>
          <w:i/>
          <w:iCs/>
          <w:sz w:val="22"/>
          <w:szCs w:val="22"/>
        </w:rPr>
        <w:t xml:space="preserve">The Theme of the </w:t>
      </w:r>
      <w:proofErr w:type="spellStart"/>
      <w:r w:rsidR="009D191F" w:rsidRPr="00C261EA">
        <w:rPr>
          <w:i/>
          <w:iCs/>
          <w:sz w:val="22"/>
          <w:szCs w:val="22"/>
        </w:rPr>
        <w:t>Mérode</w:t>
      </w:r>
      <w:proofErr w:type="spellEnd"/>
      <w:r w:rsidR="009D191F" w:rsidRPr="00C261EA">
        <w:rPr>
          <w:i/>
          <w:iCs/>
          <w:sz w:val="22"/>
          <w:szCs w:val="22"/>
        </w:rPr>
        <w:t xml:space="preserve"> Altarpiece</w:t>
      </w:r>
      <w:r w:rsidR="00C261EA">
        <w:rPr>
          <w:sz w:val="22"/>
          <w:szCs w:val="22"/>
        </w:rPr>
        <w:t>,</w:t>
      </w:r>
      <w:r w:rsidR="00C5595B">
        <w:rPr>
          <w:sz w:val="22"/>
          <w:szCs w:val="22"/>
        </w:rPr>
        <w:t xml:space="preserve"> puts forward an argument</w:t>
      </w:r>
      <w:r w:rsidRPr="004927B2">
        <w:rPr>
          <w:sz w:val="22"/>
          <w:szCs w:val="22"/>
        </w:rPr>
        <w:t xml:space="preserve"> that the mysterious bearded figure </w:t>
      </w:r>
      <w:r w:rsidR="00F911E8">
        <w:rPr>
          <w:sz w:val="22"/>
          <w:szCs w:val="22"/>
        </w:rPr>
        <w:t>standing at</w:t>
      </w:r>
      <w:r w:rsidRPr="004927B2">
        <w:rPr>
          <w:sz w:val="22"/>
          <w:szCs w:val="22"/>
        </w:rPr>
        <w:t xml:space="preserve"> the garden gate in the</w:t>
      </w:r>
      <w:r w:rsidR="00AF6E19">
        <w:rPr>
          <w:sz w:val="22"/>
          <w:szCs w:val="22"/>
        </w:rPr>
        <w:t xml:space="preserve"> </w:t>
      </w:r>
      <w:proofErr w:type="gramStart"/>
      <w:r w:rsidR="00F911E8">
        <w:rPr>
          <w:sz w:val="22"/>
          <w:szCs w:val="22"/>
        </w:rPr>
        <w:t>left hand</w:t>
      </w:r>
      <w:proofErr w:type="gramEnd"/>
      <w:r w:rsidR="00F911E8">
        <w:rPr>
          <w:sz w:val="22"/>
          <w:szCs w:val="22"/>
        </w:rPr>
        <w:t xml:space="preserve"> </w:t>
      </w:r>
      <w:r w:rsidR="00AF6E19">
        <w:rPr>
          <w:sz w:val="22"/>
          <w:szCs w:val="22"/>
        </w:rPr>
        <w:t xml:space="preserve">panel </w:t>
      </w:r>
      <w:r w:rsidRPr="004927B2">
        <w:rPr>
          <w:sz w:val="22"/>
          <w:szCs w:val="22"/>
        </w:rPr>
        <w:t>is</w:t>
      </w:r>
      <w:r w:rsidR="00AF6E19">
        <w:rPr>
          <w:sz w:val="22"/>
          <w:szCs w:val="22"/>
        </w:rPr>
        <w:t xml:space="preserve"> the </w:t>
      </w:r>
      <w:r w:rsidR="007D6A3D">
        <w:rPr>
          <w:sz w:val="22"/>
          <w:szCs w:val="22"/>
        </w:rPr>
        <w:t>prophet,</w:t>
      </w:r>
      <w:r w:rsidRPr="004927B2">
        <w:rPr>
          <w:sz w:val="22"/>
          <w:szCs w:val="22"/>
        </w:rPr>
        <w:t xml:space="preserve"> Isaiah.</w:t>
      </w:r>
      <w:r w:rsidRPr="004927B2">
        <w:rPr>
          <w:sz w:val="22"/>
          <w:szCs w:val="22"/>
          <w:vertAlign w:val="superscript"/>
        </w:rPr>
        <w:footnoteReference w:id="28"/>
      </w:r>
      <w:r w:rsidRPr="004927B2">
        <w:rPr>
          <w:sz w:val="22"/>
          <w:szCs w:val="22"/>
        </w:rPr>
        <w:t xml:space="preserve"> Minott </w:t>
      </w:r>
      <w:r w:rsidR="00FE5599">
        <w:rPr>
          <w:sz w:val="22"/>
          <w:szCs w:val="22"/>
        </w:rPr>
        <w:t>bases this argument in the detail of</w:t>
      </w:r>
      <w:r w:rsidR="007D6A3D">
        <w:rPr>
          <w:sz w:val="22"/>
          <w:szCs w:val="22"/>
        </w:rPr>
        <w:t xml:space="preserve"> </w:t>
      </w:r>
      <w:r w:rsidRPr="004927B2">
        <w:rPr>
          <w:sz w:val="22"/>
          <w:szCs w:val="22"/>
        </w:rPr>
        <w:t>the badge</w:t>
      </w:r>
      <w:r w:rsidR="00FE5599">
        <w:rPr>
          <w:sz w:val="22"/>
          <w:szCs w:val="22"/>
        </w:rPr>
        <w:t xml:space="preserve"> worn by</w:t>
      </w:r>
      <w:r w:rsidRPr="004927B2">
        <w:rPr>
          <w:sz w:val="22"/>
          <w:szCs w:val="22"/>
        </w:rPr>
        <w:t xml:space="preserve"> the bearded figure</w:t>
      </w:r>
      <w:r w:rsidR="00FE5599">
        <w:rPr>
          <w:sz w:val="22"/>
          <w:szCs w:val="22"/>
        </w:rPr>
        <w:t>. this badge i</w:t>
      </w:r>
      <w:r w:rsidRPr="004927B2">
        <w:rPr>
          <w:sz w:val="22"/>
          <w:szCs w:val="22"/>
        </w:rPr>
        <w:t xml:space="preserve">s bordered by twelve pearls which </w:t>
      </w:r>
      <w:r w:rsidR="00FE5599">
        <w:rPr>
          <w:sz w:val="22"/>
          <w:szCs w:val="22"/>
        </w:rPr>
        <w:t>Minott</w:t>
      </w:r>
      <w:r w:rsidRPr="004927B2">
        <w:rPr>
          <w:sz w:val="22"/>
          <w:szCs w:val="22"/>
        </w:rPr>
        <w:t xml:space="preserve"> believes </w:t>
      </w:r>
      <w:r w:rsidR="00FE5599">
        <w:rPr>
          <w:sz w:val="22"/>
          <w:szCs w:val="22"/>
        </w:rPr>
        <w:t>represent</w:t>
      </w:r>
      <w:r w:rsidRPr="004927B2">
        <w:rPr>
          <w:sz w:val="22"/>
          <w:szCs w:val="22"/>
        </w:rPr>
        <w:t xml:space="preserve"> the gates of the </w:t>
      </w:r>
      <w:r w:rsidR="00FE5599">
        <w:rPr>
          <w:sz w:val="22"/>
          <w:szCs w:val="22"/>
        </w:rPr>
        <w:t>h</w:t>
      </w:r>
      <w:r w:rsidRPr="004927B2">
        <w:rPr>
          <w:sz w:val="22"/>
          <w:szCs w:val="22"/>
        </w:rPr>
        <w:t xml:space="preserve">eavenly </w:t>
      </w:r>
      <w:r w:rsidR="00FE5599">
        <w:rPr>
          <w:sz w:val="22"/>
          <w:szCs w:val="22"/>
        </w:rPr>
        <w:t xml:space="preserve">second </w:t>
      </w:r>
      <w:r w:rsidRPr="004927B2">
        <w:rPr>
          <w:sz w:val="22"/>
          <w:szCs w:val="22"/>
        </w:rPr>
        <w:t xml:space="preserve">Jerusalem </w:t>
      </w:r>
      <w:r w:rsidR="00FE5599">
        <w:rPr>
          <w:sz w:val="22"/>
          <w:szCs w:val="22"/>
        </w:rPr>
        <w:t>of</w:t>
      </w:r>
      <w:r w:rsidRPr="004927B2">
        <w:rPr>
          <w:sz w:val="22"/>
          <w:szCs w:val="22"/>
        </w:rPr>
        <w:t xml:space="preserve"> Revelation 21:21.</w:t>
      </w:r>
      <w:r w:rsidRPr="004927B2">
        <w:rPr>
          <w:sz w:val="22"/>
          <w:szCs w:val="22"/>
          <w:vertAlign w:val="superscript"/>
        </w:rPr>
        <w:footnoteReference w:id="29"/>
      </w:r>
      <w:r w:rsidRPr="004927B2">
        <w:rPr>
          <w:sz w:val="22"/>
          <w:szCs w:val="22"/>
        </w:rPr>
        <w:t xml:space="preserve"> The badge is also similar to the coat of arms of the city of Malines, three red pales on a field of gold, a city that the family of the patron had connection to.</w:t>
      </w:r>
      <w:r w:rsidRPr="004927B2">
        <w:rPr>
          <w:sz w:val="22"/>
          <w:szCs w:val="22"/>
          <w:vertAlign w:val="superscript"/>
        </w:rPr>
        <w:footnoteReference w:id="30"/>
      </w:r>
      <w:r w:rsidRPr="004927B2">
        <w:rPr>
          <w:sz w:val="22"/>
          <w:szCs w:val="22"/>
        </w:rPr>
        <w:t xml:space="preserve">  If this figure</w:t>
      </w:r>
      <w:r w:rsidR="00230185">
        <w:rPr>
          <w:sz w:val="22"/>
          <w:szCs w:val="22"/>
        </w:rPr>
        <w:t xml:space="preserve"> by the gate</w:t>
      </w:r>
      <w:r w:rsidRPr="004927B2">
        <w:rPr>
          <w:sz w:val="22"/>
          <w:szCs w:val="22"/>
        </w:rPr>
        <w:t xml:space="preserve"> is Isaiah it is interesting to note that he has a hand placed on the gate of the garden</w:t>
      </w:r>
      <w:r w:rsidR="00487763">
        <w:rPr>
          <w:sz w:val="22"/>
          <w:szCs w:val="22"/>
        </w:rPr>
        <w:t>, evoking the prophet’s role in the realisation of the Messiah and the subsequent opening of the gates of Heaven</w:t>
      </w:r>
      <w:r w:rsidRPr="004927B2">
        <w:rPr>
          <w:sz w:val="22"/>
          <w:szCs w:val="22"/>
        </w:rPr>
        <w:t xml:space="preserve">. </w:t>
      </w:r>
    </w:p>
    <w:p w14:paraId="09391B8E" w14:textId="02DE6F18" w:rsidR="004927B2" w:rsidRPr="004927B2" w:rsidRDefault="004927B2" w:rsidP="00A03088">
      <w:pPr>
        <w:spacing w:line="240" w:lineRule="auto"/>
        <w:rPr>
          <w:sz w:val="22"/>
          <w:szCs w:val="22"/>
        </w:rPr>
      </w:pPr>
      <w:r w:rsidRPr="004927B2">
        <w:rPr>
          <w:sz w:val="22"/>
          <w:szCs w:val="22"/>
        </w:rPr>
        <w:t>The patron of the altarpiece has tucked in his hat a small bud from the rose bush behind him. The rose is another flower that in the medieval period was symbolic of the Virgin Mary.</w:t>
      </w:r>
      <w:r w:rsidRPr="004927B2">
        <w:rPr>
          <w:sz w:val="22"/>
          <w:szCs w:val="22"/>
          <w:vertAlign w:val="superscript"/>
        </w:rPr>
        <w:footnoteReference w:id="31"/>
      </w:r>
      <w:r w:rsidRPr="004927B2">
        <w:rPr>
          <w:sz w:val="22"/>
          <w:szCs w:val="22"/>
        </w:rPr>
        <w:t xml:space="preserve"> The </w:t>
      </w:r>
      <w:r w:rsidR="002A793A">
        <w:rPr>
          <w:sz w:val="22"/>
          <w:szCs w:val="22"/>
        </w:rPr>
        <w:lastRenderedPageBreak/>
        <w:t xml:space="preserve">flowers </w:t>
      </w:r>
      <w:r w:rsidR="00EE0F3C">
        <w:rPr>
          <w:sz w:val="22"/>
          <w:szCs w:val="22"/>
        </w:rPr>
        <w:t xml:space="preserve">of the </w:t>
      </w:r>
      <w:r w:rsidRPr="004927B2">
        <w:rPr>
          <w:sz w:val="22"/>
          <w:szCs w:val="22"/>
        </w:rPr>
        <w:t xml:space="preserve">rosebush </w:t>
      </w:r>
      <w:r w:rsidR="00EE0F3C">
        <w:rPr>
          <w:sz w:val="22"/>
          <w:szCs w:val="22"/>
        </w:rPr>
        <w:t>are</w:t>
      </w:r>
      <w:r w:rsidRPr="004927B2">
        <w:rPr>
          <w:sz w:val="22"/>
          <w:szCs w:val="22"/>
        </w:rPr>
        <w:t xml:space="preserve"> also</w:t>
      </w:r>
      <w:r w:rsidR="00EE0F3C">
        <w:rPr>
          <w:sz w:val="22"/>
          <w:szCs w:val="22"/>
        </w:rPr>
        <w:t xml:space="preserve"> the</w:t>
      </w:r>
      <w:r w:rsidRPr="004927B2">
        <w:rPr>
          <w:sz w:val="22"/>
          <w:szCs w:val="22"/>
        </w:rPr>
        <w:t xml:space="preserve"> deep red colour of martyrdom</w:t>
      </w:r>
      <w:r w:rsidR="00EE0F3C">
        <w:rPr>
          <w:sz w:val="22"/>
          <w:szCs w:val="22"/>
        </w:rPr>
        <w:t xml:space="preserve">. This colour </w:t>
      </w:r>
      <w:r w:rsidR="006A4B73">
        <w:rPr>
          <w:sz w:val="22"/>
          <w:szCs w:val="22"/>
        </w:rPr>
        <w:t xml:space="preserve">is another image of the foretelling of the crucifixion as </w:t>
      </w:r>
      <w:r w:rsidR="00884772">
        <w:rPr>
          <w:sz w:val="22"/>
          <w:szCs w:val="22"/>
        </w:rPr>
        <w:t xml:space="preserve">it is the colour </w:t>
      </w:r>
      <w:r w:rsidR="00196F76">
        <w:rPr>
          <w:sz w:val="22"/>
          <w:szCs w:val="22"/>
        </w:rPr>
        <w:t>representative</w:t>
      </w:r>
      <w:r w:rsidR="00884772">
        <w:rPr>
          <w:sz w:val="22"/>
          <w:szCs w:val="22"/>
        </w:rPr>
        <w:t xml:space="preserve"> of the martyrdom of Christ</w:t>
      </w:r>
      <w:r w:rsidRPr="004927B2">
        <w:rPr>
          <w:sz w:val="22"/>
          <w:szCs w:val="22"/>
        </w:rPr>
        <w:t>.</w:t>
      </w:r>
      <w:r w:rsidRPr="004927B2">
        <w:rPr>
          <w:sz w:val="22"/>
          <w:szCs w:val="22"/>
          <w:vertAlign w:val="superscript"/>
        </w:rPr>
        <w:footnoteReference w:id="32"/>
      </w:r>
      <w:r w:rsidRPr="004927B2">
        <w:rPr>
          <w:sz w:val="22"/>
          <w:szCs w:val="22"/>
        </w:rPr>
        <w:t xml:space="preserve"> </w:t>
      </w:r>
    </w:p>
    <w:p w14:paraId="6EE2C9E9" w14:textId="16D7CB96" w:rsidR="004927B2" w:rsidRDefault="004927B2" w:rsidP="00A03088">
      <w:pPr>
        <w:spacing w:line="240" w:lineRule="auto"/>
        <w:rPr>
          <w:sz w:val="22"/>
          <w:szCs w:val="22"/>
        </w:rPr>
      </w:pPr>
      <w:r w:rsidRPr="004927B2">
        <w:rPr>
          <w:sz w:val="22"/>
          <w:szCs w:val="22"/>
        </w:rPr>
        <w:t xml:space="preserve">The door </w:t>
      </w:r>
      <w:r w:rsidR="00196F76">
        <w:rPr>
          <w:sz w:val="22"/>
          <w:szCs w:val="22"/>
        </w:rPr>
        <w:t xml:space="preserve">which leads from the domestic room of the central panel to the </w:t>
      </w:r>
      <w:r w:rsidR="00FC6597">
        <w:rPr>
          <w:sz w:val="22"/>
          <w:szCs w:val="22"/>
        </w:rPr>
        <w:t xml:space="preserve">garden in the </w:t>
      </w:r>
      <w:proofErr w:type="gramStart"/>
      <w:r w:rsidR="00FC6597">
        <w:rPr>
          <w:sz w:val="22"/>
          <w:szCs w:val="22"/>
        </w:rPr>
        <w:t>left hand</w:t>
      </w:r>
      <w:proofErr w:type="gramEnd"/>
      <w:r w:rsidR="00FC6597">
        <w:rPr>
          <w:sz w:val="22"/>
          <w:szCs w:val="22"/>
        </w:rPr>
        <w:t xml:space="preserve"> panel is ajar and has been unlocked from </w:t>
      </w:r>
      <w:r w:rsidRPr="004927B2">
        <w:rPr>
          <w:sz w:val="22"/>
          <w:szCs w:val="22"/>
        </w:rPr>
        <w:t xml:space="preserve">the inside. This </w:t>
      </w:r>
      <w:r w:rsidR="00712B00">
        <w:rPr>
          <w:sz w:val="22"/>
          <w:szCs w:val="22"/>
        </w:rPr>
        <w:t xml:space="preserve">detail could reference </w:t>
      </w:r>
      <w:r w:rsidRPr="004927B2">
        <w:rPr>
          <w:sz w:val="22"/>
          <w:szCs w:val="22"/>
        </w:rPr>
        <w:t>Ezekiel 44:2</w:t>
      </w:r>
      <w:r w:rsidR="00712B00">
        <w:rPr>
          <w:sz w:val="22"/>
          <w:szCs w:val="22"/>
        </w:rPr>
        <w:t>,</w:t>
      </w:r>
      <w:r w:rsidRPr="004927B2">
        <w:rPr>
          <w:sz w:val="22"/>
          <w:szCs w:val="22"/>
        </w:rPr>
        <w:t xml:space="preserve"> “Then said the Lord unto me, “This gate shall be shut. It shall not be opened and no man shall enter in by it, because the Lord, the God of Israel, hath entered in by it; </w:t>
      </w:r>
      <w:proofErr w:type="gramStart"/>
      <w:r w:rsidRPr="004927B2">
        <w:rPr>
          <w:sz w:val="22"/>
          <w:szCs w:val="22"/>
        </w:rPr>
        <w:t>therefore</w:t>
      </w:r>
      <w:proofErr w:type="gramEnd"/>
      <w:r w:rsidRPr="004927B2">
        <w:rPr>
          <w:sz w:val="22"/>
          <w:szCs w:val="22"/>
        </w:rPr>
        <w:t xml:space="preserve"> it shall be shut.” </w:t>
      </w:r>
      <w:r w:rsidR="002715F4">
        <w:rPr>
          <w:sz w:val="22"/>
          <w:szCs w:val="22"/>
        </w:rPr>
        <w:t xml:space="preserve">This passage is understood to </w:t>
      </w:r>
      <w:r w:rsidRPr="004927B2">
        <w:rPr>
          <w:sz w:val="22"/>
          <w:szCs w:val="22"/>
        </w:rPr>
        <w:t xml:space="preserve">be a reference </w:t>
      </w:r>
      <w:r w:rsidR="002715F4">
        <w:rPr>
          <w:sz w:val="22"/>
          <w:szCs w:val="22"/>
        </w:rPr>
        <w:t>to</w:t>
      </w:r>
      <w:r w:rsidRPr="004927B2">
        <w:rPr>
          <w:sz w:val="22"/>
          <w:szCs w:val="22"/>
        </w:rPr>
        <w:t xml:space="preserve"> the Virgin Mary and </w:t>
      </w:r>
      <w:r w:rsidR="00864506">
        <w:rPr>
          <w:sz w:val="22"/>
          <w:szCs w:val="22"/>
        </w:rPr>
        <w:t>the</w:t>
      </w:r>
      <w:r w:rsidRPr="004927B2">
        <w:rPr>
          <w:sz w:val="22"/>
          <w:szCs w:val="22"/>
        </w:rPr>
        <w:t xml:space="preserve"> conception</w:t>
      </w:r>
      <w:r w:rsidR="00864506">
        <w:rPr>
          <w:sz w:val="22"/>
          <w:szCs w:val="22"/>
        </w:rPr>
        <w:t xml:space="preserve"> of Christ</w:t>
      </w:r>
      <w:r w:rsidRPr="004927B2">
        <w:rPr>
          <w:sz w:val="22"/>
          <w:szCs w:val="22"/>
        </w:rPr>
        <w:t>.</w:t>
      </w:r>
      <w:r w:rsidRPr="004927B2">
        <w:rPr>
          <w:sz w:val="22"/>
          <w:szCs w:val="22"/>
          <w:vertAlign w:val="superscript"/>
        </w:rPr>
        <w:footnoteReference w:id="33"/>
      </w:r>
      <w:r w:rsidRPr="004927B2">
        <w:rPr>
          <w:sz w:val="22"/>
          <w:szCs w:val="22"/>
        </w:rPr>
        <w:t xml:space="preserve"> </w:t>
      </w:r>
    </w:p>
    <w:p w14:paraId="49DD3BC1" w14:textId="33E31AE8" w:rsidR="00807A10" w:rsidRDefault="00807A10" w:rsidP="00A03088">
      <w:pPr>
        <w:spacing w:line="240" w:lineRule="auto"/>
        <w:rPr>
          <w:sz w:val="22"/>
          <w:szCs w:val="22"/>
        </w:rPr>
      </w:pPr>
      <w:r>
        <w:rPr>
          <w:sz w:val="22"/>
          <w:szCs w:val="22"/>
        </w:rPr>
        <w:t xml:space="preserve">The </w:t>
      </w:r>
      <w:r w:rsidR="00A4218D">
        <w:rPr>
          <w:sz w:val="22"/>
          <w:szCs w:val="22"/>
        </w:rPr>
        <w:t xml:space="preserve">resonances </w:t>
      </w:r>
      <w:r w:rsidR="00CE3940">
        <w:rPr>
          <w:sz w:val="22"/>
          <w:szCs w:val="22"/>
        </w:rPr>
        <w:t xml:space="preserve">of the multiple symbolic details </w:t>
      </w:r>
      <w:r w:rsidR="00A4218D">
        <w:rPr>
          <w:sz w:val="22"/>
          <w:szCs w:val="22"/>
        </w:rPr>
        <w:t xml:space="preserve">in the </w:t>
      </w:r>
      <w:proofErr w:type="spellStart"/>
      <w:r w:rsidR="00A4218D" w:rsidRPr="00A4218D">
        <w:rPr>
          <w:sz w:val="22"/>
          <w:szCs w:val="22"/>
        </w:rPr>
        <w:t>Mérode</w:t>
      </w:r>
      <w:proofErr w:type="spellEnd"/>
      <w:r w:rsidR="00A4218D" w:rsidRPr="00A4218D">
        <w:rPr>
          <w:sz w:val="22"/>
          <w:szCs w:val="22"/>
        </w:rPr>
        <w:t xml:space="preserve"> Altarpiece</w:t>
      </w:r>
      <w:r w:rsidR="00CE3940">
        <w:rPr>
          <w:sz w:val="22"/>
          <w:szCs w:val="22"/>
        </w:rPr>
        <w:t xml:space="preserve"> draw on the </w:t>
      </w:r>
      <w:r w:rsidR="00B846CC">
        <w:rPr>
          <w:sz w:val="22"/>
          <w:szCs w:val="22"/>
        </w:rPr>
        <w:t xml:space="preserve">religious </w:t>
      </w:r>
      <w:r w:rsidR="00CE3940">
        <w:rPr>
          <w:sz w:val="22"/>
          <w:szCs w:val="22"/>
        </w:rPr>
        <w:t xml:space="preserve">knowledge of its </w:t>
      </w:r>
      <w:r w:rsidR="00B846CC">
        <w:rPr>
          <w:sz w:val="22"/>
          <w:szCs w:val="22"/>
        </w:rPr>
        <w:t xml:space="preserve">early fifteenth century audience. </w:t>
      </w:r>
      <w:r w:rsidR="00131DC6">
        <w:rPr>
          <w:sz w:val="22"/>
          <w:szCs w:val="22"/>
        </w:rPr>
        <w:t xml:space="preserve">The altarpiece depicts the pivotal moment where the world is remade at the transition from the </w:t>
      </w:r>
      <w:r w:rsidR="00EA24AB">
        <w:rPr>
          <w:sz w:val="22"/>
          <w:szCs w:val="22"/>
        </w:rPr>
        <w:t xml:space="preserve">Old Law of the First Covenant to the New Law of the New Covenant. </w:t>
      </w:r>
    </w:p>
    <w:p w14:paraId="4F16FE17" w14:textId="05FD8A77" w:rsidR="00C901A3" w:rsidRPr="004927B2" w:rsidRDefault="00C901A3" w:rsidP="00A03088">
      <w:pPr>
        <w:spacing w:line="240" w:lineRule="auto"/>
        <w:rPr>
          <w:sz w:val="22"/>
          <w:szCs w:val="22"/>
        </w:rPr>
      </w:pPr>
      <w:r w:rsidRPr="00C901A3">
        <w:rPr>
          <w:sz w:val="22"/>
          <w:szCs w:val="22"/>
          <w:highlight w:val="yellow"/>
        </w:rPr>
        <w:t xml:space="preserve">Say something about the visual medium as the lingua Franca of the </w:t>
      </w:r>
      <w:proofErr w:type="gramStart"/>
      <w:r w:rsidRPr="00C901A3">
        <w:rPr>
          <w:sz w:val="22"/>
          <w:szCs w:val="22"/>
          <w:highlight w:val="yellow"/>
        </w:rPr>
        <w:t>middle ages</w:t>
      </w:r>
      <w:proofErr w:type="gramEnd"/>
      <w:r w:rsidRPr="00C901A3">
        <w:rPr>
          <w:sz w:val="22"/>
          <w:szCs w:val="22"/>
          <w:highlight w:val="yellow"/>
        </w:rPr>
        <w:t xml:space="preserve"> maybe?</w:t>
      </w:r>
    </w:p>
    <w:p w14:paraId="0A762FA9" w14:textId="77777777" w:rsidR="004927B2" w:rsidRPr="004927B2" w:rsidRDefault="004927B2" w:rsidP="00A03088">
      <w:pPr>
        <w:spacing w:line="240" w:lineRule="auto"/>
        <w:rPr>
          <w:sz w:val="22"/>
          <w:szCs w:val="22"/>
        </w:rPr>
      </w:pPr>
    </w:p>
    <w:p w14:paraId="730F0D81" w14:textId="77777777" w:rsidR="004927B2" w:rsidRPr="004927B2" w:rsidRDefault="004927B2" w:rsidP="00A03088">
      <w:pPr>
        <w:spacing w:line="240" w:lineRule="auto"/>
        <w:rPr>
          <w:sz w:val="22"/>
          <w:szCs w:val="22"/>
        </w:rPr>
      </w:pPr>
    </w:p>
    <w:p w14:paraId="23860706" w14:textId="77777777" w:rsidR="004927B2" w:rsidRPr="004927B2" w:rsidRDefault="004927B2" w:rsidP="00A03088">
      <w:pPr>
        <w:spacing w:line="240" w:lineRule="auto"/>
        <w:rPr>
          <w:sz w:val="22"/>
          <w:szCs w:val="22"/>
        </w:rPr>
      </w:pPr>
    </w:p>
    <w:p w14:paraId="67C84014" w14:textId="77777777" w:rsidR="004927B2" w:rsidRPr="004927B2" w:rsidRDefault="004927B2" w:rsidP="00A03088">
      <w:pPr>
        <w:spacing w:line="240" w:lineRule="auto"/>
        <w:rPr>
          <w:sz w:val="22"/>
          <w:szCs w:val="22"/>
        </w:rPr>
      </w:pPr>
    </w:p>
    <w:p w14:paraId="084F2360" w14:textId="77777777" w:rsidR="004927B2" w:rsidRPr="004927B2" w:rsidRDefault="004927B2" w:rsidP="00A03088">
      <w:pPr>
        <w:spacing w:line="240" w:lineRule="auto"/>
        <w:rPr>
          <w:sz w:val="22"/>
          <w:szCs w:val="22"/>
        </w:rPr>
      </w:pPr>
    </w:p>
    <w:p w14:paraId="5F0CC0C3" w14:textId="77777777" w:rsidR="004927B2" w:rsidRPr="004927B2" w:rsidRDefault="004927B2" w:rsidP="00A03088">
      <w:pPr>
        <w:spacing w:line="240" w:lineRule="auto"/>
        <w:rPr>
          <w:sz w:val="22"/>
          <w:szCs w:val="22"/>
        </w:rPr>
      </w:pPr>
    </w:p>
    <w:p w14:paraId="074BDD19" w14:textId="77777777" w:rsidR="004927B2" w:rsidRPr="004927B2" w:rsidRDefault="004927B2" w:rsidP="00A03088">
      <w:pPr>
        <w:spacing w:line="240" w:lineRule="auto"/>
        <w:rPr>
          <w:sz w:val="22"/>
          <w:szCs w:val="22"/>
        </w:rPr>
      </w:pPr>
    </w:p>
    <w:p w14:paraId="046DBCE9" w14:textId="77777777" w:rsidR="004927B2" w:rsidRPr="004927B2" w:rsidRDefault="004927B2" w:rsidP="00A03088">
      <w:pPr>
        <w:spacing w:line="240" w:lineRule="auto"/>
        <w:rPr>
          <w:sz w:val="22"/>
          <w:szCs w:val="22"/>
        </w:rPr>
      </w:pPr>
    </w:p>
    <w:p w14:paraId="00F4EC4C" w14:textId="77777777" w:rsidR="004927B2" w:rsidRPr="004927B2" w:rsidRDefault="004927B2" w:rsidP="00A03088">
      <w:pPr>
        <w:spacing w:line="240" w:lineRule="auto"/>
        <w:rPr>
          <w:sz w:val="22"/>
          <w:szCs w:val="22"/>
        </w:rPr>
      </w:pPr>
    </w:p>
    <w:p w14:paraId="4F19D52F" w14:textId="77777777" w:rsidR="004927B2" w:rsidRPr="004927B2" w:rsidRDefault="004927B2" w:rsidP="00A03088">
      <w:pPr>
        <w:spacing w:line="240" w:lineRule="auto"/>
        <w:rPr>
          <w:sz w:val="22"/>
          <w:szCs w:val="22"/>
        </w:rPr>
      </w:pPr>
    </w:p>
    <w:p w14:paraId="2D14410C" w14:textId="77777777" w:rsidR="004927B2" w:rsidRPr="004927B2" w:rsidRDefault="004927B2" w:rsidP="00A03088">
      <w:pPr>
        <w:spacing w:line="240" w:lineRule="auto"/>
        <w:rPr>
          <w:sz w:val="22"/>
          <w:szCs w:val="22"/>
        </w:rPr>
      </w:pPr>
    </w:p>
    <w:p w14:paraId="7D10278C" w14:textId="77777777" w:rsidR="004927B2" w:rsidRDefault="004927B2" w:rsidP="00A03088">
      <w:pPr>
        <w:spacing w:line="240" w:lineRule="auto"/>
        <w:rPr>
          <w:sz w:val="22"/>
          <w:szCs w:val="22"/>
        </w:rPr>
      </w:pPr>
    </w:p>
    <w:p w14:paraId="1A1319D8" w14:textId="77777777" w:rsidR="00FC5388" w:rsidRDefault="00FC5388" w:rsidP="00A03088">
      <w:pPr>
        <w:spacing w:line="240" w:lineRule="auto"/>
        <w:rPr>
          <w:sz w:val="22"/>
          <w:szCs w:val="22"/>
        </w:rPr>
      </w:pPr>
    </w:p>
    <w:p w14:paraId="64CC009C" w14:textId="77777777" w:rsidR="00FC5388" w:rsidRDefault="00FC5388" w:rsidP="00A03088">
      <w:pPr>
        <w:spacing w:line="240" w:lineRule="auto"/>
        <w:rPr>
          <w:sz w:val="22"/>
          <w:szCs w:val="22"/>
        </w:rPr>
      </w:pPr>
    </w:p>
    <w:p w14:paraId="1B0B42FE" w14:textId="77777777" w:rsidR="00FC5388" w:rsidRDefault="00FC5388" w:rsidP="00A03088">
      <w:pPr>
        <w:spacing w:line="240" w:lineRule="auto"/>
        <w:rPr>
          <w:sz w:val="22"/>
          <w:szCs w:val="22"/>
        </w:rPr>
      </w:pPr>
    </w:p>
    <w:p w14:paraId="521CC964" w14:textId="77777777" w:rsidR="00FC5388" w:rsidRDefault="00FC5388" w:rsidP="00A03088">
      <w:pPr>
        <w:spacing w:line="240" w:lineRule="auto"/>
        <w:rPr>
          <w:sz w:val="22"/>
          <w:szCs w:val="22"/>
        </w:rPr>
      </w:pPr>
    </w:p>
    <w:p w14:paraId="49E814AB" w14:textId="77777777" w:rsidR="00FC5388" w:rsidRDefault="00FC5388" w:rsidP="00A03088">
      <w:pPr>
        <w:spacing w:line="240" w:lineRule="auto"/>
        <w:rPr>
          <w:sz w:val="22"/>
          <w:szCs w:val="22"/>
        </w:rPr>
      </w:pPr>
    </w:p>
    <w:p w14:paraId="784B55F7" w14:textId="77777777" w:rsidR="00FC5388" w:rsidRDefault="00FC5388" w:rsidP="00A03088">
      <w:pPr>
        <w:spacing w:line="240" w:lineRule="auto"/>
        <w:rPr>
          <w:sz w:val="22"/>
          <w:szCs w:val="22"/>
        </w:rPr>
      </w:pPr>
    </w:p>
    <w:p w14:paraId="664124B9" w14:textId="77777777" w:rsidR="00FC5388" w:rsidRDefault="00FC5388" w:rsidP="00A03088">
      <w:pPr>
        <w:spacing w:line="240" w:lineRule="auto"/>
        <w:rPr>
          <w:sz w:val="22"/>
          <w:szCs w:val="22"/>
        </w:rPr>
      </w:pPr>
    </w:p>
    <w:p w14:paraId="3D56F203" w14:textId="77777777" w:rsidR="00FC5388" w:rsidRDefault="00FC5388" w:rsidP="00A03088">
      <w:pPr>
        <w:spacing w:line="240" w:lineRule="auto"/>
        <w:rPr>
          <w:sz w:val="22"/>
          <w:szCs w:val="22"/>
        </w:rPr>
      </w:pPr>
    </w:p>
    <w:p w14:paraId="4F77A2ED" w14:textId="77777777" w:rsidR="00FC5388" w:rsidRDefault="00FC5388" w:rsidP="00A03088">
      <w:pPr>
        <w:spacing w:line="240" w:lineRule="auto"/>
        <w:rPr>
          <w:sz w:val="22"/>
          <w:szCs w:val="22"/>
        </w:rPr>
      </w:pPr>
    </w:p>
    <w:p w14:paraId="0215C726" w14:textId="77777777" w:rsidR="00343F38" w:rsidRDefault="00343F38" w:rsidP="00A03088">
      <w:pPr>
        <w:spacing w:line="240" w:lineRule="auto"/>
        <w:rPr>
          <w:sz w:val="22"/>
          <w:szCs w:val="22"/>
        </w:rPr>
      </w:pPr>
    </w:p>
    <w:p w14:paraId="5A2D8CB2" w14:textId="77777777" w:rsidR="00343F38" w:rsidRPr="004927B2" w:rsidRDefault="00343F38" w:rsidP="00A03088">
      <w:pPr>
        <w:spacing w:line="240" w:lineRule="auto"/>
        <w:rPr>
          <w:sz w:val="22"/>
          <w:szCs w:val="22"/>
        </w:rPr>
      </w:pPr>
    </w:p>
    <w:p w14:paraId="37C45556" w14:textId="01A66E77" w:rsidR="004927B2" w:rsidRDefault="004927B2" w:rsidP="00A03088">
      <w:pPr>
        <w:spacing w:line="240" w:lineRule="auto"/>
        <w:rPr>
          <w:sz w:val="25"/>
          <w:szCs w:val="25"/>
        </w:rPr>
      </w:pPr>
      <w:r w:rsidRPr="004927B2">
        <w:rPr>
          <w:sz w:val="25"/>
          <w:szCs w:val="25"/>
        </w:rPr>
        <w:t>Reference List</w:t>
      </w:r>
      <w:r w:rsidR="00F434DD">
        <w:rPr>
          <w:sz w:val="25"/>
          <w:szCs w:val="25"/>
        </w:rPr>
        <w:t xml:space="preserve"> </w:t>
      </w:r>
    </w:p>
    <w:p w14:paraId="5134AA87" w14:textId="77777777" w:rsidR="00FC5388" w:rsidRDefault="00FC5388" w:rsidP="00FC5388">
      <w:pPr>
        <w:spacing w:line="240" w:lineRule="auto"/>
        <w:rPr>
          <w:sz w:val="22"/>
          <w:szCs w:val="22"/>
        </w:rPr>
      </w:pPr>
      <w:r>
        <w:rPr>
          <w:sz w:val="22"/>
          <w:szCs w:val="22"/>
        </w:rPr>
        <w:t>‘</w:t>
      </w:r>
      <w:r w:rsidRPr="00FE05B4">
        <w:rPr>
          <w:sz w:val="22"/>
          <w:szCs w:val="22"/>
        </w:rPr>
        <w:t>Annunciation Triptych (</w:t>
      </w:r>
      <w:proofErr w:type="spellStart"/>
      <w:r w:rsidRPr="00FE05B4">
        <w:rPr>
          <w:sz w:val="22"/>
          <w:szCs w:val="22"/>
        </w:rPr>
        <w:t>Merode</w:t>
      </w:r>
      <w:proofErr w:type="spellEnd"/>
      <w:r w:rsidRPr="00FE05B4">
        <w:rPr>
          <w:sz w:val="22"/>
          <w:szCs w:val="22"/>
        </w:rPr>
        <w:t xml:space="preserve"> Altarpiece)</w:t>
      </w:r>
      <w:r>
        <w:rPr>
          <w:sz w:val="22"/>
          <w:szCs w:val="22"/>
        </w:rPr>
        <w:t xml:space="preserve">’, </w:t>
      </w:r>
      <w:r>
        <w:rPr>
          <w:i/>
          <w:iCs/>
          <w:sz w:val="22"/>
          <w:szCs w:val="22"/>
        </w:rPr>
        <w:t>The Met</w:t>
      </w:r>
      <w:r>
        <w:rPr>
          <w:sz w:val="22"/>
          <w:szCs w:val="22"/>
        </w:rPr>
        <w:t>, (undated), &lt;</w:t>
      </w:r>
      <w:r w:rsidRPr="00BF7172">
        <w:rPr>
          <w:sz w:val="22"/>
          <w:szCs w:val="22"/>
        </w:rPr>
        <w:t>https://www.metmuseum.org/art/collection/search/470304</w:t>
      </w:r>
      <w:r>
        <w:rPr>
          <w:sz w:val="22"/>
          <w:szCs w:val="22"/>
        </w:rPr>
        <w:t>&gt; [last accessed 29th April 2025]</w:t>
      </w:r>
    </w:p>
    <w:p w14:paraId="3EEC932D" w14:textId="211C1D7F" w:rsidR="00F92553" w:rsidRDefault="007153D2" w:rsidP="00FC5388">
      <w:pPr>
        <w:spacing w:line="240" w:lineRule="auto"/>
        <w:rPr>
          <w:sz w:val="22"/>
          <w:szCs w:val="22"/>
        </w:rPr>
      </w:pPr>
      <w:r>
        <w:rPr>
          <w:sz w:val="22"/>
          <w:szCs w:val="22"/>
        </w:rPr>
        <w:t>‘</w:t>
      </w:r>
      <w:r w:rsidRPr="007153D2">
        <w:rPr>
          <w:sz w:val="22"/>
          <w:szCs w:val="22"/>
        </w:rPr>
        <w:t>Robert Campin</w:t>
      </w:r>
      <w:r>
        <w:rPr>
          <w:sz w:val="22"/>
          <w:szCs w:val="22"/>
        </w:rPr>
        <w:t xml:space="preserve">’, </w:t>
      </w:r>
      <w:r>
        <w:rPr>
          <w:i/>
          <w:iCs/>
          <w:sz w:val="22"/>
          <w:szCs w:val="22"/>
        </w:rPr>
        <w:t>The National Gallery</w:t>
      </w:r>
      <w:r w:rsidR="00D73FC5">
        <w:rPr>
          <w:sz w:val="22"/>
          <w:szCs w:val="22"/>
        </w:rPr>
        <w:t xml:space="preserve">, (undated), </w:t>
      </w:r>
      <w:r>
        <w:rPr>
          <w:sz w:val="22"/>
          <w:szCs w:val="22"/>
        </w:rPr>
        <w:t>&lt;</w:t>
      </w:r>
      <w:r w:rsidRPr="007153D2">
        <w:rPr>
          <w:sz w:val="22"/>
          <w:szCs w:val="22"/>
        </w:rPr>
        <w:t>https://www.nationalgallery.org.uk/artists/robert-campin</w:t>
      </w:r>
      <w:r>
        <w:rPr>
          <w:sz w:val="22"/>
          <w:szCs w:val="22"/>
        </w:rPr>
        <w:t xml:space="preserve">&gt; </w:t>
      </w:r>
      <w:r>
        <w:rPr>
          <w:sz w:val="22"/>
          <w:szCs w:val="22"/>
        </w:rPr>
        <w:t>[last accessed 29th April 2025]</w:t>
      </w:r>
    </w:p>
    <w:p w14:paraId="49E5B919" w14:textId="3924E84C" w:rsidR="00DE494B" w:rsidRPr="004927B2" w:rsidRDefault="00827800" w:rsidP="00A03088">
      <w:pPr>
        <w:spacing w:line="240" w:lineRule="auto"/>
        <w:rPr>
          <w:sz w:val="22"/>
          <w:szCs w:val="22"/>
        </w:rPr>
      </w:pPr>
      <w:bookmarkStart w:id="0" w:name="_Hlk196850530"/>
      <w:r>
        <w:rPr>
          <w:sz w:val="22"/>
          <w:szCs w:val="22"/>
        </w:rPr>
        <w:t>Campin</w:t>
      </w:r>
      <w:r>
        <w:rPr>
          <w:sz w:val="22"/>
          <w:szCs w:val="22"/>
        </w:rPr>
        <w:t xml:space="preserve">, </w:t>
      </w:r>
      <w:r w:rsidR="00DE494B">
        <w:rPr>
          <w:sz w:val="22"/>
          <w:szCs w:val="22"/>
        </w:rPr>
        <w:t xml:space="preserve">Robert, </w:t>
      </w:r>
      <w:r w:rsidR="00DE494B" w:rsidRPr="005B0359">
        <w:rPr>
          <w:i/>
          <w:iCs/>
          <w:sz w:val="22"/>
          <w:szCs w:val="22"/>
        </w:rPr>
        <w:t xml:space="preserve">The </w:t>
      </w:r>
      <w:proofErr w:type="spellStart"/>
      <w:r w:rsidR="00DE494B" w:rsidRPr="005B0359">
        <w:rPr>
          <w:i/>
          <w:iCs/>
          <w:sz w:val="22"/>
          <w:szCs w:val="22"/>
        </w:rPr>
        <w:t>Mérode</w:t>
      </w:r>
      <w:proofErr w:type="spellEnd"/>
      <w:r w:rsidR="00DE494B" w:rsidRPr="005B0359">
        <w:rPr>
          <w:i/>
          <w:iCs/>
          <w:sz w:val="22"/>
          <w:szCs w:val="22"/>
        </w:rPr>
        <w:t xml:space="preserve"> Altarpiece</w:t>
      </w:r>
      <w:r w:rsidR="00DE494B">
        <w:rPr>
          <w:sz w:val="22"/>
          <w:szCs w:val="22"/>
        </w:rPr>
        <w:t xml:space="preserve">, </w:t>
      </w:r>
      <w:r w:rsidR="00DE494B" w:rsidRPr="005E7B7A">
        <w:rPr>
          <w:sz w:val="22"/>
          <w:szCs w:val="22"/>
        </w:rPr>
        <w:t>ca. 1427–32</w:t>
      </w:r>
      <w:r w:rsidR="00DE494B">
        <w:rPr>
          <w:sz w:val="22"/>
          <w:szCs w:val="22"/>
        </w:rPr>
        <w:t xml:space="preserve">, oil on oak panel, </w:t>
      </w:r>
      <w:r w:rsidR="00DE494B" w:rsidRPr="005E7B7A">
        <w:rPr>
          <w:sz w:val="22"/>
          <w:szCs w:val="22"/>
        </w:rPr>
        <w:t>64.5 x 117.8 cm</w:t>
      </w:r>
      <w:r w:rsidR="00DE494B">
        <w:rPr>
          <w:sz w:val="22"/>
          <w:szCs w:val="22"/>
        </w:rPr>
        <w:t xml:space="preserve">, </w:t>
      </w:r>
      <w:r w:rsidR="00DE494B" w:rsidRPr="00DC3ECF">
        <w:rPr>
          <w:sz w:val="22"/>
          <w:szCs w:val="22"/>
        </w:rPr>
        <w:t>56.70a–c</w:t>
      </w:r>
      <w:r w:rsidR="00DE494B">
        <w:rPr>
          <w:sz w:val="22"/>
          <w:szCs w:val="22"/>
        </w:rPr>
        <w:t>,</w:t>
      </w:r>
      <w:r w:rsidR="00DE494B" w:rsidRPr="00DE494B">
        <w:rPr>
          <w:sz w:val="22"/>
          <w:szCs w:val="22"/>
        </w:rPr>
        <w:t xml:space="preserve"> </w:t>
      </w:r>
      <w:r w:rsidR="00DE494B" w:rsidRPr="00B577F2">
        <w:rPr>
          <w:sz w:val="22"/>
          <w:szCs w:val="22"/>
        </w:rPr>
        <w:t>The Cloisters Collection 1956</w:t>
      </w:r>
      <w:r w:rsidR="00DE494B">
        <w:rPr>
          <w:sz w:val="22"/>
          <w:szCs w:val="22"/>
        </w:rPr>
        <w:t>, The Met Cloisters, New York</w:t>
      </w:r>
    </w:p>
    <w:bookmarkEnd w:id="0"/>
    <w:p w14:paraId="6DF78AEF" w14:textId="77777777" w:rsidR="004927B2" w:rsidRPr="004927B2" w:rsidRDefault="004927B2" w:rsidP="00A03088">
      <w:pPr>
        <w:spacing w:line="240" w:lineRule="auto"/>
        <w:rPr>
          <w:i/>
          <w:iCs/>
          <w:sz w:val="22"/>
          <w:szCs w:val="22"/>
        </w:rPr>
      </w:pPr>
      <w:r w:rsidRPr="004927B2">
        <w:rPr>
          <w:sz w:val="22"/>
          <w:szCs w:val="22"/>
        </w:rPr>
        <w:t xml:space="preserve">De Coo, Jozef. “A Medieval Look at the </w:t>
      </w:r>
      <w:proofErr w:type="spellStart"/>
      <w:r w:rsidRPr="004927B2">
        <w:rPr>
          <w:sz w:val="22"/>
          <w:szCs w:val="22"/>
        </w:rPr>
        <w:t>Merode</w:t>
      </w:r>
      <w:proofErr w:type="spellEnd"/>
      <w:r w:rsidRPr="004927B2">
        <w:rPr>
          <w:sz w:val="22"/>
          <w:szCs w:val="22"/>
        </w:rPr>
        <w:t xml:space="preserve"> Annunciation.” </w:t>
      </w:r>
      <w:proofErr w:type="spellStart"/>
      <w:r w:rsidRPr="004927B2">
        <w:rPr>
          <w:i/>
          <w:iCs/>
          <w:sz w:val="22"/>
          <w:szCs w:val="22"/>
        </w:rPr>
        <w:t>Zeitschrift</w:t>
      </w:r>
      <w:proofErr w:type="spellEnd"/>
      <w:r w:rsidRPr="004927B2">
        <w:rPr>
          <w:i/>
          <w:iCs/>
          <w:sz w:val="22"/>
          <w:szCs w:val="22"/>
        </w:rPr>
        <w:t xml:space="preserve"> Für </w:t>
      </w:r>
      <w:proofErr w:type="spellStart"/>
      <w:r w:rsidRPr="004927B2">
        <w:rPr>
          <w:i/>
          <w:iCs/>
          <w:sz w:val="22"/>
          <w:szCs w:val="22"/>
        </w:rPr>
        <w:t>Kunstgeschichte</w:t>
      </w:r>
      <w:proofErr w:type="spellEnd"/>
      <w:r w:rsidRPr="004927B2">
        <w:rPr>
          <w:sz w:val="22"/>
          <w:szCs w:val="22"/>
        </w:rPr>
        <w:t>, vol. 44, no. 2, 1981, pp. 114–132. </w:t>
      </w:r>
    </w:p>
    <w:p w14:paraId="4C99E8D7" w14:textId="77777777" w:rsidR="004927B2" w:rsidRPr="004927B2" w:rsidRDefault="004927B2" w:rsidP="00A03088">
      <w:pPr>
        <w:spacing w:line="240" w:lineRule="auto"/>
        <w:rPr>
          <w:i/>
          <w:iCs/>
          <w:sz w:val="22"/>
          <w:szCs w:val="22"/>
        </w:rPr>
      </w:pPr>
      <w:r w:rsidRPr="004927B2">
        <w:rPr>
          <w:sz w:val="22"/>
          <w:szCs w:val="22"/>
        </w:rPr>
        <w:t xml:space="preserve">Duchesne-Guillemin, Jacques., “On the Cityscape of the </w:t>
      </w:r>
      <w:proofErr w:type="spellStart"/>
      <w:r w:rsidRPr="004927B2">
        <w:rPr>
          <w:sz w:val="22"/>
          <w:szCs w:val="22"/>
        </w:rPr>
        <w:t>Mérode</w:t>
      </w:r>
      <w:proofErr w:type="spellEnd"/>
      <w:r w:rsidRPr="004927B2">
        <w:rPr>
          <w:sz w:val="22"/>
          <w:szCs w:val="22"/>
        </w:rPr>
        <w:t xml:space="preserve"> Altarpiece.” </w:t>
      </w:r>
      <w:r w:rsidRPr="004927B2">
        <w:rPr>
          <w:i/>
          <w:iCs/>
          <w:sz w:val="22"/>
          <w:szCs w:val="22"/>
        </w:rPr>
        <w:t>Metropolitan Museum Journal</w:t>
      </w:r>
      <w:r w:rsidRPr="004927B2">
        <w:rPr>
          <w:sz w:val="22"/>
          <w:szCs w:val="22"/>
        </w:rPr>
        <w:t>, vol. 11, 1976, pp. 129–131. </w:t>
      </w:r>
    </w:p>
    <w:p w14:paraId="0663BF8A" w14:textId="77777777" w:rsidR="004927B2" w:rsidRPr="004927B2" w:rsidRDefault="004927B2" w:rsidP="00A03088">
      <w:pPr>
        <w:spacing w:line="240" w:lineRule="auto"/>
        <w:rPr>
          <w:sz w:val="22"/>
          <w:szCs w:val="22"/>
        </w:rPr>
      </w:pPr>
      <w:r w:rsidRPr="004927B2">
        <w:rPr>
          <w:sz w:val="22"/>
          <w:szCs w:val="22"/>
        </w:rPr>
        <w:t xml:space="preserve">Freeman, Margaret B., “The Iconography of the </w:t>
      </w:r>
      <w:proofErr w:type="spellStart"/>
      <w:r w:rsidRPr="004927B2">
        <w:rPr>
          <w:sz w:val="22"/>
          <w:szCs w:val="22"/>
        </w:rPr>
        <w:t>Merode</w:t>
      </w:r>
      <w:proofErr w:type="spellEnd"/>
      <w:r w:rsidRPr="004927B2">
        <w:rPr>
          <w:sz w:val="22"/>
          <w:szCs w:val="22"/>
        </w:rPr>
        <w:t xml:space="preserve"> Altarpiece.” </w:t>
      </w:r>
      <w:r w:rsidRPr="004927B2">
        <w:rPr>
          <w:i/>
          <w:iCs/>
          <w:sz w:val="22"/>
          <w:szCs w:val="22"/>
        </w:rPr>
        <w:t>The Metropolitan Museum of Art Bulletin</w:t>
      </w:r>
      <w:r w:rsidRPr="004927B2">
        <w:rPr>
          <w:sz w:val="22"/>
          <w:szCs w:val="22"/>
        </w:rPr>
        <w:t>, vol. 16, no. 4, 1957, pp. 130–139. </w:t>
      </w:r>
    </w:p>
    <w:p w14:paraId="3BB7D398" w14:textId="77777777" w:rsidR="004927B2" w:rsidRPr="004927B2" w:rsidRDefault="004927B2" w:rsidP="00A03088">
      <w:pPr>
        <w:spacing w:line="240" w:lineRule="auto"/>
        <w:rPr>
          <w:sz w:val="22"/>
          <w:szCs w:val="22"/>
        </w:rPr>
      </w:pPr>
      <w:r w:rsidRPr="004927B2">
        <w:rPr>
          <w:sz w:val="22"/>
          <w:szCs w:val="22"/>
        </w:rPr>
        <w:t xml:space="preserve">Hahn, Cynthia., “'Joseph Will Perfect, Mary Enlighten and Jesus Save Thee': The Holy Family as Marriage Model in the </w:t>
      </w:r>
      <w:proofErr w:type="spellStart"/>
      <w:r w:rsidRPr="004927B2">
        <w:rPr>
          <w:sz w:val="22"/>
          <w:szCs w:val="22"/>
        </w:rPr>
        <w:t>Mérode</w:t>
      </w:r>
      <w:proofErr w:type="spellEnd"/>
      <w:r w:rsidRPr="004927B2">
        <w:rPr>
          <w:sz w:val="22"/>
          <w:szCs w:val="22"/>
        </w:rPr>
        <w:t xml:space="preserve"> Triptych.” </w:t>
      </w:r>
      <w:r w:rsidRPr="004927B2">
        <w:rPr>
          <w:i/>
          <w:iCs/>
          <w:sz w:val="22"/>
          <w:szCs w:val="22"/>
        </w:rPr>
        <w:t>The Art Bulletin</w:t>
      </w:r>
      <w:r w:rsidRPr="004927B2">
        <w:rPr>
          <w:sz w:val="22"/>
          <w:szCs w:val="22"/>
        </w:rPr>
        <w:t>, vol. 68, no. 1, 1986, pp. 54–66. </w:t>
      </w:r>
    </w:p>
    <w:p w14:paraId="48ABD17E" w14:textId="77777777" w:rsidR="004927B2" w:rsidRPr="004927B2" w:rsidRDefault="004927B2" w:rsidP="00A03088">
      <w:pPr>
        <w:spacing w:line="240" w:lineRule="auto"/>
        <w:rPr>
          <w:sz w:val="22"/>
          <w:szCs w:val="22"/>
        </w:rPr>
      </w:pPr>
      <w:r w:rsidRPr="004927B2">
        <w:rPr>
          <w:sz w:val="22"/>
          <w:szCs w:val="22"/>
        </w:rPr>
        <w:t xml:space="preserve">Minott, Charles Ilsley., “The Theme of the </w:t>
      </w:r>
      <w:proofErr w:type="spellStart"/>
      <w:r w:rsidRPr="004927B2">
        <w:rPr>
          <w:sz w:val="22"/>
          <w:szCs w:val="22"/>
        </w:rPr>
        <w:t>Mérode</w:t>
      </w:r>
      <w:proofErr w:type="spellEnd"/>
      <w:r w:rsidRPr="004927B2">
        <w:rPr>
          <w:sz w:val="22"/>
          <w:szCs w:val="22"/>
        </w:rPr>
        <w:t xml:space="preserve"> Altarpiece.” </w:t>
      </w:r>
      <w:r w:rsidRPr="004927B2">
        <w:rPr>
          <w:i/>
          <w:iCs/>
          <w:sz w:val="22"/>
          <w:szCs w:val="22"/>
        </w:rPr>
        <w:t>The Art Bulletin</w:t>
      </w:r>
      <w:r w:rsidRPr="004927B2">
        <w:rPr>
          <w:sz w:val="22"/>
          <w:szCs w:val="22"/>
        </w:rPr>
        <w:t>, vol. 51, no. 3, 1969, pp. 267–271. </w:t>
      </w:r>
    </w:p>
    <w:p w14:paraId="009ED7DC" w14:textId="77777777" w:rsidR="004927B2" w:rsidRPr="004927B2" w:rsidRDefault="004927B2" w:rsidP="00A03088">
      <w:pPr>
        <w:spacing w:line="240" w:lineRule="auto"/>
        <w:rPr>
          <w:sz w:val="22"/>
          <w:szCs w:val="22"/>
        </w:rPr>
      </w:pPr>
      <w:r w:rsidRPr="004927B2">
        <w:rPr>
          <w:sz w:val="22"/>
          <w:szCs w:val="22"/>
        </w:rPr>
        <w:t xml:space="preserve">Rousseau, Theodore., “The </w:t>
      </w:r>
      <w:proofErr w:type="spellStart"/>
      <w:r w:rsidRPr="004927B2">
        <w:rPr>
          <w:sz w:val="22"/>
          <w:szCs w:val="22"/>
        </w:rPr>
        <w:t>Merode</w:t>
      </w:r>
      <w:proofErr w:type="spellEnd"/>
      <w:r w:rsidRPr="004927B2">
        <w:rPr>
          <w:sz w:val="22"/>
          <w:szCs w:val="22"/>
        </w:rPr>
        <w:t xml:space="preserve"> Altarpiece.” </w:t>
      </w:r>
      <w:r w:rsidRPr="004927B2">
        <w:rPr>
          <w:i/>
          <w:iCs/>
          <w:sz w:val="22"/>
          <w:szCs w:val="22"/>
        </w:rPr>
        <w:t>The Metropolitan Museum of Art Bulletin</w:t>
      </w:r>
      <w:r w:rsidRPr="004927B2">
        <w:rPr>
          <w:sz w:val="22"/>
          <w:szCs w:val="22"/>
        </w:rPr>
        <w:t>, vol. 16, no. 4, 1957, pp. 117–129.</w:t>
      </w:r>
    </w:p>
    <w:p w14:paraId="68CBCEB7" w14:textId="77777777" w:rsidR="004927B2" w:rsidRPr="004927B2" w:rsidRDefault="004927B2" w:rsidP="00A03088">
      <w:pPr>
        <w:spacing w:line="240" w:lineRule="auto"/>
        <w:rPr>
          <w:sz w:val="22"/>
          <w:szCs w:val="22"/>
        </w:rPr>
      </w:pPr>
      <w:r w:rsidRPr="004927B2">
        <w:rPr>
          <w:sz w:val="22"/>
          <w:szCs w:val="22"/>
        </w:rPr>
        <w:t xml:space="preserve">Schapiro, Meyer., “A Note on the </w:t>
      </w:r>
      <w:proofErr w:type="spellStart"/>
      <w:r w:rsidRPr="004927B2">
        <w:rPr>
          <w:sz w:val="22"/>
          <w:szCs w:val="22"/>
        </w:rPr>
        <w:t>Mérode</w:t>
      </w:r>
      <w:proofErr w:type="spellEnd"/>
      <w:r w:rsidRPr="004927B2">
        <w:rPr>
          <w:sz w:val="22"/>
          <w:szCs w:val="22"/>
        </w:rPr>
        <w:t xml:space="preserve"> Altarpiece.” </w:t>
      </w:r>
      <w:r w:rsidRPr="004927B2">
        <w:rPr>
          <w:i/>
          <w:iCs/>
          <w:sz w:val="22"/>
          <w:szCs w:val="22"/>
        </w:rPr>
        <w:t>The Art Bulletin</w:t>
      </w:r>
      <w:r w:rsidRPr="004927B2">
        <w:rPr>
          <w:sz w:val="22"/>
          <w:szCs w:val="22"/>
        </w:rPr>
        <w:t>, vol. 41, no. 4, 1959, pp. 327–328.</w:t>
      </w:r>
    </w:p>
    <w:p w14:paraId="6DC6315E" w14:textId="77777777" w:rsidR="004927B2" w:rsidRPr="004927B2" w:rsidRDefault="004927B2" w:rsidP="00A03088">
      <w:pPr>
        <w:spacing w:line="240" w:lineRule="auto"/>
        <w:rPr>
          <w:sz w:val="22"/>
          <w:szCs w:val="22"/>
        </w:rPr>
      </w:pPr>
      <w:r w:rsidRPr="004927B2">
        <w:rPr>
          <w:sz w:val="22"/>
          <w:szCs w:val="22"/>
        </w:rPr>
        <w:t xml:space="preserve">Stein, Wendy A., </w:t>
      </w:r>
      <w:r w:rsidRPr="004927B2">
        <w:rPr>
          <w:i/>
          <w:sz w:val="22"/>
          <w:szCs w:val="22"/>
        </w:rPr>
        <w:t xml:space="preserve">How </w:t>
      </w:r>
      <w:proofErr w:type="gramStart"/>
      <w:r w:rsidRPr="004927B2">
        <w:rPr>
          <w:i/>
          <w:sz w:val="22"/>
          <w:szCs w:val="22"/>
        </w:rPr>
        <w:t>To</w:t>
      </w:r>
      <w:proofErr w:type="gramEnd"/>
      <w:r w:rsidRPr="004927B2">
        <w:rPr>
          <w:i/>
          <w:sz w:val="22"/>
          <w:szCs w:val="22"/>
        </w:rPr>
        <w:t xml:space="preserve"> Read Medieval Art</w:t>
      </w:r>
      <w:r w:rsidRPr="004927B2">
        <w:rPr>
          <w:sz w:val="22"/>
          <w:szCs w:val="22"/>
        </w:rPr>
        <w:t xml:space="preserve"> (The Metropolitan Museum of Art: New York, 2016). </w:t>
      </w:r>
    </w:p>
    <w:p w14:paraId="6760C9A6" w14:textId="77777777" w:rsidR="004927B2" w:rsidRPr="004927B2" w:rsidRDefault="004927B2" w:rsidP="00A03088">
      <w:pPr>
        <w:spacing w:line="240" w:lineRule="auto"/>
        <w:rPr>
          <w:sz w:val="22"/>
          <w:szCs w:val="22"/>
        </w:rPr>
      </w:pPr>
      <w:r w:rsidRPr="004927B2">
        <w:rPr>
          <w:sz w:val="22"/>
          <w:szCs w:val="22"/>
        </w:rPr>
        <w:t xml:space="preserve">Zupnick, Irving L. “The Mystery of the </w:t>
      </w:r>
      <w:proofErr w:type="spellStart"/>
      <w:r w:rsidRPr="004927B2">
        <w:rPr>
          <w:sz w:val="22"/>
          <w:szCs w:val="22"/>
        </w:rPr>
        <w:t>Mérode</w:t>
      </w:r>
      <w:proofErr w:type="spellEnd"/>
      <w:r w:rsidRPr="004927B2">
        <w:rPr>
          <w:sz w:val="22"/>
          <w:szCs w:val="22"/>
        </w:rPr>
        <w:t xml:space="preserve"> Mousetrap.” </w:t>
      </w:r>
      <w:r w:rsidRPr="004927B2">
        <w:rPr>
          <w:i/>
          <w:iCs/>
          <w:sz w:val="22"/>
          <w:szCs w:val="22"/>
        </w:rPr>
        <w:t>The Burlington Magazine</w:t>
      </w:r>
      <w:r w:rsidRPr="004927B2">
        <w:rPr>
          <w:sz w:val="22"/>
          <w:szCs w:val="22"/>
        </w:rPr>
        <w:t>, vol. 108, no. 756, 1966, pp. 126–133.</w:t>
      </w:r>
    </w:p>
    <w:sectPr w:rsidR="004927B2" w:rsidRPr="004927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4C25E" w14:textId="77777777" w:rsidR="004927B2" w:rsidRDefault="004927B2" w:rsidP="004927B2">
      <w:pPr>
        <w:spacing w:after="0" w:line="240" w:lineRule="auto"/>
      </w:pPr>
      <w:r>
        <w:separator/>
      </w:r>
    </w:p>
  </w:endnote>
  <w:endnote w:type="continuationSeparator" w:id="0">
    <w:p w14:paraId="171F32F6" w14:textId="77777777" w:rsidR="004927B2" w:rsidRDefault="004927B2" w:rsidP="004927B2">
      <w:pPr>
        <w:spacing w:after="0" w:line="240" w:lineRule="auto"/>
      </w:pPr>
      <w:r>
        <w:continuationSeparator/>
      </w:r>
    </w:p>
  </w:endnote>
  <w:endnote w:type="continuationNotice" w:id="1">
    <w:p w14:paraId="6EEFDEFB" w14:textId="77777777" w:rsidR="007B0B30" w:rsidRDefault="007B0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51EDC" w14:textId="77777777" w:rsidR="004927B2" w:rsidRDefault="004927B2" w:rsidP="004927B2">
      <w:pPr>
        <w:spacing w:after="0" w:line="240" w:lineRule="auto"/>
      </w:pPr>
      <w:r>
        <w:separator/>
      </w:r>
    </w:p>
  </w:footnote>
  <w:footnote w:type="continuationSeparator" w:id="0">
    <w:p w14:paraId="6DBD52D9" w14:textId="77777777" w:rsidR="004927B2" w:rsidRDefault="004927B2" w:rsidP="004927B2">
      <w:pPr>
        <w:spacing w:after="0" w:line="240" w:lineRule="auto"/>
      </w:pPr>
      <w:r>
        <w:continuationSeparator/>
      </w:r>
    </w:p>
  </w:footnote>
  <w:footnote w:type="continuationNotice" w:id="1">
    <w:p w14:paraId="088264CB" w14:textId="77777777" w:rsidR="007B0B30" w:rsidRDefault="007B0B30">
      <w:pPr>
        <w:spacing w:after="0" w:line="240" w:lineRule="auto"/>
      </w:pPr>
    </w:p>
  </w:footnote>
  <w:footnote w:id="2">
    <w:p w14:paraId="1A3045DF" w14:textId="3C3BF559" w:rsidR="0092204A" w:rsidRDefault="00831765">
      <w:pPr>
        <w:pStyle w:val="FootnoteText"/>
      </w:pPr>
      <w:r>
        <w:rPr>
          <w:rStyle w:val="FootnoteReference"/>
        </w:rPr>
        <w:footnoteRef/>
      </w:r>
      <w:r>
        <w:t xml:space="preserve"> </w:t>
      </w:r>
      <w:r w:rsidR="00973C23" w:rsidRPr="00973C23">
        <w:t>‘Annunciation Triptych (</w:t>
      </w:r>
      <w:proofErr w:type="spellStart"/>
      <w:r w:rsidR="00973C23" w:rsidRPr="00973C23">
        <w:t>Merode</w:t>
      </w:r>
      <w:proofErr w:type="spellEnd"/>
      <w:r w:rsidR="00973C23" w:rsidRPr="00973C23">
        <w:t xml:space="preserve"> Altarpiece)’, </w:t>
      </w:r>
      <w:r w:rsidR="00973C23" w:rsidRPr="00973C23">
        <w:rPr>
          <w:i/>
          <w:iCs/>
        </w:rPr>
        <w:t>The Met</w:t>
      </w:r>
      <w:r w:rsidR="00973C23" w:rsidRPr="00973C23">
        <w:t>, (undated), &lt;https://www.metmuseum.org/art/collection/search/470304&gt;</w:t>
      </w:r>
      <w:r w:rsidR="00973C23">
        <w:t>,</w:t>
      </w:r>
      <w:r>
        <w:t xml:space="preserve"> </w:t>
      </w:r>
      <w:r w:rsidR="00BA1680">
        <w:t>para. 1</w:t>
      </w:r>
    </w:p>
  </w:footnote>
  <w:footnote w:id="3">
    <w:p w14:paraId="0724D1BB" w14:textId="270F928E" w:rsidR="004927B2" w:rsidRDefault="004927B2" w:rsidP="004927B2">
      <w:pPr>
        <w:pStyle w:val="FootnoteText"/>
      </w:pPr>
      <w:r>
        <w:rPr>
          <w:rStyle w:val="FootnoteReference"/>
        </w:rPr>
        <w:footnoteRef/>
      </w:r>
      <w:r>
        <w:t xml:space="preserve"> W. A. Stein, </w:t>
      </w:r>
      <w:r>
        <w:rPr>
          <w:i/>
        </w:rPr>
        <w:t xml:space="preserve">How </w:t>
      </w:r>
      <w:proofErr w:type="gramStart"/>
      <w:r>
        <w:rPr>
          <w:i/>
        </w:rPr>
        <w:t>To</w:t>
      </w:r>
      <w:proofErr w:type="gramEnd"/>
      <w:r>
        <w:rPr>
          <w:i/>
        </w:rPr>
        <w:t xml:space="preserve"> Read Medieval Art</w:t>
      </w:r>
      <w:r>
        <w:t xml:space="preserve"> (2016), p. 106</w:t>
      </w:r>
      <w:r w:rsidR="004F49AC">
        <w:t xml:space="preserve">; </w:t>
      </w:r>
      <w:r w:rsidR="00973C23" w:rsidRPr="00973C23">
        <w:t>‘Annunciation Triptych (</w:t>
      </w:r>
      <w:proofErr w:type="spellStart"/>
      <w:r w:rsidR="00973C23" w:rsidRPr="00973C23">
        <w:t>Merode</w:t>
      </w:r>
      <w:proofErr w:type="spellEnd"/>
      <w:r w:rsidR="00973C23" w:rsidRPr="00973C23">
        <w:t xml:space="preserve"> Altarpiece)’, </w:t>
      </w:r>
      <w:r w:rsidR="00FC5388">
        <w:t xml:space="preserve">(undated), </w:t>
      </w:r>
      <w:r w:rsidR="004F49AC">
        <w:t>para. 2</w:t>
      </w:r>
      <w:r w:rsidR="00F92553">
        <w:t xml:space="preserve">; </w:t>
      </w:r>
      <w:r w:rsidR="0031511B" w:rsidRPr="0031511B">
        <w:t xml:space="preserve">‘Robert Campin’, </w:t>
      </w:r>
      <w:r w:rsidR="0031511B" w:rsidRPr="0031511B">
        <w:rPr>
          <w:i/>
          <w:iCs/>
        </w:rPr>
        <w:t>The National Gallery</w:t>
      </w:r>
      <w:r w:rsidR="0031511B" w:rsidRPr="0031511B">
        <w:t>, (undated), &lt;https://www.nationalgallery.org.uk/artists/robert-campin&gt;</w:t>
      </w:r>
      <w:r w:rsidR="00F92553">
        <w:t>, para 1</w:t>
      </w:r>
    </w:p>
  </w:footnote>
  <w:footnote w:id="4">
    <w:p w14:paraId="7B651947" w14:textId="5B8C5BA6" w:rsidR="001F6ADE" w:rsidRDefault="00E26992">
      <w:pPr>
        <w:pStyle w:val="FootnoteText"/>
      </w:pPr>
      <w:r w:rsidRPr="00827800">
        <w:rPr>
          <w:rStyle w:val="FootnoteReference"/>
        </w:rPr>
        <w:footnoteRef/>
      </w:r>
      <w:r w:rsidRPr="00827800">
        <w:t xml:space="preserve"> </w:t>
      </w:r>
      <w:r w:rsidR="001F6ADE" w:rsidRPr="00827800">
        <w:t xml:space="preserve">Robert Campin, </w:t>
      </w:r>
      <w:r w:rsidR="001F6ADE" w:rsidRPr="00827800">
        <w:rPr>
          <w:i/>
          <w:iCs/>
        </w:rPr>
        <w:t xml:space="preserve">The </w:t>
      </w:r>
      <w:proofErr w:type="spellStart"/>
      <w:r w:rsidR="001F6ADE" w:rsidRPr="00827800">
        <w:rPr>
          <w:i/>
          <w:iCs/>
        </w:rPr>
        <w:t>Mérode</w:t>
      </w:r>
      <w:proofErr w:type="spellEnd"/>
      <w:r w:rsidR="001F6ADE" w:rsidRPr="00827800">
        <w:rPr>
          <w:i/>
          <w:iCs/>
        </w:rPr>
        <w:t xml:space="preserve"> Altarpiece</w:t>
      </w:r>
      <w:r w:rsidR="001F6ADE" w:rsidRPr="00827800">
        <w:t xml:space="preserve">, </w:t>
      </w:r>
      <w:r w:rsidR="00827800" w:rsidRPr="00827800">
        <w:t>(</w:t>
      </w:r>
      <w:r w:rsidR="001F6ADE" w:rsidRPr="00827800">
        <w:t>c. 1427–32</w:t>
      </w:r>
      <w:r w:rsidR="00827800" w:rsidRPr="00827800">
        <w:t>)</w:t>
      </w:r>
      <w:r w:rsidR="001F6ADE" w:rsidRPr="00827800">
        <w:t>, oil on oak panel, 64.5 x 117.8 cm, 56.70a–c, The Cloisters Collection 1956, The Met Cloisters, New York</w:t>
      </w:r>
    </w:p>
  </w:footnote>
  <w:footnote w:id="5">
    <w:p w14:paraId="1B159024" w14:textId="637B8185" w:rsidR="00C44DB3" w:rsidRDefault="00C44DB3">
      <w:pPr>
        <w:pStyle w:val="FootnoteText"/>
      </w:pPr>
      <w:r>
        <w:rPr>
          <w:rStyle w:val="FootnoteReference"/>
        </w:rPr>
        <w:footnoteRef/>
      </w:r>
      <w:r>
        <w:t xml:space="preserve"> </w:t>
      </w:r>
      <w:r w:rsidR="00FC5388" w:rsidRPr="00973C23">
        <w:t>‘Annunciation Triptych (</w:t>
      </w:r>
      <w:proofErr w:type="spellStart"/>
      <w:r w:rsidR="00FC5388" w:rsidRPr="00973C23">
        <w:t>Merode</w:t>
      </w:r>
      <w:proofErr w:type="spellEnd"/>
      <w:r w:rsidR="00FC5388" w:rsidRPr="00973C23">
        <w:t xml:space="preserve"> Altarpiece)’, </w:t>
      </w:r>
      <w:r w:rsidR="00FC5388">
        <w:t>(undated), para.</w:t>
      </w:r>
      <w:r w:rsidR="00407147">
        <w:t xml:space="preserve"> 4</w:t>
      </w:r>
    </w:p>
  </w:footnote>
  <w:footnote w:id="6">
    <w:p w14:paraId="2A8EA00B" w14:textId="18B9AFF2" w:rsidR="004927B2" w:rsidRDefault="004927B2" w:rsidP="004927B2">
      <w:pPr>
        <w:pStyle w:val="FootnoteText"/>
      </w:pPr>
      <w:r>
        <w:rPr>
          <w:rStyle w:val="FootnoteReference"/>
        </w:rPr>
        <w:footnoteRef/>
      </w:r>
      <w:r>
        <w:t xml:space="preserve"> Stein, (2016), p. 109</w:t>
      </w:r>
    </w:p>
  </w:footnote>
  <w:footnote w:id="7">
    <w:p w14:paraId="3C9E86CF" w14:textId="77777777" w:rsidR="004927B2" w:rsidRDefault="004927B2" w:rsidP="004927B2">
      <w:pPr>
        <w:pStyle w:val="FootnoteText"/>
      </w:pPr>
      <w:r>
        <w:rPr>
          <w:rStyle w:val="FootnoteReference"/>
        </w:rPr>
        <w:footnoteRef/>
      </w:r>
      <w:r>
        <w:t xml:space="preserve"> M. B. Freeman, </w:t>
      </w:r>
      <w:r>
        <w:rPr>
          <w:i/>
        </w:rPr>
        <w:t xml:space="preserve">The Iconography of the </w:t>
      </w:r>
      <w:proofErr w:type="spellStart"/>
      <w:r>
        <w:rPr>
          <w:i/>
        </w:rPr>
        <w:t>Merode</w:t>
      </w:r>
      <w:proofErr w:type="spellEnd"/>
      <w:r>
        <w:rPr>
          <w:i/>
        </w:rPr>
        <w:t xml:space="preserve"> Altarpiece</w:t>
      </w:r>
      <w:r>
        <w:t xml:space="preserve"> (1976), p. 130</w:t>
      </w:r>
    </w:p>
  </w:footnote>
  <w:footnote w:id="8">
    <w:p w14:paraId="28A6919C" w14:textId="7AC61BC7" w:rsidR="004927B2" w:rsidRDefault="004927B2" w:rsidP="004927B2">
      <w:pPr>
        <w:pStyle w:val="FootnoteText"/>
      </w:pPr>
      <w:r>
        <w:rPr>
          <w:rStyle w:val="FootnoteReference"/>
        </w:rPr>
        <w:footnoteRef/>
      </w:r>
      <w:r>
        <w:t xml:space="preserve"> M. Schapiro, </w:t>
      </w:r>
      <w:r>
        <w:rPr>
          <w:i/>
        </w:rPr>
        <w:t xml:space="preserve">A Note of the </w:t>
      </w:r>
      <w:proofErr w:type="spellStart"/>
      <w:r>
        <w:rPr>
          <w:i/>
        </w:rPr>
        <w:t>Mérode</w:t>
      </w:r>
      <w:proofErr w:type="spellEnd"/>
      <w:r>
        <w:rPr>
          <w:i/>
        </w:rPr>
        <w:t xml:space="preserve"> </w:t>
      </w:r>
      <w:r>
        <w:t>Altarpiece (1959), p. 328</w:t>
      </w:r>
      <w:r w:rsidR="00AB7F71">
        <w:t>; Stein, (2016), p. 109</w:t>
      </w:r>
    </w:p>
  </w:footnote>
  <w:footnote w:id="9">
    <w:p w14:paraId="69F6E70E" w14:textId="29FDF545" w:rsidR="004927B2" w:rsidRDefault="004927B2" w:rsidP="004927B2">
      <w:pPr>
        <w:pStyle w:val="FootnoteText"/>
      </w:pPr>
      <w:r>
        <w:rPr>
          <w:rStyle w:val="FootnoteReference"/>
        </w:rPr>
        <w:footnoteRef/>
      </w:r>
      <w:r>
        <w:t xml:space="preserve"> Stein, (2016), p. 109</w:t>
      </w:r>
      <w:r w:rsidR="00AB7F71">
        <w:t>;</w:t>
      </w:r>
      <w:r w:rsidR="00AB7F71" w:rsidRPr="00AB7F71">
        <w:t xml:space="preserve"> </w:t>
      </w:r>
      <w:r w:rsidR="00AB7F71">
        <w:t>Freeman, (1976), p. 131</w:t>
      </w:r>
    </w:p>
  </w:footnote>
  <w:footnote w:id="10">
    <w:p w14:paraId="7D9FCB5E" w14:textId="77777777" w:rsidR="004927B2" w:rsidRDefault="004927B2" w:rsidP="004927B2">
      <w:pPr>
        <w:pStyle w:val="FootnoteText"/>
      </w:pPr>
      <w:r>
        <w:rPr>
          <w:rStyle w:val="FootnoteReference"/>
        </w:rPr>
        <w:footnoteRef/>
      </w:r>
      <w:r>
        <w:t xml:space="preserve"> J. De Coo, </w:t>
      </w:r>
      <w:r>
        <w:rPr>
          <w:rFonts w:cs="Arial"/>
          <w:i/>
          <w:shd w:val="clear" w:color="auto" w:fill="FFFFFF"/>
        </w:rPr>
        <w:t xml:space="preserve">A Medieval Look at the </w:t>
      </w:r>
      <w:proofErr w:type="spellStart"/>
      <w:r>
        <w:rPr>
          <w:rFonts w:cs="Arial"/>
          <w:i/>
          <w:shd w:val="clear" w:color="auto" w:fill="FFFFFF"/>
        </w:rPr>
        <w:t>Merode</w:t>
      </w:r>
      <w:proofErr w:type="spellEnd"/>
      <w:r>
        <w:rPr>
          <w:rFonts w:cs="Arial"/>
          <w:i/>
          <w:shd w:val="clear" w:color="auto" w:fill="FFFFFF"/>
        </w:rPr>
        <w:t xml:space="preserve"> Annunciation</w:t>
      </w:r>
      <w:r>
        <w:rPr>
          <w:rFonts w:cs="Arial"/>
          <w:shd w:val="clear" w:color="auto" w:fill="FFFFFF"/>
        </w:rPr>
        <w:t xml:space="preserve"> (1981), p. 114</w:t>
      </w:r>
    </w:p>
  </w:footnote>
  <w:footnote w:id="11">
    <w:p w14:paraId="7649D08D" w14:textId="06169A32" w:rsidR="004927B2" w:rsidRDefault="004927B2" w:rsidP="004927B2">
      <w:pPr>
        <w:pStyle w:val="FootnoteText"/>
      </w:pPr>
      <w:r>
        <w:rPr>
          <w:rStyle w:val="FootnoteReference"/>
        </w:rPr>
        <w:footnoteRef/>
      </w:r>
      <w:r>
        <w:t xml:space="preserve"> De Coo, </w:t>
      </w:r>
      <w:r>
        <w:rPr>
          <w:rFonts w:cs="Arial"/>
          <w:shd w:val="clear" w:color="auto" w:fill="FFFFFF"/>
        </w:rPr>
        <w:t>(1981), p. 115</w:t>
      </w:r>
    </w:p>
  </w:footnote>
  <w:footnote w:id="12">
    <w:p w14:paraId="08D2B7B9" w14:textId="3118686B" w:rsidR="004927B2" w:rsidRDefault="004927B2" w:rsidP="004927B2">
      <w:pPr>
        <w:pStyle w:val="FootnoteText"/>
      </w:pPr>
      <w:r>
        <w:rPr>
          <w:rStyle w:val="FootnoteReference"/>
        </w:rPr>
        <w:footnoteRef/>
      </w:r>
      <w:r>
        <w:t xml:space="preserve"> </w:t>
      </w:r>
      <w:r w:rsidR="00C34CC5" w:rsidRPr="00C34CC5">
        <w:rPr>
          <w:i/>
          <w:iCs/>
        </w:rPr>
        <w:t>Ibid.</w:t>
      </w:r>
      <w:r w:rsidR="00C34CC5">
        <w:t xml:space="preserve"> </w:t>
      </w:r>
    </w:p>
  </w:footnote>
  <w:footnote w:id="13">
    <w:p w14:paraId="16DEE97C" w14:textId="0BD254A1" w:rsidR="004927B2" w:rsidRDefault="004927B2" w:rsidP="004927B2">
      <w:pPr>
        <w:pStyle w:val="FootnoteText"/>
      </w:pPr>
      <w:r>
        <w:rPr>
          <w:rStyle w:val="FootnoteReference"/>
        </w:rPr>
        <w:footnoteRef/>
      </w:r>
      <w:r>
        <w:t xml:space="preserve"> De Coo, </w:t>
      </w:r>
      <w:r>
        <w:rPr>
          <w:rFonts w:cs="Arial"/>
          <w:shd w:val="clear" w:color="auto" w:fill="FFFFFF"/>
        </w:rPr>
        <w:t>(1981), pp. 116-117</w:t>
      </w:r>
    </w:p>
  </w:footnote>
  <w:footnote w:id="14">
    <w:p w14:paraId="00AFF325" w14:textId="63E17A11" w:rsidR="004927B2" w:rsidRDefault="004927B2" w:rsidP="004927B2">
      <w:pPr>
        <w:pStyle w:val="FootnoteText"/>
      </w:pPr>
      <w:r>
        <w:rPr>
          <w:rStyle w:val="FootnoteReference"/>
        </w:rPr>
        <w:footnoteRef/>
      </w:r>
      <w:r>
        <w:t xml:space="preserve"> </w:t>
      </w:r>
      <w:r w:rsidR="00C34CC5" w:rsidRPr="00C34CC5">
        <w:rPr>
          <w:i/>
          <w:iCs/>
        </w:rPr>
        <w:t>Ibid.</w:t>
      </w:r>
      <w:r w:rsidR="00C34CC5">
        <w:t xml:space="preserve"> </w:t>
      </w:r>
    </w:p>
  </w:footnote>
  <w:footnote w:id="15">
    <w:p w14:paraId="071CF622" w14:textId="77777777" w:rsidR="00185EB3" w:rsidRDefault="00185EB3" w:rsidP="00185EB3">
      <w:pPr>
        <w:pStyle w:val="FootnoteText"/>
      </w:pPr>
      <w:r>
        <w:rPr>
          <w:rStyle w:val="FootnoteReference"/>
        </w:rPr>
        <w:footnoteRef/>
      </w:r>
      <w:r>
        <w:t xml:space="preserve"> C. Hahn, </w:t>
      </w:r>
      <w:r>
        <w:rPr>
          <w:rFonts w:cs="Arial"/>
          <w:i/>
          <w:shd w:val="clear" w:color="auto" w:fill="FFFFFF"/>
        </w:rPr>
        <w:t xml:space="preserve">‘Joseph Will Perfect, Mary Enlighten and Jesus Save Thee': The Holy Family as Marriage Model in the </w:t>
      </w:r>
      <w:proofErr w:type="spellStart"/>
      <w:r>
        <w:rPr>
          <w:rFonts w:cs="Arial"/>
          <w:i/>
          <w:shd w:val="clear" w:color="auto" w:fill="FFFFFF"/>
        </w:rPr>
        <w:t>Mérode</w:t>
      </w:r>
      <w:proofErr w:type="spellEnd"/>
      <w:r>
        <w:rPr>
          <w:rFonts w:cs="Arial"/>
          <w:i/>
          <w:shd w:val="clear" w:color="auto" w:fill="FFFFFF"/>
        </w:rPr>
        <w:t xml:space="preserve"> Triptych</w:t>
      </w:r>
      <w:r>
        <w:rPr>
          <w:rFonts w:cs="Arial"/>
          <w:shd w:val="clear" w:color="auto" w:fill="FFFFFF"/>
        </w:rPr>
        <w:t xml:space="preserve"> (1986), p. 62</w:t>
      </w:r>
    </w:p>
  </w:footnote>
  <w:footnote w:id="16">
    <w:p w14:paraId="65ECFEE2" w14:textId="4AF80CA4" w:rsidR="004927B2" w:rsidRDefault="004927B2" w:rsidP="004927B2">
      <w:pPr>
        <w:pStyle w:val="FootnoteText"/>
      </w:pPr>
      <w:r>
        <w:rPr>
          <w:rStyle w:val="FootnoteReference"/>
        </w:rPr>
        <w:footnoteRef/>
      </w:r>
      <w:r>
        <w:t xml:space="preserve"> Schapiro, (1959), p. 328</w:t>
      </w:r>
    </w:p>
  </w:footnote>
  <w:footnote w:id="17">
    <w:p w14:paraId="061F022A" w14:textId="4BD301FE" w:rsidR="00714683" w:rsidRDefault="00714683" w:rsidP="00714683">
      <w:pPr>
        <w:pStyle w:val="FootnoteText"/>
      </w:pPr>
      <w:r>
        <w:rPr>
          <w:rStyle w:val="FootnoteReference"/>
        </w:rPr>
        <w:footnoteRef/>
      </w:r>
      <w:r>
        <w:t xml:space="preserve"> Hahn, </w:t>
      </w:r>
      <w:r>
        <w:rPr>
          <w:rFonts w:cs="Arial"/>
          <w:shd w:val="clear" w:color="auto" w:fill="FFFFFF"/>
        </w:rPr>
        <w:t>(1986), p. 63</w:t>
      </w:r>
    </w:p>
  </w:footnote>
  <w:footnote w:id="18">
    <w:p w14:paraId="6F1FE7DA" w14:textId="78A91F7B" w:rsidR="004927B2" w:rsidRDefault="004927B2" w:rsidP="004927B2">
      <w:pPr>
        <w:pStyle w:val="FootnoteText"/>
      </w:pPr>
      <w:r>
        <w:rPr>
          <w:rStyle w:val="FootnoteReference"/>
        </w:rPr>
        <w:footnoteRef/>
      </w:r>
      <w:r>
        <w:t xml:space="preserve"> Freeman, (1976), p. 134</w:t>
      </w:r>
    </w:p>
  </w:footnote>
  <w:footnote w:id="19">
    <w:p w14:paraId="360E8F35" w14:textId="77777777" w:rsidR="004927B2" w:rsidRDefault="004927B2" w:rsidP="004927B2">
      <w:pPr>
        <w:pStyle w:val="FootnoteText"/>
      </w:pPr>
      <w:r>
        <w:rPr>
          <w:rStyle w:val="FootnoteReference"/>
        </w:rPr>
        <w:footnoteRef/>
      </w:r>
      <w:r>
        <w:t xml:space="preserve"> C. I. Minott,</w:t>
      </w:r>
      <w:r>
        <w:rPr>
          <w:i/>
        </w:rPr>
        <w:t xml:space="preserve"> </w:t>
      </w:r>
      <w:r>
        <w:rPr>
          <w:rFonts w:cs="Arial"/>
          <w:i/>
          <w:shd w:val="clear" w:color="auto" w:fill="FFFFFF"/>
        </w:rPr>
        <w:t xml:space="preserve">The Theme of the </w:t>
      </w:r>
      <w:proofErr w:type="spellStart"/>
      <w:r>
        <w:rPr>
          <w:rFonts w:cs="Arial"/>
          <w:i/>
          <w:shd w:val="clear" w:color="auto" w:fill="FFFFFF"/>
        </w:rPr>
        <w:t>Mérode</w:t>
      </w:r>
      <w:proofErr w:type="spellEnd"/>
      <w:r>
        <w:rPr>
          <w:rFonts w:cs="Arial"/>
          <w:i/>
          <w:shd w:val="clear" w:color="auto" w:fill="FFFFFF"/>
        </w:rPr>
        <w:t xml:space="preserve"> Altarpiece</w:t>
      </w:r>
      <w:r>
        <w:rPr>
          <w:rFonts w:cs="Arial"/>
          <w:shd w:val="clear" w:color="auto" w:fill="FFFFFF"/>
        </w:rPr>
        <w:t xml:space="preserve"> (1969), p. 270</w:t>
      </w:r>
    </w:p>
  </w:footnote>
  <w:footnote w:id="20">
    <w:p w14:paraId="6798A537" w14:textId="32C66BDF" w:rsidR="004927B2" w:rsidRDefault="004927B2" w:rsidP="004927B2">
      <w:pPr>
        <w:pStyle w:val="FootnoteText"/>
      </w:pPr>
      <w:r>
        <w:rPr>
          <w:rStyle w:val="FootnoteReference"/>
        </w:rPr>
        <w:footnoteRef/>
      </w:r>
      <w:r w:rsidR="000624C2">
        <w:t xml:space="preserve"> </w:t>
      </w:r>
      <w:r w:rsidR="00244F87" w:rsidRPr="00244F87">
        <w:rPr>
          <w:i/>
          <w:iCs/>
        </w:rPr>
        <w:t xml:space="preserve">Ibid. </w:t>
      </w:r>
    </w:p>
  </w:footnote>
  <w:footnote w:id="21">
    <w:p w14:paraId="66071B53" w14:textId="6BAF5B55" w:rsidR="004927B2" w:rsidRDefault="004927B2" w:rsidP="004927B2">
      <w:pPr>
        <w:pStyle w:val="FootnoteText"/>
      </w:pPr>
      <w:r>
        <w:rPr>
          <w:rStyle w:val="FootnoteReference"/>
        </w:rPr>
        <w:footnoteRef/>
      </w:r>
      <w:r>
        <w:t xml:space="preserve"> </w:t>
      </w:r>
      <w:r w:rsidR="00383EB3">
        <w:t xml:space="preserve">Hahn, </w:t>
      </w:r>
      <w:r w:rsidR="00383EB3">
        <w:rPr>
          <w:rFonts w:cs="Arial"/>
          <w:shd w:val="clear" w:color="auto" w:fill="FFFFFF"/>
        </w:rPr>
        <w:t xml:space="preserve">(1986), pp. 57-58; </w:t>
      </w:r>
      <w:r>
        <w:t>Minott,</w:t>
      </w:r>
      <w:r>
        <w:rPr>
          <w:i/>
        </w:rPr>
        <w:t xml:space="preserve"> </w:t>
      </w:r>
      <w:r>
        <w:rPr>
          <w:rFonts w:cs="Arial"/>
          <w:shd w:val="clear" w:color="auto" w:fill="FFFFFF"/>
        </w:rPr>
        <w:t xml:space="preserve">(1969), pp. 267-268 </w:t>
      </w:r>
    </w:p>
  </w:footnote>
  <w:footnote w:id="22">
    <w:p w14:paraId="377BAEC0" w14:textId="2BA3ABE5" w:rsidR="004927B2" w:rsidRDefault="004927B2" w:rsidP="004927B2">
      <w:pPr>
        <w:pStyle w:val="FootnoteText"/>
      </w:pPr>
      <w:r>
        <w:rPr>
          <w:rStyle w:val="FootnoteReference"/>
        </w:rPr>
        <w:footnoteRef/>
      </w:r>
      <w:r>
        <w:t xml:space="preserve"> Hahn, </w:t>
      </w:r>
      <w:r>
        <w:rPr>
          <w:rFonts w:cs="Arial"/>
          <w:shd w:val="clear" w:color="auto" w:fill="FFFFFF"/>
        </w:rPr>
        <w:t>(1986), p. 56</w:t>
      </w:r>
    </w:p>
  </w:footnote>
  <w:footnote w:id="23">
    <w:p w14:paraId="1EEBD9CA" w14:textId="77777777" w:rsidR="004927B2" w:rsidRDefault="004927B2" w:rsidP="004927B2">
      <w:pPr>
        <w:pStyle w:val="FootnoteText"/>
      </w:pPr>
      <w:r>
        <w:rPr>
          <w:rStyle w:val="FootnoteReference"/>
        </w:rPr>
        <w:footnoteRef/>
      </w:r>
      <w:r>
        <w:t xml:space="preserve"> I. L. </w:t>
      </w:r>
      <w:r>
        <w:rPr>
          <w:rFonts w:cs="Arial"/>
          <w:shd w:val="clear" w:color="auto" w:fill="FFFFFF"/>
        </w:rPr>
        <w:t xml:space="preserve">Zupnick, </w:t>
      </w:r>
      <w:r>
        <w:rPr>
          <w:rFonts w:cs="Arial"/>
          <w:i/>
          <w:shd w:val="clear" w:color="auto" w:fill="FFFFFF"/>
        </w:rPr>
        <w:t xml:space="preserve">The Mystery of the </w:t>
      </w:r>
      <w:proofErr w:type="spellStart"/>
      <w:r>
        <w:rPr>
          <w:rFonts w:cs="Arial"/>
          <w:i/>
          <w:shd w:val="clear" w:color="auto" w:fill="FFFFFF"/>
        </w:rPr>
        <w:t>Mérode</w:t>
      </w:r>
      <w:proofErr w:type="spellEnd"/>
      <w:r>
        <w:rPr>
          <w:rFonts w:cs="Arial"/>
          <w:i/>
          <w:shd w:val="clear" w:color="auto" w:fill="FFFFFF"/>
        </w:rPr>
        <w:t xml:space="preserve"> Mousetrap</w:t>
      </w:r>
      <w:r>
        <w:rPr>
          <w:rFonts w:cs="Arial"/>
          <w:shd w:val="clear" w:color="auto" w:fill="FFFFFF"/>
        </w:rPr>
        <w:t xml:space="preserve"> (1966), p. 126</w:t>
      </w:r>
    </w:p>
  </w:footnote>
  <w:footnote w:id="24">
    <w:p w14:paraId="7DF79368" w14:textId="61100418" w:rsidR="003C2798" w:rsidRDefault="003C2798" w:rsidP="003C2798">
      <w:pPr>
        <w:pStyle w:val="FootnoteText"/>
      </w:pPr>
      <w:r>
        <w:rPr>
          <w:rStyle w:val="FootnoteReference"/>
        </w:rPr>
        <w:footnoteRef/>
      </w:r>
      <w:r w:rsidR="00B632FA">
        <w:t xml:space="preserve"> Freeman, (1976), p. 138</w:t>
      </w:r>
      <w:r w:rsidR="00B632FA">
        <w:t>;</w:t>
      </w:r>
      <w:r>
        <w:t xml:space="preserve"> Hahn, </w:t>
      </w:r>
      <w:r>
        <w:rPr>
          <w:rFonts w:cs="Arial"/>
          <w:shd w:val="clear" w:color="auto" w:fill="FFFFFF"/>
        </w:rPr>
        <w:t>(1986), p. 57</w:t>
      </w:r>
    </w:p>
  </w:footnote>
  <w:footnote w:id="25">
    <w:p w14:paraId="07CCEAE8" w14:textId="43277EDD" w:rsidR="004927B2" w:rsidRDefault="004927B2" w:rsidP="004927B2">
      <w:pPr>
        <w:pStyle w:val="FootnoteText"/>
      </w:pPr>
      <w:r>
        <w:rPr>
          <w:rStyle w:val="FootnoteReference"/>
        </w:rPr>
        <w:footnoteRef/>
      </w:r>
      <w:r>
        <w:t xml:space="preserve"> </w:t>
      </w:r>
      <w:r w:rsidR="000624C2">
        <w:t xml:space="preserve">Freeman, (1976), p. 138 </w:t>
      </w:r>
    </w:p>
  </w:footnote>
  <w:footnote w:id="26">
    <w:p w14:paraId="5B5C8CA3" w14:textId="77777777" w:rsidR="004927B2" w:rsidRDefault="004927B2" w:rsidP="004927B2">
      <w:pPr>
        <w:pStyle w:val="FootnoteText"/>
      </w:pPr>
      <w:r>
        <w:rPr>
          <w:rStyle w:val="FootnoteReference"/>
        </w:rPr>
        <w:footnoteRef/>
      </w:r>
      <w:r>
        <w:t xml:space="preserve"> J. </w:t>
      </w:r>
      <w:r>
        <w:rPr>
          <w:rFonts w:cs="Arial"/>
          <w:shd w:val="clear" w:color="auto" w:fill="FFFFFF"/>
        </w:rPr>
        <w:t xml:space="preserve">Duchesne-Guillemin, </w:t>
      </w:r>
      <w:r>
        <w:rPr>
          <w:rFonts w:cs="Arial"/>
          <w:i/>
          <w:shd w:val="clear" w:color="auto" w:fill="FFFFFF"/>
        </w:rPr>
        <w:t xml:space="preserve">On the Cityscape of the </w:t>
      </w:r>
      <w:proofErr w:type="spellStart"/>
      <w:r>
        <w:rPr>
          <w:rFonts w:cs="Arial"/>
          <w:i/>
          <w:shd w:val="clear" w:color="auto" w:fill="FFFFFF"/>
        </w:rPr>
        <w:t>Mérode</w:t>
      </w:r>
      <w:proofErr w:type="spellEnd"/>
      <w:r>
        <w:rPr>
          <w:rFonts w:cs="Arial"/>
          <w:i/>
          <w:shd w:val="clear" w:color="auto" w:fill="FFFFFF"/>
        </w:rPr>
        <w:t xml:space="preserve"> Altarpiece</w:t>
      </w:r>
      <w:r>
        <w:rPr>
          <w:i/>
        </w:rPr>
        <w:t xml:space="preserve"> </w:t>
      </w:r>
      <w:r>
        <w:t>(1976), p. 129</w:t>
      </w:r>
    </w:p>
  </w:footnote>
  <w:footnote w:id="27">
    <w:p w14:paraId="088C3890" w14:textId="431C99F3" w:rsidR="004927B2" w:rsidRDefault="004927B2" w:rsidP="004927B2">
      <w:pPr>
        <w:pStyle w:val="FootnoteText"/>
      </w:pPr>
      <w:r>
        <w:rPr>
          <w:rStyle w:val="FootnoteReference"/>
        </w:rPr>
        <w:footnoteRef/>
      </w:r>
      <w:r>
        <w:t xml:space="preserve"> </w:t>
      </w:r>
      <w:r>
        <w:rPr>
          <w:rFonts w:cs="Arial"/>
          <w:shd w:val="clear" w:color="auto" w:fill="FFFFFF"/>
        </w:rPr>
        <w:t xml:space="preserve">Duchesne-Guillemin, </w:t>
      </w:r>
      <w:r>
        <w:t>(1976), pp. 130-131</w:t>
      </w:r>
    </w:p>
  </w:footnote>
  <w:footnote w:id="28">
    <w:p w14:paraId="06629CA5" w14:textId="6919563C" w:rsidR="004927B2" w:rsidRDefault="004927B2" w:rsidP="004927B2">
      <w:pPr>
        <w:pStyle w:val="FootnoteText"/>
      </w:pPr>
      <w:r>
        <w:rPr>
          <w:rStyle w:val="FootnoteReference"/>
        </w:rPr>
        <w:footnoteRef/>
      </w:r>
      <w:r>
        <w:t xml:space="preserve"> Minott,</w:t>
      </w:r>
      <w:r>
        <w:rPr>
          <w:i/>
        </w:rPr>
        <w:t xml:space="preserve"> </w:t>
      </w:r>
      <w:r>
        <w:rPr>
          <w:rFonts w:cs="Arial"/>
          <w:shd w:val="clear" w:color="auto" w:fill="FFFFFF"/>
        </w:rPr>
        <w:t>(1969), p. 271</w:t>
      </w:r>
    </w:p>
  </w:footnote>
  <w:footnote w:id="29">
    <w:p w14:paraId="10201F7D" w14:textId="5C2E3377" w:rsidR="004927B2" w:rsidRDefault="004927B2" w:rsidP="004927B2">
      <w:pPr>
        <w:pStyle w:val="FootnoteText"/>
      </w:pPr>
      <w:r>
        <w:rPr>
          <w:rStyle w:val="FootnoteReference"/>
        </w:rPr>
        <w:footnoteRef/>
      </w:r>
      <w:r>
        <w:t xml:space="preserve"> </w:t>
      </w:r>
      <w:r w:rsidR="00973BFB" w:rsidRPr="00C22114">
        <w:rPr>
          <w:i/>
          <w:iCs/>
        </w:rPr>
        <w:t>Ibid.</w:t>
      </w:r>
      <w:r w:rsidR="00973BFB">
        <w:t xml:space="preserve"> </w:t>
      </w:r>
    </w:p>
  </w:footnote>
  <w:footnote w:id="30">
    <w:p w14:paraId="3B64C511" w14:textId="77777777" w:rsidR="004927B2" w:rsidRDefault="004927B2" w:rsidP="004927B2">
      <w:pPr>
        <w:pStyle w:val="FootnoteText"/>
      </w:pPr>
      <w:r>
        <w:rPr>
          <w:rStyle w:val="FootnoteReference"/>
        </w:rPr>
        <w:footnoteRef/>
      </w:r>
      <w:r>
        <w:t xml:space="preserve"> T. </w:t>
      </w:r>
      <w:r>
        <w:rPr>
          <w:rFonts w:cs="Arial"/>
          <w:shd w:val="clear" w:color="auto" w:fill="FFFFFF"/>
        </w:rPr>
        <w:t xml:space="preserve">Rousseau, </w:t>
      </w:r>
      <w:r>
        <w:rPr>
          <w:rFonts w:cs="Arial"/>
          <w:i/>
          <w:shd w:val="clear" w:color="auto" w:fill="FFFFFF"/>
        </w:rPr>
        <w:t xml:space="preserve">The </w:t>
      </w:r>
      <w:proofErr w:type="spellStart"/>
      <w:r>
        <w:rPr>
          <w:rFonts w:cs="Arial"/>
          <w:i/>
          <w:shd w:val="clear" w:color="auto" w:fill="FFFFFF"/>
        </w:rPr>
        <w:t>Merode</w:t>
      </w:r>
      <w:proofErr w:type="spellEnd"/>
      <w:r>
        <w:rPr>
          <w:rFonts w:cs="Arial"/>
          <w:i/>
          <w:shd w:val="clear" w:color="auto" w:fill="FFFFFF"/>
        </w:rPr>
        <w:t xml:space="preserve"> Altarpiece</w:t>
      </w:r>
      <w:r>
        <w:rPr>
          <w:rFonts w:cs="Arial"/>
          <w:shd w:val="clear" w:color="auto" w:fill="FFFFFF"/>
        </w:rPr>
        <w:t xml:space="preserve"> (1957) p. 126</w:t>
      </w:r>
    </w:p>
  </w:footnote>
  <w:footnote w:id="31">
    <w:p w14:paraId="23E90208" w14:textId="40C7574C" w:rsidR="004927B2" w:rsidRDefault="004927B2" w:rsidP="004927B2">
      <w:pPr>
        <w:pStyle w:val="FootnoteText"/>
      </w:pPr>
      <w:r>
        <w:rPr>
          <w:rStyle w:val="FootnoteReference"/>
        </w:rPr>
        <w:footnoteRef/>
      </w:r>
      <w:r>
        <w:t xml:space="preserve"> Freeman, (1976), p. 136</w:t>
      </w:r>
    </w:p>
  </w:footnote>
  <w:footnote w:id="32">
    <w:p w14:paraId="3CFFB31D" w14:textId="1D892F44" w:rsidR="004927B2" w:rsidRDefault="004927B2" w:rsidP="004927B2">
      <w:pPr>
        <w:pStyle w:val="FootnoteText"/>
      </w:pPr>
      <w:r>
        <w:rPr>
          <w:rStyle w:val="FootnoteReference"/>
        </w:rPr>
        <w:footnoteRef/>
      </w:r>
      <w:r>
        <w:t xml:space="preserve"> Freeman, (1976), p. 135</w:t>
      </w:r>
    </w:p>
  </w:footnote>
  <w:footnote w:id="33">
    <w:p w14:paraId="388740F1" w14:textId="6166BC14" w:rsidR="004927B2" w:rsidRDefault="004927B2" w:rsidP="004927B2">
      <w:pPr>
        <w:pStyle w:val="FootnoteText"/>
      </w:pPr>
      <w:r>
        <w:rPr>
          <w:rStyle w:val="FootnoteReference"/>
        </w:rPr>
        <w:footnoteRef/>
      </w:r>
      <w:r>
        <w:t xml:space="preserve"> </w:t>
      </w:r>
      <w:r w:rsidR="00C22114" w:rsidRPr="00240093">
        <w:rPr>
          <w:i/>
          <w:iCs/>
        </w:rPr>
        <w:t>Ibid.</w:t>
      </w:r>
      <w:r w:rsidR="00C2211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F1702"/>
    <w:multiLevelType w:val="multilevel"/>
    <w:tmpl w:val="ABE6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75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7B2"/>
    <w:rsid w:val="00007D58"/>
    <w:rsid w:val="00007FE4"/>
    <w:rsid w:val="000275DF"/>
    <w:rsid w:val="00030A44"/>
    <w:rsid w:val="00055B09"/>
    <w:rsid w:val="000624C2"/>
    <w:rsid w:val="00062904"/>
    <w:rsid w:val="00074522"/>
    <w:rsid w:val="000D5F80"/>
    <w:rsid w:val="000E550F"/>
    <w:rsid w:val="000E7F3C"/>
    <w:rsid w:val="000F0DF0"/>
    <w:rsid w:val="000F4F20"/>
    <w:rsid w:val="000F75CE"/>
    <w:rsid w:val="00127A6E"/>
    <w:rsid w:val="00131DC6"/>
    <w:rsid w:val="001408F8"/>
    <w:rsid w:val="001472B8"/>
    <w:rsid w:val="00161C10"/>
    <w:rsid w:val="00183A9F"/>
    <w:rsid w:val="00185EB3"/>
    <w:rsid w:val="00196F76"/>
    <w:rsid w:val="001C50B2"/>
    <w:rsid w:val="001E5977"/>
    <w:rsid w:val="001F20DA"/>
    <w:rsid w:val="001F5756"/>
    <w:rsid w:val="001F6ADE"/>
    <w:rsid w:val="00221835"/>
    <w:rsid w:val="0022458A"/>
    <w:rsid w:val="00230185"/>
    <w:rsid w:val="00240093"/>
    <w:rsid w:val="00243457"/>
    <w:rsid w:val="00244F87"/>
    <w:rsid w:val="00250D29"/>
    <w:rsid w:val="002710DF"/>
    <w:rsid w:val="002715F4"/>
    <w:rsid w:val="00286342"/>
    <w:rsid w:val="002A793A"/>
    <w:rsid w:val="002C5979"/>
    <w:rsid w:val="0031511B"/>
    <w:rsid w:val="00322174"/>
    <w:rsid w:val="00325C31"/>
    <w:rsid w:val="00343F38"/>
    <w:rsid w:val="00354AE0"/>
    <w:rsid w:val="00364635"/>
    <w:rsid w:val="00383EB3"/>
    <w:rsid w:val="00387F12"/>
    <w:rsid w:val="003965B0"/>
    <w:rsid w:val="003A1DD9"/>
    <w:rsid w:val="003C2798"/>
    <w:rsid w:val="003E5CC5"/>
    <w:rsid w:val="003F116A"/>
    <w:rsid w:val="00404EB2"/>
    <w:rsid w:val="00407147"/>
    <w:rsid w:val="00424C61"/>
    <w:rsid w:val="00441667"/>
    <w:rsid w:val="004520A7"/>
    <w:rsid w:val="004704D4"/>
    <w:rsid w:val="00471DA5"/>
    <w:rsid w:val="00487763"/>
    <w:rsid w:val="004927B2"/>
    <w:rsid w:val="004973B1"/>
    <w:rsid w:val="004A316D"/>
    <w:rsid w:val="004B763B"/>
    <w:rsid w:val="004D0EAE"/>
    <w:rsid w:val="004D3DCD"/>
    <w:rsid w:val="004F0CEA"/>
    <w:rsid w:val="004F49AC"/>
    <w:rsid w:val="004F7071"/>
    <w:rsid w:val="00500181"/>
    <w:rsid w:val="0050492F"/>
    <w:rsid w:val="005237BF"/>
    <w:rsid w:val="00533081"/>
    <w:rsid w:val="0055150E"/>
    <w:rsid w:val="005735F0"/>
    <w:rsid w:val="00573BD2"/>
    <w:rsid w:val="005A5D51"/>
    <w:rsid w:val="005B0359"/>
    <w:rsid w:val="005E7B7A"/>
    <w:rsid w:val="00642276"/>
    <w:rsid w:val="00681120"/>
    <w:rsid w:val="006A4B73"/>
    <w:rsid w:val="006B4EE4"/>
    <w:rsid w:val="006C41F8"/>
    <w:rsid w:val="006C5638"/>
    <w:rsid w:val="006D471A"/>
    <w:rsid w:val="006E3B46"/>
    <w:rsid w:val="006E3D06"/>
    <w:rsid w:val="006E5661"/>
    <w:rsid w:val="007011C8"/>
    <w:rsid w:val="00705E11"/>
    <w:rsid w:val="0071247C"/>
    <w:rsid w:val="00712B00"/>
    <w:rsid w:val="00712B50"/>
    <w:rsid w:val="00714683"/>
    <w:rsid w:val="007153D2"/>
    <w:rsid w:val="00730582"/>
    <w:rsid w:val="00744F07"/>
    <w:rsid w:val="00745A78"/>
    <w:rsid w:val="007638CF"/>
    <w:rsid w:val="00780F41"/>
    <w:rsid w:val="00786F69"/>
    <w:rsid w:val="007B06FF"/>
    <w:rsid w:val="007B0B30"/>
    <w:rsid w:val="007B3881"/>
    <w:rsid w:val="007B603F"/>
    <w:rsid w:val="007C6EAD"/>
    <w:rsid w:val="007D6A3D"/>
    <w:rsid w:val="008009B7"/>
    <w:rsid w:val="00807A10"/>
    <w:rsid w:val="00807B05"/>
    <w:rsid w:val="00827800"/>
    <w:rsid w:val="00831765"/>
    <w:rsid w:val="00847DDB"/>
    <w:rsid w:val="008502AF"/>
    <w:rsid w:val="00854BE7"/>
    <w:rsid w:val="00860DDE"/>
    <w:rsid w:val="00864506"/>
    <w:rsid w:val="00867F66"/>
    <w:rsid w:val="00884772"/>
    <w:rsid w:val="008916DE"/>
    <w:rsid w:val="00893C86"/>
    <w:rsid w:val="008B6076"/>
    <w:rsid w:val="008C7FA2"/>
    <w:rsid w:val="008D0BC2"/>
    <w:rsid w:val="008F0A86"/>
    <w:rsid w:val="008F38CE"/>
    <w:rsid w:val="00900077"/>
    <w:rsid w:val="00901A4A"/>
    <w:rsid w:val="0092204A"/>
    <w:rsid w:val="00930DBF"/>
    <w:rsid w:val="00945816"/>
    <w:rsid w:val="009560C2"/>
    <w:rsid w:val="009648BD"/>
    <w:rsid w:val="00973BFB"/>
    <w:rsid w:val="00973C23"/>
    <w:rsid w:val="00997C4F"/>
    <w:rsid w:val="009B7018"/>
    <w:rsid w:val="009D191F"/>
    <w:rsid w:val="009E2A53"/>
    <w:rsid w:val="009E4274"/>
    <w:rsid w:val="00A01797"/>
    <w:rsid w:val="00A03088"/>
    <w:rsid w:val="00A4218D"/>
    <w:rsid w:val="00A54FCA"/>
    <w:rsid w:val="00A7011F"/>
    <w:rsid w:val="00A71D25"/>
    <w:rsid w:val="00A93112"/>
    <w:rsid w:val="00AA227F"/>
    <w:rsid w:val="00AA3B64"/>
    <w:rsid w:val="00AB1091"/>
    <w:rsid w:val="00AB79FB"/>
    <w:rsid w:val="00AB7F71"/>
    <w:rsid w:val="00AC3CB1"/>
    <w:rsid w:val="00AD14AD"/>
    <w:rsid w:val="00AD4243"/>
    <w:rsid w:val="00AD7C19"/>
    <w:rsid w:val="00AF6E19"/>
    <w:rsid w:val="00B15300"/>
    <w:rsid w:val="00B34881"/>
    <w:rsid w:val="00B577F2"/>
    <w:rsid w:val="00B632FA"/>
    <w:rsid w:val="00B64369"/>
    <w:rsid w:val="00B846CC"/>
    <w:rsid w:val="00B857FB"/>
    <w:rsid w:val="00B938BB"/>
    <w:rsid w:val="00BA1680"/>
    <w:rsid w:val="00BA34AA"/>
    <w:rsid w:val="00BC2D58"/>
    <w:rsid w:val="00BE485F"/>
    <w:rsid w:val="00BF7172"/>
    <w:rsid w:val="00BF79E3"/>
    <w:rsid w:val="00C22114"/>
    <w:rsid w:val="00C2302A"/>
    <w:rsid w:val="00C261EA"/>
    <w:rsid w:val="00C34CC5"/>
    <w:rsid w:val="00C44DB3"/>
    <w:rsid w:val="00C45D93"/>
    <w:rsid w:val="00C50A0A"/>
    <w:rsid w:val="00C5595B"/>
    <w:rsid w:val="00C83297"/>
    <w:rsid w:val="00C86FCF"/>
    <w:rsid w:val="00C901A3"/>
    <w:rsid w:val="00CA5FA9"/>
    <w:rsid w:val="00CC33AD"/>
    <w:rsid w:val="00CC48CD"/>
    <w:rsid w:val="00CC5268"/>
    <w:rsid w:val="00CD4BA4"/>
    <w:rsid w:val="00CE3940"/>
    <w:rsid w:val="00D26328"/>
    <w:rsid w:val="00D36857"/>
    <w:rsid w:val="00D5007A"/>
    <w:rsid w:val="00D706BD"/>
    <w:rsid w:val="00D73FC5"/>
    <w:rsid w:val="00D74E34"/>
    <w:rsid w:val="00D81165"/>
    <w:rsid w:val="00D850A3"/>
    <w:rsid w:val="00DA0EE7"/>
    <w:rsid w:val="00DB2A39"/>
    <w:rsid w:val="00DC3ECF"/>
    <w:rsid w:val="00DD32AC"/>
    <w:rsid w:val="00DE494B"/>
    <w:rsid w:val="00DF3126"/>
    <w:rsid w:val="00E0149A"/>
    <w:rsid w:val="00E03E52"/>
    <w:rsid w:val="00E26992"/>
    <w:rsid w:val="00E442BE"/>
    <w:rsid w:val="00E823E2"/>
    <w:rsid w:val="00E824BE"/>
    <w:rsid w:val="00E96A08"/>
    <w:rsid w:val="00EA24AB"/>
    <w:rsid w:val="00EC0674"/>
    <w:rsid w:val="00EC4350"/>
    <w:rsid w:val="00EE0F3C"/>
    <w:rsid w:val="00F26B02"/>
    <w:rsid w:val="00F30314"/>
    <w:rsid w:val="00F30E24"/>
    <w:rsid w:val="00F434DD"/>
    <w:rsid w:val="00F519E8"/>
    <w:rsid w:val="00F52E9C"/>
    <w:rsid w:val="00F543B3"/>
    <w:rsid w:val="00F73B40"/>
    <w:rsid w:val="00F73E52"/>
    <w:rsid w:val="00F77354"/>
    <w:rsid w:val="00F911E8"/>
    <w:rsid w:val="00F92553"/>
    <w:rsid w:val="00FA150D"/>
    <w:rsid w:val="00FA3293"/>
    <w:rsid w:val="00FC5388"/>
    <w:rsid w:val="00FC6597"/>
    <w:rsid w:val="00FC6AD7"/>
    <w:rsid w:val="00FD3BEC"/>
    <w:rsid w:val="00FE05B4"/>
    <w:rsid w:val="00FE2F02"/>
    <w:rsid w:val="00FE5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16219"/>
  <w15:chartTrackingRefBased/>
  <w15:docId w15:val="{CD1AAB53-17C7-43A3-AB8D-8EB8E95A6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7B2"/>
    <w:rPr>
      <w:rFonts w:eastAsiaTheme="majorEastAsia" w:cstheme="majorBidi"/>
      <w:color w:val="272727" w:themeColor="text1" w:themeTint="D8"/>
    </w:rPr>
  </w:style>
  <w:style w:type="paragraph" w:styleId="Title">
    <w:name w:val="Title"/>
    <w:basedOn w:val="Normal"/>
    <w:next w:val="Normal"/>
    <w:link w:val="TitleChar"/>
    <w:uiPriority w:val="10"/>
    <w:qFormat/>
    <w:rsid w:val="00492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7B2"/>
    <w:pPr>
      <w:spacing w:before="160"/>
      <w:jc w:val="center"/>
    </w:pPr>
    <w:rPr>
      <w:i/>
      <w:iCs/>
      <w:color w:val="404040" w:themeColor="text1" w:themeTint="BF"/>
    </w:rPr>
  </w:style>
  <w:style w:type="character" w:customStyle="1" w:styleId="QuoteChar">
    <w:name w:val="Quote Char"/>
    <w:basedOn w:val="DefaultParagraphFont"/>
    <w:link w:val="Quote"/>
    <w:uiPriority w:val="29"/>
    <w:rsid w:val="004927B2"/>
    <w:rPr>
      <w:i/>
      <w:iCs/>
      <w:color w:val="404040" w:themeColor="text1" w:themeTint="BF"/>
    </w:rPr>
  </w:style>
  <w:style w:type="paragraph" w:styleId="ListParagraph">
    <w:name w:val="List Paragraph"/>
    <w:basedOn w:val="Normal"/>
    <w:uiPriority w:val="34"/>
    <w:qFormat/>
    <w:rsid w:val="004927B2"/>
    <w:pPr>
      <w:ind w:left="720"/>
      <w:contextualSpacing/>
    </w:pPr>
  </w:style>
  <w:style w:type="character" w:styleId="IntenseEmphasis">
    <w:name w:val="Intense Emphasis"/>
    <w:basedOn w:val="DefaultParagraphFont"/>
    <w:uiPriority w:val="21"/>
    <w:qFormat/>
    <w:rsid w:val="004927B2"/>
    <w:rPr>
      <w:i/>
      <w:iCs/>
      <w:color w:val="0F4761" w:themeColor="accent1" w:themeShade="BF"/>
    </w:rPr>
  </w:style>
  <w:style w:type="paragraph" w:styleId="IntenseQuote">
    <w:name w:val="Intense Quote"/>
    <w:basedOn w:val="Normal"/>
    <w:next w:val="Normal"/>
    <w:link w:val="IntenseQuoteChar"/>
    <w:uiPriority w:val="30"/>
    <w:qFormat/>
    <w:rsid w:val="00492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7B2"/>
    <w:rPr>
      <w:i/>
      <w:iCs/>
      <w:color w:val="0F4761" w:themeColor="accent1" w:themeShade="BF"/>
    </w:rPr>
  </w:style>
  <w:style w:type="character" w:styleId="IntenseReference">
    <w:name w:val="Intense Reference"/>
    <w:basedOn w:val="DefaultParagraphFont"/>
    <w:uiPriority w:val="32"/>
    <w:qFormat/>
    <w:rsid w:val="004927B2"/>
    <w:rPr>
      <w:b/>
      <w:bCs/>
      <w:smallCaps/>
      <w:color w:val="0F4761" w:themeColor="accent1" w:themeShade="BF"/>
      <w:spacing w:val="5"/>
    </w:rPr>
  </w:style>
  <w:style w:type="paragraph" w:styleId="FootnoteText">
    <w:name w:val="footnote text"/>
    <w:basedOn w:val="Normal"/>
    <w:link w:val="FootnoteTextChar"/>
    <w:uiPriority w:val="99"/>
    <w:semiHidden/>
    <w:unhideWhenUsed/>
    <w:rsid w:val="004927B2"/>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4927B2"/>
    <w:rPr>
      <w:kern w:val="0"/>
      <w:sz w:val="20"/>
      <w:szCs w:val="20"/>
      <w14:ligatures w14:val="none"/>
    </w:rPr>
  </w:style>
  <w:style w:type="character" w:styleId="FootnoteReference">
    <w:name w:val="footnote reference"/>
    <w:basedOn w:val="DefaultParagraphFont"/>
    <w:uiPriority w:val="99"/>
    <w:semiHidden/>
    <w:unhideWhenUsed/>
    <w:rsid w:val="004927B2"/>
    <w:rPr>
      <w:vertAlign w:val="superscript"/>
    </w:rPr>
  </w:style>
  <w:style w:type="paragraph" w:styleId="Header">
    <w:name w:val="header"/>
    <w:basedOn w:val="Normal"/>
    <w:link w:val="HeaderChar"/>
    <w:uiPriority w:val="99"/>
    <w:semiHidden/>
    <w:unhideWhenUsed/>
    <w:rsid w:val="007B0B3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B0B30"/>
  </w:style>
  <w:style w:type="paragraph" w:styleId="Footer">
    <w:name w:val="footer"/>
    <w:basedOn w:val="Normal"/>
    <w:link w:val="FooterChar"/>
    <w:uiPriority w:val="99"/>
    <w:semiHidden/>
    <w:unhideWhenUsed/>
    <w:rsid w:val="007B0B3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B0B30"/>
  </w:style>
  <w:style w:type="character" w:styleId="Hyperlink">
    <w:name w:val="Hyperlink"/>
    <w:basedOn w:val="DefaultParagraphFont"/>
    <w:uiPriority w:val="99"/>
    <w:unhideWhenUsed/>
    <w:rsid w:val="00DC3ECF"/>
    <w:rPr>
      <w:color w:val="467886" w:themeColor="hyperlink"/>
      <w:u w:val="single"/>
    </w:rPr>
  </w:style>
  <w:style w:type="character" w:styleId="UnresolvedMention">
    <w:name w:val="Unresolved Mention"/>
    <w:basedOn w:val="DefaultParagraphFont"/>
    <w:uiPriority w:val="99"/>
    <w:semiHidden/>
    <w:unhideWhenUsed/>
    <w:rsid w:val="00DC3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686058">
      <w:bodyDiv w:val="1"/>
      <w:marLeft w:val="0"/>
      <w:marRight w:val="0"/>
      <w:marTop w:val="0"/>
      <w:marBottom w:val="0"/>
      <w:divBdr>
        <w:top w:val="none" w:sz="0" w:space="0" w:color="auto"/>
        <w:left w:val="none" w:sz="0" w:space="0" w:color="auto"/>
        <w:bottom w:val="none" w:sz="0" w:space="0" w:color="auto"/>
        <w:right w:val="none" w:sz="0" w:space="0" w:color="auto"/>
      </w:divBdr>
    </w:div>
    <w:div w:id="1010717144">
      <w:bodyDiv w:val="1"/>
      <w:marLeft w:val="0"/>
      <w:marRight w:val="0"/>
      <w:marTop w:val="0"/>
      <w:marBottom w:val="0"/>
      <w:divBdr>
        <w:top w:val="none" w:sz="0" w:space="0" w:color="auto"/>
        <w:left w:val="none" w:sz="0" w:space="0" w:color="auto"/>
        <w:bottom w:val="none" w:sz="0" w:space="0" w:color="auto"/>
        <w:right w:val="none" w:sz="0" w:space="0" w:color="auto"/>
      </w:divBdr>
    </w:div>
    <w:div w:id="1276249968">
      <w:bodyDiv w:val="1"/>
      <w:marLeft w:val="0"/>
      <w:marRight w:val="0"/>
      <w:marTop w:val="0"/>
      <w:marBottom w:val="0"/>
      <w:divBdr>
        <w:top w:val="none" w:sz="0" w:space="0" w:color="auto"/>
        <w:left w:val="none" w:sz="0" w:space="0" w:color="auto"/>
        <w:bottom w:val="none" w:sz="0" w:space="0" w:color="auto"/>
        <w:right w:val="none" w:sz="0" w:space="0" w:color="auto"/>
      </w:divBdr>
    </w:div>
    <w:div w:id="153276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6" ma:contentTypeDescription="Create a new document." ma:contentTypeScope="" ma:versionID="d300977e24f685f03f4638edeea2f12f">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cf0a4f99f0b1452baacbf8363c6c9ff"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LengthInSeconds" minOccurs="0"/>
                <xsd:element ref="ns4:MediaServiceSearchProperties" minOccurs="0"/>
                <xsd:element ref="ns4:MediaServiceObjectDetectorVersions" minOccurs="0"/>
                <xsd:element ref="ns4:_activity" minOccurs="0"/>
                <xsd:element ref="ns4:MediaServiceSystem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13d2f1-3fb4-4d24-806f-713eb38c1b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1AAA1-48F8-4325-A67C-F649D75B2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3CF23D-0380-43FC-BEAF-3499E23F7437}">
  <ds:schemaRefs>
    <ds:schemaRef ds:uri="http://schemas.microsoft.com/sharepoint/v3/contenttype/forms"/>
  </ds:schemaRefs>
</ds:datastoreItem>
</file>

<file path=customXml/itemProps3.xml><?xml version="1.0" encoding="utf-8"?>
<ds:datastoreItem xmlns:ds="http://schemas.openxmlformats.org/officeDocument/2006/customXml" ds:itemID="{1231E7C8-759C-4147-B10F-D7A8F4F4F363}">
  <ds:schemaRefs>
    <ds:schemaRef ds:uri="http://purl.org/dc/elements/1.1/"/>
    <ds:schemaRef ds:uri="a3276f14-397d-4ed7-b8c7-ece791485ff1"/>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bf13d2f1-3fb4-4d24-806f-713eb38c1b0e"/>
    <ds:schemaRef ds:uri="http://www.w3.org/XML/1998/namespace"/>
    <ds:schemaRef ds:uri="http://purl.org/dc/dcmitype/"/>
  </ds:schemaRefs>
</ds:datastoreItem>
</file>

<file path=customXml/itemProps4.xml><?xml version="1.0" encoding="utf-8"?>
<ds:datastoreItem xmlns:ds="http://schemas.openxmlformats.org/officeDocument/2006/customXml" ds:itemID="{CB7512B5-8634-44DD-BB79-A34DFC98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2442</Words>
  <Characters>11795</Characters>
  <Application>Microsoft Office Word</Application>
  <DocSecurity>0</DocSecurity>
  <Lines>190</Lines>
  <Paragraphs>41</Paragraphs>
  <ScaleCrop>false</ScaleCrop>
  <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Taylor (1403125)</dc:creator>
  <cp:keywords/>
  <dc:description/>
  <cp:lastModifiedBy>Jennifer Taylor (1403125)</cp:lastModifiedBy>
  <cp:revision>227</cp:revision>
  <dcterms:created xsi:type="dcterms:W3CDTF">2025-04-28T16:08:00Z</dcterms:created>
  <dcterms:modified xsi:type="dcterms:W3CDTF">2025-04-29T19:35:00Z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