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4ECF27F" w14:textId="406EADD5" w:rsidR="007F2ED9" w:rsidRPr="00487BD9" w:rsidRDefault="006347B5" w:rsidP="00487BD9">
      <w:pPr>
        <w:pStyle w:val="Title"/>
        <w:rPr>
          <w:rFonts w:ascii="Arial" w:hAnsi="Arial" w:cs="Arial"/>
          <w:lang w:val="en-GB"/>
        </w:rPr>
      </w:pPr>
      <w:bookmarkStart w:id="0" w:name="_ajgq48mkiaer" w:colFirst="0" w:colLast="0"/>
      <w:bookmarkStart w:id="1" w:name="_heading=h.xwhdmkxubmvh" w:colFirst="0" w:colLast="0"/>
      <w:bookmarkEnd w:id="0"/>
      <w:bookmarkEnd w:id="1"/>
      <w:r>
        <w:rPr>
          <w:noProof/>
        </w:rPr>
        <w:drawing>
          <wp:inline distT="0" distB="0" distL="0" distR="0" wp14:anchorId="710FA170" wp14:editId="7FB13673">
            <wp:extent cx="2766329" cy="102890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5090" r="3463"/>
                    <a:stretch>
                      <a:fillRect/>
                    </a:stretch>
                  </pic:blipFill>
                  <pic:spPr>
                    <a:xfrm>
                      <a:off x="0" y="0"/>
                      <a:ext cx="2766329" cy="1028902"/>
                    </a:xfrm>
                    <a:prstGeom prst="rect">
                      <a:avLst/>
                    </a:prstGeom>
                    <a:ln/>
                  </pic:spPr>
                </pic:pic>
              </a:graphicData>
            </a:graphic>
          </wp:inline>
        </w:drawing>
      </w:r>
    </w:p>
    <w:p w14:paraId="611FB5B8" w14:textId="77777777" w:rsidR="007F2ED9" w:rsidRPr="00487BD9" w:rsidRDefault="007F2ED9" w:rsidP="006347B5">
      <w:pPr>
        <w:pStyle w:val="Title"/>
        <w:jc w:val="both"/>
        <w:rPr>
          <w:rFonts w:ascii="Arial" w:hAnsi="Arial" w:cs="Arial"/>
          <w:lang w:val="en-GB"/>
        </w:rPr>
      </w:pPr>
    </w:p>
    <w:p w14:paraId="188B4DE8" w14:textId="3C34DBA8" w:rsidR="007F2ED9" w:rsidRPr="00487BD9" w:rsidRDefault="00274884" w:rsidP="00487BD9">
      <w:pPr>
        <w:pStyle w:val="Title"/>
        <w:rPr>
          <w:rFonts w:ascii="Arial" w:hAnsi="Arial" w:cs="Arial"/>
          <w:lang w:val="en-GB"/>
        </w:rPr>
      </w:pPr>
      <w:r w:rsidRPr="00487BD9">
        <w:rPr>
          <w:rFonts w:ascii="Arial" w:hAnsi="Arial" w:cs="Arial"/>
          <w:lang w:val="en-GB"/>
        </w:rPr>
        <w:t xml:space="preserve">MASTER OF BUSINESS ADMINISTRATION  </w:t>
      </w:r>
    </w:p>
    <w:p w14:paraId="33386CA3" w14:textId="77777777" w:rsidR="007F2ED9" w:rsidRPr="00487BD9" w:rsidRDefault="007F2ED9" w:rsidP="00487BD9">
      <w:pPr>
        <w:pStyle w:val="Title"/>
        <w:rPr>
          <w:rFonts w:ascii="Arial" w:hAnsi="Arial" w:cs="Arial"/>
          <w:lang w:val="en-GB"/>
        </w:rPr>
      </w:pPr>
    </w:p>
    <w:p w14:paraId="16AC7B44" w14:textId="77777777" w:rsidR="007F2ED9" w:rsidRPr="00487BD9" w:rsidRDefault="007F2ED9" w:rsidP="00487BD9">
      <w:pPr>
        <w:pStyle w:val="Title"/>
        <w:rPr>
          <w:rFonts w:ascii="Arial" w:hAnsi="Arial" w:cs="Arial"/>
          <w:lang w:val="en-GB"/>
        </w:rPr>
      </w:pPr>
    </w:p>
    <w:p w14:paraId="72018F34" w14:textId="4A5F7CB9" w:rsidR="007F2ED9" w:rsidRPr="00487BD9" w:rsidRDefault="00274884" w:rsidP="00487BD9">
      <w:pPr>
        <w:pStyle w:val="Title"/>
        <w:rPr>
          <w:rFonts w:ascii="Arial" w:hAnsi="Arial" w:cs="Arial"/>
          <w:lang w:val="en-GB"/>
        </w:rPr>
      </w:pPr>
      <w:r w:rsidRPr="00487BD9">
        <w:rPr>
          <w:rFonts w:ascii="Arial" w:hAnsi="Arial" w:cs="Arial"/>
          <w:lang w:val="en-GB"/>
        </w:rPr>
        <w:t xml:space="preserve">FINANCIAL MANAGEMENT  </w:t>
      </w:r>
    </w:p>
    <w:p w14:paraId="079D755C" w14:textId="77777777" w:rsidR="00274884" w:rsidRPr="00487BD9" w:rsidRDefault="00274884" w:rsidP="00487BD9">
      <w:pPr>
        <w:pStyle w:val="Title"/>
        <w:rPr>
          <w:rFonts w:ascii="Arial" w:hAnsi="Arial" w:cs="Arial"/>
          <w:lang w:val="en-GB"/>
        </w:rPr>
      </w:pPr>
    </w:p>
    <w:p w14:paraId="40DFC43D" w14:textId="47364262" w:rsidR="007F2ED9" w:rsidRPr="00487BD9" w:rsidRDefault="00274884" w:rsidP="00487BD9">
      <w:pPr>
        <w:pStyle w:val="Title"/>
        <w:rPr>
          <w:rFonts w:ascii="Arial" w:hAnsi="Arial" w:cs="Arial"/>
          <w:lang w:val="en-GB"/>
        </w:rPr>
      </w:pPr>
      <w:r w:rsidRPr="00487BD9">
        <w:rPr>
          <w:rFonts w:ascii="Arial" w:hAnsi="Arial" w:cs="Arial"/>
          <w:lang w:val="en-GB"/>
        </w:rPr>
        <w:t>LCMB7002</w:t>
      </w:r>
    </w:p>
    <w:p w14:paraId="555FA3E8" w14:textId="77777777" w:rsidR="00274884" w:rsidRPr="00487BD9" w:rsidRDefault="00274884" w:rsidP="00487BD9">
      <w:pPr>
        <w:rPr>
          <w:rFonts w:ascii="Arial" w:hAnsi="Arial" w:cs="Arial"/>
          <w:lang w:val="en-GB"/>
        </w:rPr>
      </w:pPr>
    </w:p>
    <w:p w14:paraId="637825DC" w14:textId="22BF1A7E" w:rsidR="00CD2532" w:rsidRPr="00487BD9" w:rsidRDefault="00274884" w:rsidP="00487BD9">
      <w:pPr>
        <w:pStyle w:val="Title"/>
        <w:rPr>
          <w:rFonts w:ascii="Arial" w:hAnsi="Arial" w:cs="Arial"/>
          <w:lang w:val="en-GB"/>
        </w:rPr>
      </w:pPr>
      <w:r w:rsidRPr="00487BD9">
        <w:rPr>
          <w:rFonts w:ascii="Arial" w:hAnsi="Arial" w:cs="Arial"/>
          <w:lang w:val="en-GB"/>
        </w:rPr>
        <w:t>ASSESSMENT COMPONENT: FINANCIAL PERFORMANCE AND MANAGEMENT OF TESLA INC.</w:t>
      </w:r>
    </w:p>
    <w:p w14:paraId="6B6662D9" w14:textId="40C05B3F" w:rsidR="00274884" w:rsidRPr="00487BD9" w:rsidRDefault="00274884" w:rsidP="00487BD9">
      <w:pPr>
        <w:jc w:val="center"/>
        <w:rPr>
          <w:rFonts w:ascii="Arial" w:hAnsi="Arial" w:cs="Arial"/>
          <w:b/>
          <w:bCs/>
          <w:lang w:val="en-GB"/>
        </w:rPr>
      </w:pPr>
    </w:p>
    <w:p w14:paraId="2E795FDF" w14:textId="015FBBA4" w:rsidR="00274884" w:rsidRPr="00487BD9" w:rsidRDefault="00274884" w:rsidP="00487BD9">
      <w:pPr>
        <w:jc w:val="center"/>
        <w:rPr>
          <w:rFonts w:ascii="Arial" w:hAnsi="Arial" w:cs="Arial"/>
          <w:b/>
          <w:bCs/>
          <w:lang w:val="en-GB"/>
        </w:rPr>
      </w:pPr>
    </w:p>
    <w:p w14:paraId="08456D46" w14:textId="77777777" w:rsidR="00274884" w:rsidRPr="00487BD9" w:rsidRDefault="00274884" w:rsidP="006347B5">
      <w:pPr>
        <w:rPr>
          <w:rFonts w:ascii="Arial" w:hAnsi="Arial" w:cs="Arial"/>
          <w:b/>
          <w:bCs/>
          <w:lang w:val="en-GB"/>
        </w:rPr>
      </w:pPr>
    </w:p>
    <w:p w14:paraId="42F8BAB1" w14:textId="77777777" w:rsidR="00274884" w:rsidRPr="00487BD9" w:rsidRDefault="00274884" w:rsidP="00487BD9">
      <w:pPr>
        <w:jc w:val="center"/>
        <w:rPr>
          <w:rFonts w:ascii="Arial" w:hAnsi="Arial" w:cs="Arial"/>
          <w:b/>
          <w:bCs/>
          <w:lang w:val="en-GB"/>
        </w:rPr>
      </w:pPr>
    </w:p>
    <w:p w14:paraId="73FE7F9A" w14:textId="650A790B" w:rsidR="00274884" w:rsidRPr="00487BD9" w:rsidRDefault="00274884" w:rsidP="00487BD9">
      <w:pPr>
        <w:jc w:val="center"/>
        <w:rPr>
          <w:rFonts w:ascii="Arial" w:hAnsi="Arial" w:cs="Arial"/>
          <w:b/>
          <w:bCs/>
          <w:lang w:val="en-GB"/>
        </w:rPr>
      </w:pPr>
      <w:r w:rsidRPr="00487BD9">
        <w:rPr>
          <w:rFonts w:ascii="Arial" w:hAnsi="Arial" w:cs="Arial"/>
          <w:b/>
          <w:bCs/>
          <w:lang w:val="en-GB"/>
        </w:rPr>
        <w:t xml:space="preserve">Student </w:t>
      </w:r>
      <w:r w:rsidR="004D49EB">
        <w:rPr>
          <w:rFonts w:ascii="Arial" w:hAnsi="Arial" w:cs="Arial"/>
          <w:b/>
          <w:bCs/>
          <w:lang w:val="en-GB"/>
        </w:rPr>
        <w:t>N</w:t>
      </w:r>
      <w:r w:rsidRPr="00487BD9">
        <w:rPr>
          <w:rFonts w:ascii="Arial" w:hAnsi="Arial" w:cs="Arial"/>
          <w:b/>
          <w:bCs/>
          <w:lang w:val="en-GB"/>
        </w:rPr>
        <w:t>ame:</w:t>
      </w:r>
      <w:r w:rsidR="004D49EB">
        <w:rPr>
          <w:rFonts w:ascii="Arial" w:hAnsi="Arial" w:cs="Arial"/>
          <w:b/>
          <w:bCs/>
          <w:lang w:val="en-GB"/>
        </w:rPr>
        <w:t xml:space="preserve"> </w:t>
      </w:r>
      <w:proofErr w:type="spellStart"/>
      <w:r w:rsidR="004D49EB">
        <w:rPr>
          <w:rFonts w:ascii="Arial" w:hAnsi="Arial" w:cs="Arial"/>
          <w:b/>
          <w:bCs/>
          <w:lang w:val="en-GB"/>
        </w:rPr>
        <w:t>Nareshbhai</w:t>
      </w:r>
      <w:proofErr w:type="spellEnd"/>
      <w:r w:rsidR="004D49EB">
        <w:rPr>
          <w:rFonts w:ascii="Arial" w:hAnsi="Arial" w:cs="Arial"/>
          <w:b/>
          <w:bCs/>
          <w:lang w:val="en-GB"/>
        </w:rPr>
        <w:t xml:space="preserve"> Parmar</w:t>
      </w:r>
    </w:p>
    <w:p w14:paraId="06C6807E" w14:textId="77777777" w:rsidR="00274884" w:rsidRPr="00487BD9" w:rsidRDefault="00274884" w:rsidP="00487BD9">
      <w:pPr>
        <w:jc w:val="center"/>
        <w:rPr>
          <w:rFonts w:ascii="Arial" w:hAnsi="Arial" w:cs="Arial"/>
          <w:b/>
          <w:bCs/>
          <w:lang w:val="en-GB"/>
        </w:rPr>
      </w:pPr>
    </w:p>
    <w:p w14:paraId="73339056" w14:textId="5DD285EB" w:rsidR="00274884" w:rsidRPr="00487BD9" w:rsidRDefault="00274884" w:rsidP="00487BD9">
      <w:pPr>
        <w:jc w:val="center"/>
        <w:rPr>
          <w:rFonts w:ascii="Arial" w:hAnsi="Arial" w:cs="Arial"/>
          <w:b/>
          <w:bCs/>
          <w:lang w:val="en-GB"/>
        </w:rPr>
      </w:pPr>
      <w:r w:rsidRPr="00487BD9">
        <w:rPr>
          <w:rFonts w:ascii="Arial" w:hAnsi="Arial" w:cs="Arial"/>
          <w:b/>
          <w:bCs/>
          <w:lang w:val="en-GB"/>
        </w:rPr>
        <w:t>ID of the student:</w:t>
      </w:r>
      <w:r w:rsidR="004D49EB">
        <w:rPr>
          <w:rFonts w:ascii="Arial" w:hAnsi="Arial" w:cs="Arial"/>
          <w:b/>
          <w:bCs/>
          <w:lang w:val="en-GB"/>
        </w:rPr>
        <w:t xml:space="preserve"> 2518462</w:t>
      </w:r>
    </w:p>
    <w:p w14:paraId="3C5A5852" w14:textId="77777777" w:rsidR="00274884" w:rsidRPr="00487BD9" w:rsidRDefault="00274884" w:rsidP="00487BD9">
      <w:pPr>
        <w:jc w:val="center"/>
        <w:rPr>
          <w:rFonts w:ascii="Arial" w:hAnsi="Arial" w:cs="Arial"/>
          <w:b/>
          <w:bCs/>
          <w:lang w:val="en-GB"/>
        </w:rPr>
      </w:pPr>
    </w:p>
    <w:p w14:paraId="1B2DD830" w14:textId="2C2D635B" w:rsidR="00274884" w:rsidRPr="00487BD9" w:rsidRDefault="00274884" w:rsidP="00487BD9">
      <w:pPr>
        <w:jc w:val="center"/>
        <w:rPr>
          <w:rFonts w:ascii="Arial" w:hAnsi="Arial" w:cs="Arial"/>
          <w:b/>
          <w:bCs/>
          <w:lang w:val="en-GB"/>
        </w:rPr>
      </w:pPr>
      <w:r w:rsidRPr="00487BD9">
        <w:rPr>
          <w:rFonts w:ascii="Arial" w:hAnsi="Arial" w:cs="Arial"/>
          <w:b/>
          <w:bCs/>
          <w:lang w:val="en-GB"/>
        </w:rPr>
        <w:t>Lecturer name:</w:t>
      </w:r>
      <w:r w:rsidR="004D49EB">
        <w:rPr>
          <w:rFonts w:ascii="Arial" w:hAnsi="Arial" w:cs="Arial"/>
          <w:b/>
          <w:bCs/>
          <w:lang w:val="en-GB"/>
        </w:rPr>
        <w:t xml:space="preserve"> </w:t>
      </w:r>
      <w:r w:rsidR="004D49EB" w:rsidRPr="004D49EB">
        <w:rPr>
          <w:rFonts w:ascii="Arial" w:hAnsi="Arial" w:cs="Arial"/>
          <w:b/>
          <w:bCs/>
          <w:lang w:val="en-GB"/>
        </w:rPr>
        <w:t>Isaiah Oino</w:t>
      </w:r>
    </w:p>
    <w:p w14:paraId="3C0056F5" w14:textId="77777777" w:rsidR="00274884" w:rsidRPr="00487BD9" w:rsidRDefault="00274884" w:rsidP="00487BD9">
      <w:pPr>
        <w:jc w:val="center"/>
        <w:rPr>
          <w:rFonts w:ascii="Arial" w:hAnsi="Arial" w:cs="Arial"/>
          <w:b/>
          <w:bCs/>
          <w:lang w:val="en-GB"/>
        </w:rPr>
      </w:pPr>
    </w:p>
    <w:p w14:paraId="684D43B6" w14:textId="41443F31" w:rsidR="00274884" w:rsidRPr="004D49EB" w:rsidRDefault="00274884" w:rsidP="00487BD9">
      <w:pPr>
        <w:jc w:val="center"/>
        <w:rPr>
          <w:rFonts w:ascii="Arial" w:hAnsi="Arial" w:cs="Arial"/>
          <w:b/>
          <w:bCs/>
          <w:lang w:val="en-GB"/>
        </w:rPr>
      </w:pPr>
      <w:r w:rsidRPr="00487BD9">
        <w:rPr>
          <w:rFonts w:ascii="Arial" w:hAnsi="Arial" w:cs="Arial"/>
          <w:b/>
          <w:bCs/>
          <w:lang w:val="en-GB"/>
        </w:rPr>
        <w:t>Word count:</w:t>
      </w:r>
      <w:r w:rsidR="00FA0E63">
        <w:rPr>
          <w:rFonts w:ascii="Arial" w:hAnsi="Arial" w:cs="Arial"/>
          <w:b/>
          <w:bCs/>
          <w:lang w:val="en-GB"/>
        </w:rPr>
        <w:t xml:space="preserve"> </w:t>
      </w:r>
      <w:r w:rsidR="00FA0E63" w:rsidRPr="004D49EB">
        <w:rPr>
          <w:rFonts w:ascii="Arial" w:hAnsi="Arial" w:cs="Arial"/>
          <w:b/>
          <w:bCs/>
          <w:lang w:val="en-GB"/>
        </w:rPr>
        <w:t>5271</w:t>
      </w:r>
    </w:p>
    <w:p w14:paraId="5B904EE1" w14:textId="77777777" w:rsidR="00274884" w:rsidRPr="00487BD9" w:rsidRDefault="00274884" w:rsidP="00487BD9">
      <w:pPr>
        <w:jc w:val="center"/>
        <w:rPr>
          <w:rFonts w:ascii="Arial" w:hAnsi="Arial" w:cs="Arial"/>
          <w:b/>
          <w:bCs/>
          <w:lang w:val="en-GB"/>
        </w:rPr>
      </w:pPr>
    </w:p>
    <w:p w14:paraId="135150A0" w14:textId="7072A58C" w:rsidR="00CD2532" w:rsidRPr="00487BD9" w:rsidRDefault="00274884" w:rsidP="00487BD9">
      <w:pPr>
        <w:jc w:val="center"/>
        <w:rPr>
          <w:rFonts w:ascii="Arial" w:hAnsi="Arial" w:cs="Arial"/>
          <w:sz w:val="32"/>
          <w:szCs w:val="32"/>
          <w:lang w:val="en-GB"/>
        </w:rPr>
      </w:pPr>
      <w:r w:rsidRPr="00487BD9">
        <w:rPr>
          <w:rFonts w:ascii="Arial" w:hAnsi="Arial" w:cs="Arial"/>
          <w:b/>
          <w:bCs/>
          <w:lang w:val="en-GB"/>
        </w:rPr>
        <w:t>Date of submission:</w:t>
      </w:r>
      <w:r w:rsidRPr="00487BD9">
        <w:rPr>
          <w:rFonts w:ascii="Arial" w:hAnsi="Arial" w:cs="Arial"/>
          <w:lang w:val="en-GB"/>
        </w:rPr>
        <w:t xml:space="preserve"> </w:t>
      </w:r>
      <w:r w:rsidR="004D49EB" w:rsidRPr="004D49EB">
        <w:rPr>
          <w:rFonts w:ascii="Arial" w:hAnsi="Arial" w:cs="Arial"/>
          <w:b/>
          <w:bCs/>
          <w:lang w:val="en-GB"/>
        </w:rPr>
        <w:t>24-04-2026</w:t>
      </w:r>
      <w:r w:rsidR="00CD2532" w:rsidRPr="00487BD9">
        <w:rPr>
          <w:rFonts w:ascii="Arial" w:hAnsi="Arial" w:cs="Arial"/>
          <w:lang w:val="en-GB"/>
        </w:rPr>
        <w:br w:type="page"/>
      </w:r>
    </w:p>
    <w:sdt>
      <w:sdtPr>
        <w:rPr>
          <w:rFonts w:ascii="Arial" w:eastAsia="Times New Roman" w:hAnsi="Arial" w:cs="Arial"/>
          <w:b w:val="0"/>
          <w:bCs w:val="0"/>
          <w:color w:val="auto"/>
          <w:sz w:val="24"/>
          <w:szCs w:val="24"/>
          <w:lang w:val="en-GB" w:eastAsia="en-GB"/>
        </w:rPr>
        <w:id w:val="2016111305"/>
        <w:docPartObj>
          <w:docPartGallery w:val="Table of Contents"/>
          <w:docPartUnique/>
        </w:docPartObj>
      </w:sdtPr>
      <w:sdtEndPr>
        <w:rPr>
          <w:noProof/>
        </w:rPr>
      </w:sdtEndPr>
      <w:sdtContent>
        <w:p w14:paraId="318ECC96" w14:textId="59794384" w:rsidR="00CD2532" w:rsidRDefault="00CD2532" w:rsidP="00487BD9">
          <w:pPr>
            <w:pStyle w:val="TOCHeading"/>
            <w:spacing w:line="360" w:lineRule="auto"/>
            <w:jc w:val="center"/>
            <w:rPr>
              <w:rFonts w:ascii="Arial" w:hAnsi="Arial" w:cs="Arial"/>
              <w:color w:val="000000" w:themeColor="text1"/>
              <w:sz w:val="24"/>
              <w:szCs w:val="24"/>
              <w:lang w:val="en-GB"/>
            </w:rPr>
          </w:pPr>
          <w:r w:rsidRPr="00487BD9">
            <w:rPr>
              <w:rFonts w:ascii="Arial" w:hAnsi="Arial" w:cs="Arial"/>
              <w:color w:val="000000" w:themeColor="text1"/>
              <w:sz w:val="24"/>
              <w:szCs w:val="24"/>
              <w:lang w:val="en-GB"/>
            </w:rPr>
            <w:t>Table of Contents</w:t>
          </w:r>
        </w:p>
        <w:p w14:paraId="1C1FFA98" w14:textId="77777777" w:rsidR="00FA0E63" w:rsidRPr="00FA0E63" w:rsidRDefault="00FA0E63" w:rsidP="00FA0E63">
          <w:pPr>
            <w:rPr>
              <w:lang w:val="en-GB" w:eastAsia="en-US"/>
            </w:rPr>
          </w:pPr>
        </w:p>
        <w:p w14:paraId="3BA381BF" w14:textId="3928FE0E" w:rsidR="00FA0E63" w:rsidRPr="00FA0E63" w:rsidRDefault="00CD2532" w:rsidP="00FA0E63">
          <w:pPr>
            <w:pStyle w:val="TOC1"/>
            <w:tabs>
              <w:tab w:val="right" w:leader="dot" w:pos="9016"/>
            </w:tabs>
            <w:jc w:val="both"/>
            <w:rPr>
              <w:rFonts w:ascii="Arial" w:eastAsiaTheme="minorEastAsia" w:hAnsi="Arial" w:cs="Arial"/>
              <w:b w:val="0"/>
              <w:bCs w:val="0"/>
              <w:i w:val="0"/>
              <w:iCs w:val="0"/>
              <w:noProof/>
              <w:lang w:val="en-IN" w:eastAsia="en-IN"/>
            </w:rPr>
          </w:pPr>
          <w:r w:rsidRPr="00FA0E63">
            <w:rPr>
              <w:rFonts w:ascii="Arial" w:hAnsi="Arial" w:cs="Arial"/>
              <w:b w:val="0"/>
              <w:bCs w:val="0"/>
              <w:i w:val="0"/>
              <w:iCs w:val="0"/>
              <w:color w:val="000000" w:themeColor="text1"/>
              <w:lang w:val="en-GB"/>
            </w:rPr>
            <w:fldChar w:fldCharType="begin"/>
          </w:r>
          <w:r w:rsidRPr="00FA0E63">
            <w:rPr>
              <w:rFonts w:ascii="Arial" w:hAnsi="Arial" w:cs="Arial"/>
              <w:b w:val="0"/>
              <w:bCs w:val="0"/>
              <w:i w:val="0"/>
              <w:iCs w:val="0"/>
              <w:color w:val="000000" w:themeColor="text1"/>
              <w:lang w:val="en-GB"/>
            </w:rPr>
            <w:instrText xml:space="preserve"> TOC \o "1-3" \h \z \u </w:instrText>
          </w:r>
          <w:r w:rsidRPr="00FA0E63">
            <w:rPr>
              <w:rFonts w:ascii="Arial" w:hAnsi="Arial" w:cs="Arial"/>
              <w:b w:val="0"/>
              <w:bCs w:val="0"/>
              <w:i w:val="0"/>
              <w:iCs w:val="0"/>
              <w:color w:val="000000" w:themeColor="text1"/>
              <w:lang w:val="en-GB"/>
            </w:rPr>
            <w:fldChar w:fldCharType="separate"/>
          </w:r>
          <w:hyperlink w:anchor="_Toc224288353" w:history="1">
            <w:r w:rsidR="00FA0E63" w:rsidRPr="00FA0E63">
              <w:rPr>
                <w:rStyle w:val="Hyperlink"/>
                <w:rFonts w:ascii="Arial" w:hAnsi="Arial" w:cs="Arial"/>
                <w:b w:val="0"/>
                <w:bCs w:val="0"/>
                <w:i w:val="0"/>
                <w:iCs w:val="0"/>
                <w:noProof/>
                <w:lang w:val="en-GB"/>
              </w:rPr>
              <w:t>1. Introduction</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_Toc224288353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5</w:t>
            </w:r>
            <w:r w:rsidR="00FA0E63" w:rsidRPr="00FA0E63">
              <w:rPr>
                <w:rFonts w:ascii="Arial" w:hAnsi="Arial" w:cs="Arial"/>
                <w:b w:val="0"/>
                <w:bCs w:val="0"/>
                <w:i w:val="0"/>
                <w:iCs w:val="0"/>
                <w:noProof/>
                <w:webHidden/>
              </w:rPr>
              <w:fldChar w:fldCharType="end"/>
            </w:r>
          </w:hyperlink>
        </w:p>
        <w:p w14:paraId="0AB53DBA" w14:textId="60C6C5AA"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54" w:history="1">
            <w:r w:rsidR="00FA0E63" w:rsidRPr="00FA0E63">
              <w:rPr>
                <w:rStyle w:val="Hyperlink"/>
                <w:rFonts w:ascii="Arial" w:hAnsi="Arial" w:cs="Arial"/>
                <w:b w:val="0"/>
                <w:bCs w:val="0"/>
                <w:i w:val="0"/>
                <w:iCs w:val="0"/>
                <w:noProof/>
                <w:lang w:val="en-GB"/>
              </w:rPr>
              <w:t>2. Financial Health Check</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_Toc224288354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5</w:t>
            </w:r>
            <w:r w:rsidR="00FA0E63" w:rsidRPr="00FA0E63">
              <w:rPr>
                <w:rFonts w:ascii="Arial" w:hAnsi="Arial" w:cs="Arial"/>
                <w:b w:val="0"/>
                <w:bCs w:val="0"/>
                <w:i w:val="0"/>
                <w:iCs w:val="0"/>
                <w:noProof/>
                <w:webHidden/>
              </w:rPr>
              <w:fldChar w:fldCharType="end"/>
            </w:r>
          </w:hyperlink>
        </w:p>
        <w:p w14:paraId="660DCB08" w14:textId="587404B7"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55" w:history="1">
            <w:r w:rsidR="00FA0E63" w:rsidRPr="00FA0E63">
              <w:rPr>
                <w:rStyle w:val="Hyperlink"/>
                <w:rFonts w:ascii="Arial" w:hAnsi="Arial" w:cs="Arial"/>
                <w:b w:val="0"/>
                <w:bCs w:val="0"/>
                <w:noProof/>
                <w:sz w:val="24"/>
                <w:szCs w:val="24"/>
                <w:lang w:val="en-GB"/>
              </w:rPr>
              <w:t>2.1 Overview of Tesla’s Financial Performance</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_Toc224288355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5</w:t>
            </w:r>
            <w:r w:rsidR="00FA0E63" w:rsidRPr="00FA0E63">
              <w:rPr>
                <w:rFonts w:ascii="Arial" w:hAnsi="Arial" w:cs="Arial"/>
                <w:b w:val="0"/>
                <w:bCs w:val="0"/>
                <w:noProof/>
                <w:webHidden/>
                <w:sz w:val="24"/>
                <w:szCs w:val="24"/>
              </w:rPr>
              <w:fldChar w:fldCharType="end"/>
            </w:r>
          </w:hyperlink>
        </w:p>
        <w:p w14:paraId="3A32D02B" w14:textId="4EE430CF"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56" w:history="1">
            <w:r w:rsidR="00FA0E63" w:rsidRPr="00FA0E63">
              <w:rPr>
                <w:rStyle w:val="Hyperlink"/>
                <w:rFonts w:ascii="Arial" w:hAnsi="Arial" w:cs="Arial"/>
                <w:b w:val="0"/>
                <w:bCs w:val="0"/>
                <w:noProof/>
                <w:sz w:val="24"/>
                <w:szCs w:val="24"/>
                <w:lang w:val="en-GB"/>
              </w:rPr>
              <w:t>2.2 Profitability Ratio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_Toc224288356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5</w:t>
            </w:r>
            <w:r w:rsidR="00FA0E63" w:rsidRPr="00FA0E63">
              <w:rPr>
                <w:rFonts w:ascii="Arial" w:hAnsi="Arial" w:cs="Arial"/>
                <w:b w:val="0"/>
                <w:bCs w:val="0"/>
                <w:noProof/>
                <w:webHidden/>
                <w:sz w:val="24"/>
                <w:szCs w:val="24"/>
              </w:rPr>
              <w:fldChar w:fldCharType="end"/>
            </w:r>
          </w:hyperlink>
        </w:p>
        <w:p w14:paraId="4A68C86E" w14:textId="1CF62D60"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57" w:history="1">
            <w:r w:rsidR="00FA0E63" w:rsidRPr="00FA0E63">
              <w:rPr>
                <w:rStyle w:val="Hyperlink"/>
                <w:rFonts w:ascii="Arial" w:hAnsi="Arial" w:cs="Arial"/>
                <w:b w:val="0"/>
                <w:bCs w:val="0"/>
                <w:noProof/>
                <w:sz w:val="24"/>
                <w:szCs w:val="24"/>
                <w:lang w:val="en-GB"/>
              </w:rPr>
              <w:t>2.3 Liquidity Ratio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_Toc224288357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9</w:t>
            </w:r>
            <w:r w:rsidR="00FA0E63" w:rsidRPr="00FA0E63">
              <w:rPr>
                <w:rFonts w:ascii="Arial" w:hAnsi="Arial" w:cs="Arial"/>
                <w:b w:val="0"/>
                <w:bCs w:val="0"/>
                <w:noProof/>
                <w:webHidden/>
                <w:sz w:val="24"/>
                <w:szCs w:val="24"/>
              </w:rPr>
              <w:fldChar w:fldCharType="end"/>
            </w:r>
          </w:hyperlink>
        </w:p>
        <w:p w14:paraId="30DDF064" w14:textId="166D9590"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58" w:history="1">
            <w:r w:rsidR="00FA0E63" w:rsidRPr="00FA0E63">
              <w:rPr>
                <w:rStyle w:val="Hyperlink"/>
                <w:rFonts w:ascii="Arial" w:hAnsi="Arial" w:cs="Arial"/>
                <w:b w:val="0"/>
                <w:bCs w:val="0"/>
                <w:noProof/>
                <w:sz w:val="24"/>
                <w:szCs w:val="24"/>
                <w:lang w:val="en-GB"/>
              </w:rPr>
              <w:t>2.4 Efficiency Ratio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_Toc224288358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11</w:t>
            </w:r>
            <w:r w:rsidR="00FA0E63" w:rsidRPr="00FA0E63">
              <w:rPr>
                <w:rFonts w:ascii="Arial" w:hAnsi="Arial" w:cs="Arial"/>
                <w:b w:val="0"/>
                <w:bCs w:val="0"/>
                <w:noProof/>
                <w:webHidden/>
                <w:sz w:val="24"/>
                <w:szCs w:val="24"/>
              </w:rPr>
              <w:fldChar w:fldCharType="end"/>
            </w:r>
          </w:hyperlink>
        </w:p>
        <w:p w14:paraId="4D5BEA4B" w14:textId="11B80533"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59" w:history="1">
            <w:r w:rsidR="00FA0E63" w:rsidRPr="00FA0E63">
              <w:rPr>
                <w:rStyle w:val="Hyperlink"/>
                <w:rFonts w:ascii="Arial" w:hAnsi="Arial" w:cs="Arial"/>
                <w:b w:val="0"/>
                <w:bCs w:val="0"/>
                <w:noProof/>
                <w:sz w:val="24"/>
                <w:szCs w:val="24"/>
                <w:lang w:val="en-GB"/>
              </w:rPr>
              <w:t>2.5 Gearing / Solvency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_Toc224288359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12</w:t>
            </w:r>
            <w:r w:rsidR="00FA0E63" w:rsidRPr="00FA0E63">
              <w:rPr>
                <w:rFonts w:ascii="Arial" w:hAnsi="Arial" w:cs="Arial"/>
                <w:b w:val="0"/>
                <w:bCs w:val="0"/>
                <w:noProof/>
                <w:webHidden/>
                <w:sz w:val="24"/>
                <w:szCs w:val="24"/>
              </w:rPr>
              <w:fldChar w:fldCharType="end"/>
            </w:r>
          </w:hyperlink>
        </w:p>
        <w:p w14:paraId="5A382167" w14:textId="5A0FE682"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0" w:history="1">
            <w:r w:rsidR="00FA0E63" w:rsidRPr="00FA0E63">
              <w:rPr>
                <w:rStyle w:val="Hyperlink"/>
                <w:rFonts w:ascii="Arial" w:hAnsi="Arial" w:cs="Arial"/>
                <w:b w:val="0"/>
                <w:bCs w:val="0"/>
                <w:noProof/>
                <w:sz w:val="24"/>
                <w:szCs w:val="24"/>
                <w:lang w:val="en-GB"/>
              </w:rPr>
              <w:t>2.6 Investment and Cash Flow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_Toc224288360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13</w:t>
            </w:r>
            <w:r w:rsidR="00FA0E63" w:rsidRPr="00FA0E63">
              <w:rPr>
                <w:rFonts w:ascii="Arial" w:hAnsi="Arial" w:cs="Arial"/>
                <w:b w:val="0"/>
                <w:bCs w:val="0"/>
                <w:noProof/>
                <w:webHidden/>
                <w:sz w:val="24"/>
                <w:szCs w:val="24"/>
              </w:rPr>
              <w:fldChar w:fldCharType="end"/>
            </w:r>
          </w:hyperlink>
        </w:p>
        <w:p w14:paraId="3666444F" w14:textId="322B2CD9"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61" w:history="1">
            <w:r w:rsidR="00FA0E63" w:rsidRPr="00FA0E63">
              <w:rPr>
                <w:rStyle w:val="Hyperlink"/>
                <w:rFonts w:ascii="Arial" w:hAnsi="Arial" w:cs="Arial"/>
                <w:b w:val="0"/>
                <w:bCs w:val="0"/>
                <w:i w:val="0"/>
                <w:iCs w:val="0"/>
                <w:noProof/>
                <w:lang w:val="en-GB"/>
              </w:rPr>
              <w:t>3. Working Capital Management Analysis</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_Toc224288361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13</w:t>
            </w:r>
            <w:r w:rsidR="00FA0E63" w:rsidRPr="00FA0E63">
              <w:rPr>
                <w:rFonts w:ascii="Arial" w:hAnsi="Arial" w:cs="Arial"/>
                <w:b w:val="0"/>
                <w:bCs w:val="0"/>
                <w:i w:val="0"/>
                <w:iCs w:val="0"/>
                <w:noProof/>
                <w:webHidden/>
              </w:rPr>
              <w:fldChar w:fldCharType="end"/>
            </w:r>
          </w:hyperlink>
        </w:p>
        <w:p w14:paraId="0C576704" w14:textId="5BC7E15F"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2" w:history="1">
            <w:r w:rsidR="00FA0E63" w:rsidRPr="00FA0E63">
              <w:rPr>
                <w:rStyle w:val="Hyperlink"/>
                <w:rFonts w:ascii="Arial" w:hAnsi="Arial" w:cs="Arial"/>
                <w:b w:val="0"/>
                <w:bCs w:val="0"/>
                <w:noProof/>
                <w:sz w:val="24"/>
                <w:szCs w:val="24"/>
                <w:lang w:val="en-GB"/>
              </w:rPr>
              <w:t>3.1 Tesla’s Cash Operating Cycle</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_Toc224288362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13</w:t>
            </w:r>
            <w:r w:rsidR="00FA0E63" w:rsidRPr="00FA0E63">
              <w:rPr>
                <w:rFonts w:ascii="Arial" w:hAnsi="Arial" w:cs="Arial"/>
                <w:b w:val="0"/>
                <w:bCs w:val="0"/>
                <w:noProof/>
                <w:webHidden/>
                <w:sz w:val="24"/>
                <w:szCs w:val="24"/>
              </w:rPr>
              <w:fldChar w:fldCharType="end"/>
            </w:r>
          </w:hyperlink>
        </w:p>
        <w:p w14:paraId="1017AF8A" w14:textId="10473715"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3" w:history="1">
            <w:r w:rsidR="00FA0E63" w:rsidRPr="00FA0E63">
              <w:rPr>
                <w:rStyle w:val="Hyperlink"/>
                <w:rFonts w:ascii="Arial" w:hAnsi="Arial" w:cs="Arial"/>
                <w:b w:val="0"/>
                <w:bCs w:val="0"/>
                <w:noProof/>
                <w:sz w:val="24"/>
                <w:szCs w:val="24"/>
                <w:lang w:val="en-GB"/>
              </w:rPr>
              <w:t>3.2 Liquidity Improvement Strategies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_Toc224288363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14</w:t>
            </w:r>
            <w:r w:rsidR="00FA0E63" w:rsidRPr="00FA0E63">
              <w:rPr>
                <w:rFonts w:ascii="Arial" w:hAnsi="Arial" w:cs="Arial"/>
                <w:b w:val="0"/>
                <w:bCs w:val="0"/>
                <w:noProof/>
                <w:webHidden/>
                <w:sz w:val="24"/>
                <w:szCs w:val="24"/>
              </w:rPr>
              <w:fldChar w:fldCharType="end"/>
            </w:r>
          </w:hyperlink>
        </w:p>
        <w:p w14:paraId="77B6059D" w14:textId="631D9BC6"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4" w:history="1">
            <w:r w:rsidR="00FA0E63" w:rsidRPr="00FA0E63">
              <w:rPr>
                <w:rStyle w:val="Hyperlink"/>
                <w:rFonts w:ascii="Arial" w:hAnsi="Arial" w:cs="Arial"/>
                <w:b w:val="0"/>
                <w:bCs w:val="0"/>
                <w:noProof/>
                <w:sz w:val="24"/>
                <w:szCs w:val="24"/>
                <w:lang w:val="en-GB"/>
              </w:rPr>
              <w:t>3.3 Financing Working Capital</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_Toc224288364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14</w:t>
            </w:r>
            <w:r w:rsidR="00FA0E63" w:rsidRPr="00FA0E63">
              <w:rPr>
                <w:rFonts w:ascii="Arial" w:hAnsi="Arial" w:cs="Arial"/>
                <w:b w:val="0"/>
                <w:bCs w:val="0"/>
                <w:noProof/>
                <w:webHidden/>
                <w:sz w:val="24"/>
                <w:szCs w:val="24"/>
              </w:rPr>
              <w:fldChar w:fldCharType="end"/>
            </w:r>
          </w:hyperlink>
        </w:p>
        <w:p w14:paraId="1D0258FD" w14:textId="18884A29"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65" w:history="1">
            <w:r w:rsidR="00FA0E63" w:rsidRPr="00FA0E63">
              <w:rPr>
                <w:rStyle w:val="Hyperlink"/>
                <w:rFonts w:ascii="Arial" w:hAnsi="Arial" w:cs="Arial"/>
                <w:b w:val="0"/>
                <w:bCs w:val="0"/>
                <w:i w:val="0"/>
                <w:iCs w:val="0"/>
                <w:noProof/>
                <w:lang w:val="en-GB"/>
              </w:rPr>
              <w:t>4. Strategic Financial Restructuring Plan</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_Toc224288365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15</w:t>
            </w:r>
            <w:r w:rsidR="00FA0E63" w:rsidRPr="00FA0E63">
              <w:rPr>
                <w:rFonts w:ascii="Arial" w:hAnsi="Arial" w:cs="Arial"/>
                <w:b w:val="0"/>
                <w:bCs w:val="0"/>
                <w:i w:val="0"/>
                <w:iCs w:val="0"/>
                <w:noProof/>
                <w:webHidden/>
              </w:rPr>
              <w:fldChar w:fldCharType="end"/>
            </w:r>
          </w:hyperlink>
        </w:p>
        <w:p w14:paraId="7E1CAC9C" w14:textId="66657282"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6" w:history="1">
            <w:r w:rsidR="00FA0E63" w:rsidRPr="00FA0E63">
              <w:rPr>
                <w:rStyle w:val="Hyperlink"/>
                <w:rFonts w:ascii="Arial" w:hAnsi="Arial" w:cs="Arial"/>
                <w:b w:val="0"/>
                <w:bCs w:val="0"/>
                <w:noProof/>
                <w:sz w:val="24"/>
                <w:szCs w:val="24"/>
                <w:lang w:val="en-GB"/>
              </w:rPr>
              <w:t>4.1 Need for Financial Restructuring</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_Toc224288366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15</w:t>
            </w:r>
            <w:r w:rsidR="00FA0E63" w:rsidRPr="00FA0E63">
              <w:rPr>
                <w:rFonts w:ascii="Arial" w:hAnsi="Arial" w:cs="Arial"/>
                <w:b w:val="0"/>
                <w:bCs w:val="0"/>
                <w:noProof/>
                <w:webHidden/>
                <w:sz w:val="24"/>
                <w:szCs w:val="24"/>
              </w:rPr>
              <w:fldChar w:fldCharType="end"/>
            </w:r>
          </w:hyperlink>
        </w:p>
        <w:p w14:paraId="2D16E08C" w14:textId="16FF5BA9"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7" w:history="1">
            <w:r w:rsidR="00FA0E63" w:rsidRPr="00FA0E63">
              <w:rPr>
                <w:rStyle w:val="Hyperlink"/>
                <w:rFonts w:ascii="Arial" w:hAnsi="Arial" w:cs="Arial"/>
                <w:b w:val="0"/>
                <w:bCs w:val="0"/>
                <w:noProof/>
                <w:sz w:val="24"/>
                <w:szCs w:val="24"/>
                <w:lang w:val="en-GB"/>
              </w:rPr>
              <w:t>4.2 Proposed Financial Restructuring Strategies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_Toc224288367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16</w:t>
            </w:r>
            <w:r w:rsidR="00FA0E63" w:rsidRPr="00FA0E63">
              <w:rPr>
                <w:rFonts w:ascii="Arial" w:hAnsi="Arial" w:cs="Arial"/>
                <w:b w:val="0"/>
                <w:bCs w:val="0"/>
                <w:noProof/>
                <w:webHidden/>
                <w:sz w:val="24"/>
                <w:szCs w:val="24"/>
              </w:rPr>
              <w:fldChar w:fldCharType="end"/>
            </w:r>
          </w:hyperlink>
        </w:p>
        <w:p w14:paraId="61B128B5" w14:textId="34C8DB46"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8" w:history="1">
            <w:r w:rsidR="00FA0E63" w:rsidRPr="00FA0E63">
              <w:rPr>
                <w:rStyle w:val="Hyperlink"/>
                <w:rFonts w:ascii="Arial" w:hAnsi="Arial" w:cs="Arial"/>
                <w:b w:val="0"/>
                <w:bCs w:val="0"/>
                <w:noProof/>
                <w:sz w:val="24"/>
                <w:szCs w:val="24"/>
                <w:lang w:val="en-GB"/>
              </w:rPr>
              <w:t>4.3 Impact on Shareholder Value and Capital Structure</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_Toc224288368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17</w:t>
            </w:r>
            <w:r w:rsidR="00FA0E63" w:rsidRPr="00FA0E63">
              <w:rPr>
                <w:rFonts w:ascii="Arial" w:hAnsi="Arial" w:cs="Arial"/>
                <w:b w:val="0"/>
                <w:bCs w:val="0"/>
                <w:noProof/>
                <w:webHidden/>
                <w:sz w:val="24"/>
                <w:szCs w:val="24"/>
              </w:rPr>
              <w:fldChar w:fldCharType="end"/>
            </w:r>
          </w:hyperlink>
        </w:p>
        <w:p w14:paraId="64739D64" w14:textId="70856887"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69" w:history="1">
            <w:r w:rsidR="00FA0E63" w:rsidRPr="00FA0E63">
              <w:rPr>
                <w:rStyle w:val="Hyperlink"/>
                <w:rFonts w:ascii="Arial" w:hAnsi="Arial" w:cs="Arial"/>
                <w:b w:val="0"/>
                <w:bCs w:val="0"/>
                <w:noProof/>
                <w:sz w:val="24"/>
                <w:szCs w:val="24"/>
                <w:lang w:val="en-GB"/>
              </w:rPr>
              <w:t>4.4 International and Ethical Considerations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_Toc224288369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18</w:t>
            </w:r>
            <w:r w:rsidR="00FA0E63" w:rsidRPr="00FA0E63">
              <w:rPr>
                <w:rFonts w:ascii="Arial" w:hAnsi="Arial" w:cs="Arial"/>
                <w:b w:val="0"/>
                <w:bCs w:val="0"/>
                <w:noProof/>
                <w:webHidden/>
                <w:sz w:val="24"/>
                <w:szCs w:val="24"/>
              </w:rPr>
              <w:fldChar w:fldCharType="end"/>
            </w:r>
          </w:hyperlink>
        </w:p>
        <w:p w14:paraId="4269E5E9" w14:textId="1AFD23B4"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70" w:history="1">
            <w:r w:rsidR="00FA0E63" w:rsidRPr="00FA0E63">
              <w:rPr>
                <w:rStyle w:val="Hyperlink"/>
                <w:rFonts w:ascii="Arial" w:hAnsi="Arial" w:cs="Arial"/>
                <w:b w:val="0"/>
                <w:bCs w:val="0"/>
                <w:i w:val="0"/>
                <w:iCs w:val="0"/>
                <w:noProof/>
                <w:lang w:val="en-GB"/>
              </w:rPr>
              <w:t>5. Investment Appraisal and Capital Budgeting</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_Toc224288370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18</w:t>
            </w:r>
            <w:r w:rsidR="00FA0E63" w:rsidRPr="00FA0E63">
              <w:rPr>
                <w:rFonts w:ascii="Arial" w:hAnsi="Arial" w:cs="Arial"/>
                <w:b w:val="0"/>
                <w:bCs w:val="0"/>
                <w:i w:val="0"/>
                <w:iCs w:val="0"/>
                <w:noProof/>
                <w:webHidden/>
              </w:rPr>
              <w:fldChar w:fldCharType="end"/>
            </w:r>
          </w:hyperlink>
        </w:p>
        <w:p w14:paraId="73A5FAA7" w14:textId="3D94A7F6"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71" w:history="1">
            <w:r w:rsidR="00FA0E63" w:rsidRPr="00FA0E63">
              <w:rPr>
                <w:rStyle w:val="Hyperlink"/>
                <w:rFonts w:ascii="Arial" w:hAnsi="Arial" w:cs="Arial"/>
                <w:b w:val="0"/>
                <w:bCs w:val="0"/>
                <w:i w:val="0"/>
                <w:iCs w:val="0"/>
                <w:noProof/>
                <w:lang w:val="en-GB"/>
              </w:rPr>
              <w:t>5.1 Overview of Capital Budgeting in Strategic Investment</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_Toc224288371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18</w:t>
            </w:r>
            <w:r w:rsidR="00FA0E63" w:rsidRPr="00FA0E63">
              <w:rPr>
                <w:rFonts w:ascii="Arial" w:hAnsi="Arial" w:cs="Arial"/>
                <w:b w:val="0"/>
                <w:bCs w:val="0"/>
                <w:i w:val="0"/>
                <w:iCs w:val="0"/>
                <w:noProof/>
                <w:webHidden/>
              </w:rPr>
              <w:fldChar w:fldCharType="end"/>
            </w:r>
          </w:hyperlink>
        </w:p>
        <w:p w14:paraId="418DBECC" w14:textId="721EFA99"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2" w:history="1">
            <w:r w:rsidR="00FA0E63" w:rsidRPr="00FA0E63">
              <w:rPr>
                <w:rStyle w:val="Hyperlink"/>
                <w:rFonts w:ascii="Arial" w:hAnsi="Arial" w:cs="Arial"/>
                <w:b w:val="0"/>
                <w:bCs w:val="0"/>
                <w:noProof/>
                <w:sz w:val="24"/>
                <w:szCs w:val="24"/>
                <w:lang w:val="en-GB"/>
              </w:rPr>
              <w:t>5.2 Payback Period (PBP)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_Toc224288372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19</w:t>
            </w:r>
            <w:r w:rsidR="00FA0E63" w:rsidRPr="00FA0E63">
              <w:rPr>
                <w:rFonts w:ascii="Arial" w:hAnsi="Arial" w:cs="Arial"/>
                <w:b w:val="0"/>
                <w:bCs w:val="0"/>
                <w:noProof/>
                <w:webHidden/>
                <w:sz w:val="24"/>
                <w:szCs w:val="24"/>
              </w:rPr>
              <w:fldChar w:fldCharType="end"/>
            </w:r>
          </w:hyperlink>
        </w:p>
        <w:p w14:paraId="75DD61C3" w14:textId="7FC01FB8"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3" w:history="1">
            <w:r w:rsidR="00FA0E63" w:rsidRPr="00FA0E63">
              <w:rPr>
                <w:rStyle w:val="Hyperlink"/>
                <w:rFonts w:ascii="Arial" w:hAnsi="Arial" w:cs="Arial"/>
                <w:b w:val="0"/>
                <w:bCs w:val="0"/>
                <w:noProof/>
                <w:sz w:val="24"/>
                <w:szCs w:val="24"/>
                <w:lang w:val="en-GB"/>
              </w:rPr>
              <w:t>5.3 Accounting Rate of Return (ARR)</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_Toc224288373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19</w:t>
            </w:r>
            <w:r w:rsidR="00FA0E63" w:rsidRPr="00FA0E63">
              <w:rPr>
                <w:rFonts w:ascii="Arial" w:hAnsi="Arial" w:cs="Arial"/>
                <w:b w:val="0"/>
                <w:bCs w:val="0"/>
                <w:noProof/>
                <w:webHidden/>
                <w:sz w:val="24"/>
                <w:szCs w:val="24"/>
              </w:rPr>
              <w:fldChar w:fldCharType="end"/>
            </w:r>
          </w:hyperlink>
        </w:p>
        <w:p w14:paraId="48FC64E2" w14:textId="01BDF332"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4" w:history="1">
            <w:r w:rsidR="00FA0E63" w:rsidRPr="00FA0E63">
              <w:rPr>
                <w:rStyle w:val="Hyperlink"/>
                <w:rFonts w:ascii="Arial" w:hAnsi="Arial" w:cs="Arial"/>
                <w:b w:val="0"/>
                <w:bCs w:val="0"/>
                <w:noProof/>
                <w:sz w:val="24"/>
                <w:szCs w:val="24"/>
                <w:lang w:val="en-GB"/>
              </w:rPr>
              <w:t>5.4 Net Present Value (NPV)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_Toc224288374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20</w:t>
            </w:r>
            <w:r w:rsidR="00FA0E63" w:rsidRPr="00FA0E63">
              <w:rPr>
                <w:rFonts w:ascii="Arial" w:hAnsi="Arial" w:cs="Arial"/>
                <w:b w:val="0"/>
                <w:bCs w:val="0"/>
                <w:noProof/>
                <w:webHidden/>
                <w:sz w:val="24"/>
                <w:szCs w:val="24"/>
              </w:rPr>
              <w:fldChar w:fldCharType="end"/>
            </w:r>
          </w:hyperlink>
        </w:p>
        <w:p w14:paraId="15B71370" w14:textId="7AB7A094"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5" w:history="1">
            <w:r w:rsidR="00FA0E63" w:rsidRPr="00FA0E63">
              <w:rPr>
                <w:rStyle w:val="Hyperlink"/>
                <w:rFonts w:ascii="Arial" w:hAnsi="Arial" w:cs="Arial"/>
                <w:b w:val="0"/>
                <w:bCs w:val="0"/>
                <w:noProof/>
                <w:sz w:val="24"/>
                <w:szCs w:val="24"/>
                <w:lang w:val="en-GB"/>
              </w:rPr>
              <w:t>5.5 Internal Rate of Return (IRR)</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_Toc224288375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20</w:t>
            </w:r>
            <w:r w:rsidR="00FA0E63" w:rsidRPr="00FA0E63">
              <w:rPr>
                <w:rFonts w:ascii="Arial" w:hAnsi="Arial" w:cs="Arial"/>
                <w:b w:val="0"/>
                <w:bCs w:val="0"/>
                <w:noProof/>
                <w:webHidden/>
                <w:sz w:val="24"/>
                <w:szCs w:val="24"/>
              </w:rPr>
              <w:fldChar w:fldCharType="end"/>
            </w:r>
          </w:hyperlink>
        </w:p>
        <w:p w14:paraId="2B71614B" w14:textId="69C535EC"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6" w:history="1">
            <w:r w:rsidR="00FA0E63" w:rsidRPr="00FA0E63">
              <w:rPr>
                <w:rStyle w:val="Hyperlink"/>
                <w:rFonts w:ascii="Arial" w:hAnsi="Arial" w:cs="Arial"/>
                <w:b w:val="0"/>
                <w:bCs w:val="0"/>
                <w:noProof/>
                <w:sz w:val="24"/>
                <w:szCs w:val="24"/>
                <w:lang w:val="en-GB"/>
              </w:rPr>
              <w:t>5.6 Profitability Index (PI)</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_Toc224288376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21</w:t>
            </w:r>
            <w:r w:rsidR="00FA0E63" w:rsidRPr="00FA0E63">
              <w:rPr>
                <w:rFonts w:ascii="Arial" w:hAnsi="Arial" w:cs="Arial"/>
                <w:b w:val="0"/>
                <w:bCs w:val="0"/>
                <w:noProof/>
                <w:webHidden/>
                <w:sz w:val="24"/>
                <w:szCs w:val="24"/>
              </w:rPr>
              <w:fldChar w:fldCharType="end"/>
            </w:r>
          </w:hyperlink>
        </w:p>
        <w:p w14:paraId="37AE372A" w14:textId="0912470E"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7" w:history="1">
            <w:r w:rsidR="00FA0E63" w:rsidRPr="00FA0E63">
              <w:rPr>
                <w:rStyle w:val="Hyperlink"/>
                <w:rFonts w:ascii="Arial" w:hAnsi="Arial" w:cs="Arial"/>
                <w:b w:val="0"/>
                <w:bCs w:val="0"/>
                <w:noProof/>
                <w:sz w:val="24"/>
                <w:szCs w:val="24"/>
                <w:lang w:val="en-GB"/>
              </w:rPr>
              <w:t>5.7 Investment Decision Recommendation</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_Toc224288377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21</w:t>
            </w:r>
            <w:r w:rsidR="00FA0E63" w:rsidRPr="00FA0E63">
              <w:rPr>
                <w:rFonts w:ascii="Arial" w:hAnsi="Arial" w:cs="Arial"/>
                <w:b w:val="0"/>
                <w:bCs w:val="0"/>
                <w:noProof/>
                <w:webHidden/>
                <w:sz w:val="24"/>
                <w:szCs w:val="24"/>
              </w:rPr>
              <w:fldChar w:fldCharType="end"/>
            </w:r>
          </w:hyperlink>
        </w:p>
        <w:p w14:paraId="31871396" w14:textId="29FA44CB"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78" w:history="1">
            <w:r w:rsidR="00FA0E63" w:rsidRPr="00FA0E63">
              <w:rPr>
                <w:rStyle w:val="Hyperlink"/>
                <w:rFonts w:ascii="Arial" w:hAnsi="Arial" w:cs="Arial"/>
                <w:b w:val="0"/>
                <w:bCs w:val="0"/>
                <w:noProof/>
                <w:sz w:val="24"/>
                <w:szCs w:val="24"/>
                <w:lang w:val="en-GB"/>
              </w:rPr>
              <w:t>5.8 Capital Rationing Decision</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_Toc224288378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21</w:t>
            </w:r>
            <w:r w:rsidR="00FA0E63" w:rsidRPr="00FA0E63">
              <w:rPr>
                <w:rFonts w:ascii="Arial" w:hAnsi="Arial" w:cs="Arial"/>
                <w:b w:val="0"/>
                <w:bCs w:val="0"/>
                <w:noProof/>
                <w:webHidden/>
                <w:sz w:val="24"/>
                <w:szCs w:val="24"/>
              </w:rPr>
              <w:fldChar w:fldCharType="end"/>
            </w:r>
          </w:hyperlink>
        </w:p>
        <w:p w14:paraId="2607265A" w14:textId="0D99B545"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79" w:history="1">
            <w:r w:rsidR="00FA0E63" w:rsidRPr="00FA0E63">
              <w:rPr>
                <w:rStyle w:val="Hyperlink"/>
                <w:rFonts w:ascii="Arial" w:hAnsi="Arial" w:cs="Arial"/>
                <w:b w:val="0"/>
                <w:bCs w:val="0"/>
                <w:i w:val="0"/>
                <w:iCs w:val="0"/>
                <w:noProof/>
                <w:lang w:val="en-GB"/>
              </w:rPr>
              <w:t>6. Conclusion</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_Toc224288379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22</w:t>
            </w:r>
            <w:r w:rsidR="00FA0E63" w:rsidRPr="00FA0E63">
              <w:rPr>
                <w:rFonts w:ascii="Arial" w:hAnsi="Arial" w:cs="Arial"/>
                <w:b w:val="0"/>
                <w:bCs w:val="0"/>
                <w:i w:val="0"/>
                <w:iCs w:val="0"/>
                <w:noProof/>
                <w:webHidden/>
              </w:rPr>
              <w:fldChar w:fldCharType="end"/>
            </w:r>
          </w:hyperlink>
        </w:p>
        <w:p w14:paraId="7B5721C2" w14:textId="191BEF07"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80" w:history="1">
            <w:r w:rsidR="00FA0E63" w:rsidRPr="00FA0E63">
              <w:rPr>
                <w:rStyle w:val="Hyperlink"/>
                <w:rFonts w:ascii="Arial" w:hAnsi="Arial" w:cs="Arial"/>
                <w:b w:val="0"/>
                <w:bCs w:val="0"/>
                <w:i w:val="0"/>
                <w:iCs w:val="0"/>
                <w:noProof/>
                <w:lang w:val="en-GB"/>
              </w:rPr>
              <w:t>References</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_Toc224288380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23</w:t>
            </w:r>
            <w:r w:rsidR="00FA0E63" w:rsidRPr="00FA0E63">
              <w:rPr>
                <w:rFonts w:ascii="Arial" w:hAnsi="Arial" w:cs="Arial"/>
                <w:b w:val="0"/>
                <w:bCs w:val="0"/>
                <w:i w:val="0"/>
                <w:iCs w:val="0"/>
                <w:noProof/>
                <w:webHidden/>
              </w:rPr>
              <w:fldChar w:fldCharType="end"/>
            </w:r>
          </w:hyperlink>
        </w:p>
        <w:p w14:paraId="58B7123A" w14:textId="3D8D9AD4" w:rsidR="00FA0E63" w:rsidRPr="00FA0E63" w:rsidRDefault="00CF1F89" w:rsidP="00FA0E63">
          <w:pPr>
            <w:pStyle w:val="TOC1"/>
            <w:tabs>
              <w:tab w:val="right" w:leader="dot" w:pos="9016"/>
            </w:tabs>
            <w:jc w:val="both"/>
            <w:rPr>
              <w:rFonts w:ascii="Arial" w:eastAsiaTheme="minorEastAsia" w:hAnsi="Arial" w:cs="Arial"/>
              <w:b w:val="0"/>
              <w:bCs w:val="0"/>
              <w:i w:val="0"/>
              <w:iCs w:val="0"/>
              <w:noProof/>
              <w:lang w:val="en-IN" w:eastAsia="en-IN"/>
            </w:rPr>
          </w:pPr>
          <w:hyperlink w:anchor="_Toc224288381" w:history="1">
            <w:r w:rsidR="00FA0E63" w:rsidRPr="00FA0E63">
              <w:rPr>
                <w:rStyle w:val="Hyperlink"/>
                <w:rFonts w:ascii="Arial" w:hAnsi="Arial" w:cs="Arial"/>
                <w:b w:val="0"/>
                <w:bCs w:val="0"/>
                <w:i w:val="0"/>
                <w:iCs w:val="0"/>
                <w:noProof/>
                <w:lang w:val="en-GB"/>
              </w:rPr>
              <w:t>Appendices</w:t>
            </w:r>
            <w:r w:rsidR="00FA0E63" w:rsidRPr="00FA0E63">
              <w:rPr>
                <w:rFonts w:ascii="Arial" w:hAnsi="Arial" w:cs="Arial"/>
                <w:b w:val="0"/>
                <w:bCs w:val="0"/>
                <w:i w:val="0"/>
                <w:iCs w:val="0"/>
                <w:noProof/>
                <w:webHidden/>
              </w:rPr>
              <w:tab/>
            </w:r>
            <w:r w:rsidR="00FA0E63" w:rsidRPr="00FA0E63">
              <w:rPr>
                <w:rFonts w:ascii="Arial" w:hAnsi="Arial" w:cs="Arial"/>
                <w:b w:val="0"/>
                <w:bCs w:val="0"/>
                <w:i w:val="0"/>
                <w:iCs w:val="0"/>
                <w:noProof/>
                <w:webHidden/>
              </w:rPr>
              <w:fldChar w:fldCharType="begin"/>
            </w:r>
            <w:r w:rsidR="00FA0E63" w:rsidRPr="00FA0E63">
              <w:rPr>
                <w:rFonts w:ascii="Arial" w:hAnsi="Arial" w:cs="Arial"/>
                <w:b w:val="0"/>
                <w:bCs w:val="0"/>
                <w:i w:val="0"/>
                <w:iCs w:val="0"/>
                <w:noProof/>
                <w:webHidden/>
              </w:rPr>
              <w:instrText xml:space="preserve"> PAGEREF _Toc224288381 \h </w:instrText>
            </w:r>
            <w:r w:rsidR="00FA0E63" w:rsidRPr="00FA0E63">
              <w:rPr>
                <w:rFonts w:ascii="Arial" w:hAnsi="Arial" w:cs="Arial"/>
                <w:b w:val="0"/>
                <w:bCs w:val="0"/>
                <w:i w:val="0"/>
                <w:iCs w:val="0"/>
                <w:noProof/>
                <w:webHidden/>
              </w:rPr>
            </w:r>
            <w:r w:rsidR="00FA0E63" w:rsidRPr="00FA0E63">
              <w:rPr>
                <w:rFonts w:ascii="Arial" w:hAnsi="Arial" w:cs="Arial"/>
                <w:b w:val="0"/>
                <w:bCs w:val="0"/>
                <w:i w:val="0"/>
                <w:iCs w:val="0"/>
                <w:noProof/>
                <w:webHidden/>
              </w:rPr>
              <w:fldChar w:fldCharType="separate"/>
            </w:r>
            <w:r w:rsidR="00FA0E63" w:rsidRPr="00FA0E63">
              <w:rPr>
                <w:rFonts w:ascii="Arial" w:hAnsi="Arial" w:cs="Arial"/>
                <w:b w:val="0"/>
                <w:bCs w:val="0"/>
                <w:i w:val="0"/>
                <w:iCs w:val="0"/>
                <w:noProof/>
                <w:webHidden/>
              </w:rPr>
              <w:t>29</w:t>
            </w:r>
            <w:r w:rsidR="00FA0E63" w:rsidRPr="00FA0E63">
              <w:rPr>
                <w:rFonts w:ascii="Arial" w:hAnsi="Arial" w:cs="Arial"/>
                <w:b w:val="0"/>
                <w:bCs w:val="0"/>
                <w:i w:val="0"/>
                <w:iCs w:val="0"/>
                <w:noProof/>
                <w:webHidden/>
              </w:rPr>
              <w:fldChar w:fldCharType="end"/>
            </w:r>
          </w:hyperlink>
        </w:p>
        <w:p w14:paraId="02431391" w14:textId="7DF02726"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82" w:history="1">
            <w:r w:rsidR="00FA0E63" w:rsidRPr="00FA0E63">
              <w:rPr>
                <w:rStyle w:val="Hyperlink"/>
                <w:rFonts w:ascii="Arial" w:hAnsi="Arial" w:cs="Arial"/>
                <w:b w:val="0"/>
                <w:bCs w:val="0"/>
                <w:noProof/>
                <w:sz w:val="24"/>
                <w:szCs w:val="24"/>
                <w:lang w:val="en-GB"/>
              </w:rPr>
              <w:t>Appendix A: Income Statement of Tesla</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_Toc224288382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29</w:t>
            </w:r>
            <w:r w:rsidR="00FA0E63" w:rsidRPr="00FA0E63">
              <w:rPr>
                <w:rFonts w:ascii="Arial" w:hAnsi="Arial" w:cs="Arial"/>
                <w:b w:val="0"/>
                <w:bCs w:val="0"/>
                <w:noProof/>
                <w:webHidden/>
                <w:sz w:val="24"/>
                <w:szCs w:val="24"/>
              </w:rPr>
              <w:fldChar w:fldCharType="end"/>
            </w:r>
          </w:hyperlink>
        </w:p>
        <w:p w14:paraId="625242A4" w14:textId="3AD7C483"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83" w:history="1">
            <w:r w:rsidR="00FA0E63" w:rsidRPr="00FA0E63">
              <w:rPr>
                <w:rStyle w:val="Hyperlink"/>
                <w:rFonts w:ascii="Arial" w:hAnsi="Arial" w:cs="Arial"/>
                <w:b w:val="0"/>
                <w:bCs w:val="0"/>
                <w:noProof/>
                <w:sz w:val="24"/>
                <w:szCs w:val="24"/>
                <w:lang w:val="en-GB"/>
              </w:rPr>
              <w:t>Appendix B: Balance Sheet of Tesla</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_Toc224288383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31</w:t>
            </w:r>
            <w:r w:rsidR="00FA0E63" w:rsidRPr="00FA0E63">
              <w:rPr>
                <w:rFonts w:ascii="Arial" w:hAnsi="Arial" w:cs="Arial"/>
                <w:b w:val="0"/>
                <w:bCs w:val="0"/>
                <w:noProof/>
                <w:webHidden/>
                <w:sz w:val="24"/>
                <w:szCs w:val="24"/>
              </w:rPr>
              <w:fldChar w:fldCharType="end"/>
            </w:r>
          </w:hyperlink>
        </w:p>
        <w:p w14:paraId="08D38ACA" w14:textId="388EE648"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84" w:history="1">
            <w:r w:rsidR="00FA0E63" w:rsidRPr="00FA0E63">
              <w:rPr>
                <w:rStyle w:val="Hyperlink"/>
                <w:rFonts w:ascii="Arial" w:hAnsi="Arial" w:cs="Arial"/>
                <w:b w:val="0"/>
                <w:bCs w:val="0"/>
                <w:noProof/>
                <w:sz w:val="24"/>
                <w:szCs w:val="24"/>
                <w:lang w:val="en-GB"/>
              </w:rPr>
              <w:t>Appendix C: Cashflow Statement of Tesla</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_Toc224288384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34</w:t>
            </w:r>
            <w:r w:rsidR="00FA0E63" w:rsidRPr="00FA0E63">
              <w:rPr>
                <w:rFonts w:ascii="Arial" w:hAnsi="Arial" w:cs="Arial"/>
                <w:b w:val="0"/>
                <w:bCs w:val="0"/>
                <w:noProof/>
                <w:webHidden/>
                <w:sz w:val="24"/>
                <w:szCs w:val="24"/>
              </w:rPr>
              <w:fldChar w:fldCharType="end"/>
            </w:r>
          </w:hyperlink>
        </w:p>
        <w:p w14:paraId="36801F81" w14:textId="5B944F78"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85" w:history="1">
            <w:r w:rsidR="00FA0E63" w:rsidRPr="00FA0E63">
              <w:rPr>
                <w:rStyle w:val="Hyperlink"/>
                <w:rFonts w:ascii="Arial" w:hAnsi="Arial" w:cs="Arial"/>
                <w:b w:val="0"/>
                <w:bCs w:val="0"/>
                <w:noProof/>
                <w:sz w:val="24"/>
                <w:szCs w:val="24"/>
                <w:lang w:val="en-GB"/>
              </w:rPr>
              <w:t>Appendix D: Ratio Analysis</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_Toc224288385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36</w:t>
            </w:r>
            <w:r w:rsidR="00FA0E63" w:rsidRPr="00FA0E63">
              <w:rPr>
                <w:rFonts w:ascii="Arial" w:hAnsi="Arial" w:cs="Arial"/>
                <w:b w:val="0"/>
                <w:bCs w:val="0"/>
                <w:noProof/>
                <w:webHidden/>
                <w:sz w:val="24"/>
                <w:szCs w:val="24"/>
              </w:rPr>
              <w:fldChar w:fldCharType="end"/>
            </w:r>
          </w:hyperlink>
        </w:p>
        <w:p w14:paraId="6C457393" w14:textId="1B58253B" w:rsidR="00FA0E63" w:rsidRPr="00FA0E63" w:rsidRDefault="00CF1F89" w:rsidP="00FA0E63">
          <w:pPr>
            <w:pStyle w:val="TOC2"/>
            <w:tabs>
              <w:tab w:val="right" w:leader="dot" w:pos="9016"/>
            </w:tabs>
            <w:jc w:val="both"/>
            <w:rPr>
              <w:rFonts w:ascii="Arial" w:eastAsiaTheme="minorEastAsia" w:hAnsi="Arial" w:cs="Arial"/>
              <w:b w:val="0"/>
              <w:bCs w:val="0"/>
              <w:noProof/>
              <w:sz w:val="24"/>
              <w:szCs w:val="24"/>
              <w:lang w:val="en-IN" w:eastAsia="en-IN"/>
            </w:rPr>
          </w:pPr>
          <w:hyperlink w:anchor="_Toc224288386" w:history="1">
            <w:r w:rsidR="00FA0E63" w:rsidRPr="00FA0E63">
              <w:rPr>
                <w:rStyle w:val="Hyperlink"/>
                <w:rFonts w:ascii="Arial" w:hAnsi="Arial" w:cs="Arial"/>
                <w:b w:val="0"/>
                <w:bCs w:val="0"/>
                <w:noProof/>
                <w:sz w:val="24"/>
                <w:szCs w:val="24"/>
                <w:lang w:val="en-GB"/>
              </w:rPr>
              <w:t>Appendix E: Investment Appraisal</w:t>
            </w:r>
            <w:r w:rsidR="00FA0E63" w:rsidRPr="00FA0E63">
              <w:rPr>
                <w:rFonts w:ascii="Arial" w:hAnsi="Arial" w:cs="Arial"/>
                <w:b w:val="0"/>
                <w:bCs w:val="0"/>
                <w:noProof/>
                <w:webHidden/>
                <w:sz w:val="24"/>
                <w:szCs w:val="24"/>
              </w:rPr>
              <w:tab/>
            </w:r>
            <w:r w:rsidR="00FA0E63" w:rsidRPr="00FA0E63">
              <w:rPr>
                <w:rFonts w:ascii="Arial" w:hAnsi="Arial" w:cs="Arial"/>
                <w:b w:val="0"/>
                <w:bCs w:val="0"/>
                <w:noProof/>
                <w:webHidden/>
                <w:sz w:val="24"/>
                <w:szCs w:val="24"/>
              </w:rPr>
              <w:fldChar w:fldCharType="begin"/>
            </w:r>
            <w:r w:rsidR="00FA0E63" w:rsidRPr="00FA0E63">
              <w:rPr>
                <w:rFonts w:ascii="Arial" w:hAnsi="Arial" w:cs="Arial"/>
                <w:b w:val="0"/>
                <w:bCs w:val="0"/>
                <w:noProof/>
                <w:webHidden/>
                <w:sz w:val="24"/>
                <w:szCs w:val="24"/>
              </w:rPr>
              <w:instrText xml:space="preserve"> PAGEREF _Toc224288386 \h </w:instrText>
            </w:r>
            <w:r w:rsidR="00FA0E63" w:rsidRPr="00FA0E63">
              <w:rPr>
                <w:rFonts w:ascii="Arial" w:hAnsi="Arial" w:cs="Arial"/>
                <w:b w:val="0"/>
                <w:bCs w:val="0"/>
                <w:noProof/>
                <w:webHidden/>
                <w:sz w:val="24"/>
                <w:szCs w:val="24"/>
              </w:rPr>
            </w:r>
            <w:r w:rsidR="00FA0E63" w:rsidRPr="00FA0E63">
              <w:rPr>
                <w:rFonts w:ascii="Arial" w:hAnsi="Arial" w:cs="Arial"/>
                <w:b w:val="0"/>
                <w:bCs w:val="0"/>
                <w:noProof/>
                <w:webHidden/>
                <w:sz w:val="24"/>
                <w:szCs w:val="24"/>
              </w:rPr>
              <w:fldChar w:fldCharType="separate"/>
            </w:r>
            <w:r w:rsidR="00FA0E63" w:rsidRPr="00FA0E63">
              <w:rPr>
                <w:rFonts w:ascii="Arial" w:hAnsi="Arial" w:cs="Arial"/>
                <w:b w:val="0"/>
                <w:bCs w:val="0"/>
                <w:noProof/>
                <w:webHidden/>
                <w:sz w:val="24"/>
                <w:szCs w:val="24"/>
              </w:rPr>
              <w:t>37</w:t>
            </w:r>
            <w:r w:rsidR="00FA0E63" w:rsidRPr="00FA0E63">
              <w:rPr>
                <w:rFonts w:ascii="Arial" w:hAnsi="Arial" w:cs="Arial"/>
                <w:b w:val="0"/>
                <w:bCs w:val="0"/>
                <w:noProof/>
                <w:webHidden/>
                <w:sz w:val="24"/>
                <w:szCs w:val="24"/>
              </w:rPr>
              <w:fldChar w:fldCharType="end"/>
            </w:r>
          </w:hyperlink>
        </w:p>
        <w:p w14:paraId="355414C1" w14:textId="3F6FB4D4" w:rsidR="00CD2532" w:rsidRPr="00FA0E63" w:rsidRDefault="00CD2532" w:rsidP="00FA0E63">
          <w:pPr>
            <w:rPr>
              <w:rFonts w:ascii="Arial" w:hAnsi="Arial" w:cs="Arial"/>
              <w:noProof/>
              <w:lang w:val="en-GB"/>
            </w:rPr>
          </w:pPr>
          <w:r w:rsidRPr="00FA0E63">
            <w:rPr>
              <w:rFonts w:ascii="Arial" w:hAnsi="Arial" w:cs="Arial"/>
              <w:noProof/>
              <w:color w:val="000000" w:themeColor="text1"/>
              <w:lang w:val="en-GB"/>
            </w:rPr>
            <w:fldChar w:fldCharType="end"/>
          </w:r>
        </w:p>
      </w:sdtContent>
    </w:sdt>
    <w:p w14:paraId="65246A26" w14:textId="77777777" w:rsidR="00274884" w:rsidRPr="00487BD9" w:rsidRDefault="00274884" w:rsidP="00487BD9">
      <w:pPr>
        <w:rPr>
          <w:rFonts w:ascii="Arial" w:hAnsi="Arial" w:cs="Arial"/>
          <w:lang w:val="en-GB"/>
        </w:rPr>
      </w:pPr>
      <w:r w:rsidRPr="00487BD9">
        <w:rPr>
          <w:rFonts w:ascii="Arial" w:hAnsi="Arial" w:cs="Arial"/>
          <w:lang w:val="en-GB"/>
        </w:rPr>
        <w:br w:type="page"/>
      </w:r>
    </w:p>
    <w:p w14:paraId="03B86BEC" w14:textId="170EF818" w:rsidR="00274884" w:rsidRDefault="00274884" w:rsidP="00FA0E63">
      <w:pPr>
        <w:jc w:val="center"/>
        <w:rPr>
          <w:rFonts w:ascii="Arial" w:hAnsi="Arial" w:cs="Arial"/>
          <w:b/>
          <w:bCs/>
          <w:lang w:val="en-GB"/>
        </w:rPr>
      </w:pPr>
      <w:r w:rsidRPr="00FA0E63">
        <w:rPr>
          <w:rFonts w:ascii="Arial" w:hAnsi="Arial" w:cs="Arial"/>
          <w:b/>
          <w:bCs/>
          <w:lang w:val="en-GB"/>
        </w:rPr>
        <w:lastRenderedPageBreak/>
        <w:t>List of figures</w:t>
      </w:r>
    </w:p>
    <w:p w14:paraId="345074C1" w14:textId="77777777" w:rsidR="00FA0E63" w:rsidRPr="00FA0E63" w:rsidRDefault="00FA0E63" w:rsidP="00FA0E63">
      <w:pPr>
        <w:jc w:val="center"/>
        <w:rPr>
          <w:rFonts w:ascii="Arial" w:hAnsi="Arial" w:cs="Arial"/>
          <w:b/>
          <w:bCs/>
          <w:lang w:val="en-GB"/>
        </w:rPr>
      </w:pPr>
    </w:p>
    <w:p w14:paraId="488F7FB6" w14:textId="1D5FB3ED" w:rsidR="00FA0E63" w:rsidRPr="00FA0E63" w:rsidRDefault="00FA0E63" w:rsidP="00FA0E63">
      <w:pPr>
        <w:pStyle w:val="TableofFigures"/>
        <w:tabs>
          <w:tab w:val="right" w:leader="dot" w:pos="9016"/>
        </w:tabs>
        <w:rPr>
          <w:rFonts w:ascii="Arial" w:hAnsi="Arial" w:cs="Arial"/>
          <w:noProof/>
        </w:rPr>
      </w:pPr>
      <w:r w:rsidRPr="00FA0E63">
        <w:rPr>
          <w:rFonts w:ascii="Arial" w:hAnsi="Arial" w:cs="Arial"/>
          <w:lang w:val="en-GB"/>
        </w:rPr>
        <w:fldChar w:fldCharType="begin"/>
      </w:r>
      <w:r w:rsidRPr="00FA0E63">
        <w:rPr>
          <w:rFonts w:ascii="Arial" w:hAnsi="Arial" w:cs="Arial"/>
          <w:lang w:val="en-GB"/>
        </w:rPr>
        <w:instrText xml:space="preserve"> TOC \h \z \t "Heading 5" \c </w:instrText>
      </w:r>
      <w:r w:rsidRPr="00FA0E63">
        <w:rPr>
          <w:rFonts w:ascii="Arial" w:hAnsi="Arial" w:cs="Arial"/>
          <w:lang w:val="en-GB"/>
        </w:rPr>
        <w:fldChar w:fldCharType="separate"/>
      </w:r>
      <w:hyperlink w:anchor="_Toc224288341" w:history="1">
        <w:r w:rsidRPr="00FA0E63">
          <w:rPr>
            <w:rStyle w:val="Hyperlink"/>
            <w:rFonts w:ascii="Arial" w:hAnsi="Arial" w:cs="Arial"/>
            <w:noProof/>
          </w:rPr>
          <w:t>Figure 1: Gross Profit Margin</w:t>
        </w:r>
        <w:r w:rsidRPr="00FA0E63">
          <w:rPr>
            <w:rFonts w:ascii="Arial" w:hAnsi="Arial" w:cs="Arial"/>
            <w:noProof/>
            <w:webHidden/>
          </w:rPr>
          <w:tab/>
        </w:r>
        <w:r w:rsidRPr="00FA0E63">
          <w:rPr>
            <w:rFonts w:ascii="Arial" w:hAnsi="Arial" w:cs="Arial"/>
            <w:noProof/>
            <w:webHidden/>
          </w:rPr>
          <w:fldChar w:fldCharType="begin"/>
        </w:r>
        <w:r w:rsidRPr="00FA0E63">
          <w:rPr>
            <w:rFonts w:ascii="Arial" w:hAnsi="Arial" w:cs="Arial"/>
            <w:noProof/>
            <w:webHidden/>
          </w:rPr>
          <w:instrText xml:space="preserve"> PAGEREF _Toc224288341 \h </w:instrText>
        </w:r>
        <w:r w:rsidRPr="00FA0E63">
          <w:rPr>
            <w:rFonts w:ascii="Arial" w:hAnsi="Arial" w:cs="Arial"/>
            <w:noProof/>
            <w:webHidden/>
          </w:rPr>
        </w:r>
        <w:r w:rsidRPr="00FA0E63">
          <w:rPr>
            <w:rFonts w:ascii="Arial" w:hAnsi="Arial" w:cs="Arial"/>
            <w:noProof/>
            <w:webHidden/>
          </w:rPr>
          <w:fldChar w:fldCharType="separate"/>
        </w:r>
        <w:r w:rsidRPr="00FA0E63">
          <w:rPr>
            <w:rFonts w:ascii="Arial" w:hAnsi="Arial" w:cs="Arial"/>
            <w:noProof/>
            <w:webHidden/>
          </w:rPr>
          <w:t>6</w:t>
        </w:r>
        <w:r w:rsidRPr="00FA0E63">
          <w:rPr>
            <w:rFonts w:ascii="Arial" w:hAnsi="Arial" w:cs="Arial"/>
            <w:noProof/>
            <w:webHidden/>
          </w:rPr>
          <w:fldChar w:fldCharType="end"/>
        </w:r>
      </w:hyperlink>
    </w:p>
    <w:p w14:paraId="44235550" w14:textId="18F04224" w:rsidR="00FA0E63" w:rsidRPr="00FA0E63" w:rsidRDefault="00CF1F89" w:rsidP="00FA0E63">
      <w:pPr>
        <w:pStyle w:val="TableofFigures"/>
        <w:tabs>
          <w:tab w:val="right" w:leader="dot" w:pos="9016"/>
        </w:tabs>
        <w:rPr>
          <w:rFonts w:ascii="Arial" w:hAnsi="Arial" w:cs="Arial"/>
          <w:noProof/>
        </w:rPr>
      </w:pPr>
      <w:hyperlink w:anchor="_Toc224288342" w:history="1">
        <w:r w:rsidR="00FA0E63" w:rsidRPr="00FA0E63">
          <w:rPr>
            <w:rStyle w:val="Hyperlink"/>
            <w:rFonts w:ascii="Arial" w:hAnsi="Arial" w:cs="Arial"/>
            <w:noProof/>
          </w:rPr>
          <w:t>Figure 2: Operating Margin</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_Toc224288342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7</w:t>
        </w:r>
        <w:r w:rsidR="00FA0E63" w:rsidRPr="00FA0E63">
          <w:rPr>
            <w:rFonts w:ascii="Arial" w:hAnsi="Arial" w:cs="Arial"/>
            <w:noProof/>
            <w:webHidden/>
          </w:rPr>
          <w:fldChar w:fldCharType="end"/>
        </w:r>
      </w:hyperlink>
    </w:p>
    <w:p w14:paraId="1A8CC2FE" w14:textId="5D2AAF0E" w:rsidR="00FA0E63" w:rsidRPr="00FA0E63" w:rsidRDefault="00CF1F89" w:rsidP="00FA0E63">
      <w:pPr>
        <w:pStyle w:val="TableofFigures"/>
        <w:tabs>
          <w:tab w:val="right" w:leader="dot" w:pos="9016"/>
        </w:tabs>
        <w:rPr>
          <w:rFonts w:ascii="Arial" w:hAnsi="Arial" w:cs="Arial"/>
          <w:noProof/>
        </w:rPr>
      </w:pPr>
      <w:hyperlink w:anchor="_Toc224288343" w:history="1">
        <w:r w:rsidR="00FA0E63" w:rsidRPr="00FA0E63">
          <w:rPr>
            <w:rStyle w:val="Hyperlink"/>
            <w:rFonts w:ascii="Arial" w:hAnsi="Arial" w:cs="Arial"/>
            <w:noProof/>
          </w:rPr>
          <w:t>Figure 3: Net Profit Margin</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_Toc224288343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7</w:t>
        </w:r>
        <w:r w:rsidR="00FA0E63" w:rsidRPr="00FA0E63">
          <w:rPr>
            <w:rFonts w:ascii="Arial" w:hAnsi="Arial" w:cs="Arial"/>
            <w:noProof/>
            <w:webHidden/>
          </w:rPr>
          <w:fldChar w:fldCharType="end"/>
        </w:r>
      </w:hyperlink>
    </w:p>
    <w:p w14:paraId="25215774" w14:textId="62A149B7" w:rsidR="00FA0E63" w:rsidRPr="00FA0E63" w:rsidRDefault="00CF1F89" w:rsidP="00FA0E63">
      <w:pPr>
        <w:pStyle w:val="TableofFigures"/>
        <w:tabs>
          <w:tab w:val="right" w:leader="dot" w:pos="9016"/>
        </w:tabs>
        <w:rPr>
          <w:rFonts w:ascii="Arial" w:hAnsi="Arial" w:cs="Arial"/>
          <w:noProof/>
        </w:rPr>
      </w:pPr>
      <w:hyperlink w:anchor="_Toc224288344" w:history="1">
        <w:r w:rsidR="00FA0E63" w:rsidRPr="00FA0E63">
          <w:rPr>
            <w:rStyle w:val="Hyperlink"/>
            <w:rFonts w:ascii="Arial" w:hAnsi="Arial" w:cs="Arial"/>
            <w:noProof/>
          </w:rPr>
          <w:t>Figure 4: ROA</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_Toc224288344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8</w:t>
        </w:r>
        <w:r w:rsidR="00FA0E63" w:rsidRPr="00FA0E63">
          <w:rPr>
            <w:rFonts w:ascii="Arial" w:hAnsi="Arial" w:cs="Arial"/>
            <w:noProof/>
            <w:webHidden/>
          </w:rPr>
          <w:fldChar w:fldCharType="end"/>
        </w:r>
      </w:hyperlink>
    </w:p>
    <w:p w14:paraId="0B24B411" w14:textId="2C386456" w:rsidR="00FA0E63" w:rsidRPr="00FA0E63" w:rsidRDefault="00CF1F89" w:rsidP="00FA0E63">
      <w:pPr>
        <w:pStyle w:val="TableofFigures"/>
        <w:tabs>
          <w:tab w:val="right" w:leader="dot" w:pos="9016"/>
        </w:tabs>
        <w:rPr>
          <w:rFonts w:ascii="Arial" w:hAnsi="Arial" w:cs="Arial"/>
          <w:noProof/>
        </w:rPr>
      </w:pPr>
      <w:hyperlink w:anchor="_Toc224288345" w:history="1">
        <w:r w:rsidR="00FA0E63" w:rsidRPr="00FA0E63">
          <w:rPr>
            <w:rStyle w:val="Hyperlink"/>
            <w:rFonts w:ascii="Arial" w:hAnsi="Arial" w:cs="Arial"/>
            <w:noProof/>
          </w:rPr>
          <w:t>Figure 5: ROE</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_Toc224288345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9</w:t>
        </w:r>
        <w:r w:rsidR="00FA0E63" w:rsidRPr="00FA0E63">
          <w:rPr>
            <w:rFonts w:ascii="Arial" w:hAnsi="Arial" w:cs="Arial"/>
            <w:noProof/>
            <w:webHidden/>
          </w:rPr>
          <w:fldChar w:fldCharType="end"/>
        </w:r>
      </w:hyperlink>
    </w:p>
    <w:p w14:paraId="1A1CA920" w14:textId="156E2505" w:rsidR="00FA0E63" w:rsidRPr="00FA0E63" w:rsidRDefault="00CF1F89" w:rsidP="00FA0E63">
      <w:pPr>
        <w:pStyle w:val="TableofFigures"/>
        <w:tabs>
          <w:tab w:val="right" w:leader="dot" w:pos="9016"/>
        </w:tabs>
        <w:rPr>
          <w:rFonts w:ascii="Arial" w:hAnsi="Arial" w:cs="Arial"/>
          <w:noProof/>
        </w:rPr>
      </w:pPr>
      <w:hyperlink w:anchor="_Toc224288346" w:history="1">
        <w:r w:rsidR="00FA0E63" w:rsidRPr="00FA0E63">
          <w:rPr>
            <w:rStyle w:val="Hyperlink"/>
            <w:rFonts w:ascii="Arial" w:hAnsi="Arial" w:cs="Arial"/>
            <w:noProof/>
          </w:rPr>
          <w:t>Figure 6: Current Ratio</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_Toc224288346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10</w:t>
        </w:r>
        <w:r w:rsidR="00FA0E63" w:rsidRPr="00FA0E63">
          <w:rPr>
            <w:rFonts w:ascii="Arial" w:hAnsi="Arial" w:cs="Arial"/>
            <w:noProof/>
            <w:webHidden/>
          </w:rPr>
          <w:fldChar w:fldCharType="end"/>
        </w:r>
      </w:hyperlink>
    </w:p>
    <w:p w14:paraId="5890E5E6" w14:textId="466F22CB" w:rsidR="00FA0E63" w:rsidRPr="00FA0E63" w:rsidRDefault="00CF1F89" w:rsidP="00FA0E63">
      <w:pPr>
        <w:pStyle w:val="TableofFigures"/>
        <w:tabs>
          <w:tab w:val="right" w:leader="dot" w:pos="9016"/>
        </w:tabs>
        <w:rPr>
          <w:rFonts w:ascii="Arial" w:hAnsi="Arial" w:cs="Arial"/>
          <w:noProof/>
        </w:rPr>
      </w:pPr>
      <w:hyperlink w:anchor="_Toc224288347" w:history="1">
        <w:r w:rsidR="00FA0E63" w:rsidRPr="00FA0E63">
          <w:rPr>
            <w:rStyle w:val="Hyperlink"/>
            <w:rFonts w:ascii="Arial" w:hAnsi="Arial" w:cs="Arial"/>
            <w:noProof/>
          </w:rPr>
          <w:t>Figure 7: Quick Ratio</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_Toc224288347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10</w:t>
        </w:r>
        <w:r w:rsidR="00FA0E63" w:rsidRPr="00FA0E63">
          <w:rPr>
            <w:rFonts w:ascii="Arial" w:hAnsi="Arial" w:cs="Arial"/>
            <w:noProof/>
            <w:webHidden/>
          </w:rPr>
          <w:fldChar w:fldCharType="end"/>
        </w:r>
      </w:hyperlink>
    </w:p>
    <w:p w14:paraId="49D08803" w14:textId="71B72A40" w:rsidR="00FA0E63" w:rsidRPr="00FA0E63" w:rsidRDefault="00CF1F89" w:rsidP="00FA0E63">
      <w:pPr>
        <w:pStyle w:val="TableofFigures"/>
        <w:tabs>
          <w:tab w:val="right" w:leader="dot" w:pos="9016"/>
        </w:tabs>
        <w:rPr>
          <w:rFonts w:ascii="Arial" w:hAnsi="Arial" w:cs="Arial"/>
          <w:noProof/>
        </w:rPr>
      </w:pPr>
      <w:hyperlink w:anchor="_Toc224288348" w:history="1">
        <w:r w:rsidR="00FA0E63" w:rsidRPr="00FA0E63">
          <w:rPr>
            <w:rStyle w:val="Hyperlink"/>
            <w:rFonts w:ascii="Arial" w:hAnsi="Arial" w:cs="Arial"/>
            <w:noProof/>
          </w:rPr>
          <w:t>Figure 8: Asset Turnover Ratio</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_Toc224288348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11</w:t>
        </w:r>
        <w:r w:rsidR="00FA0E63" w:rsidRPr="00FA0E63">
          <w:rPr>
            <w:rFonts w:ascii="Arial" w:hAnsi="Arial" w:cs="Arial"/>
            <w:noProof/>
            <w:webHidden/>
          </w:rPr>
          <w:fldChar w:fldCharType="end"/>
        </w:r>
      </w:hyperlink>
    </w:p>
    <w:p w14:paraId="5FFEC4AA" w14:textId="5C5E7C9C" w:rsidR="00FA0E63" w:rsidRPr="00FA0E63" w:rsidRDefault="00CF1F89" w:rsidP="00FA0E63">
      <w:pPr>
        <w:pStyle w:val="TableofFigures"/>
        <w:tabs>
          <w:tab w:val="right" w:leader="dot" w:pos="9016"/>
        </w:tabs>
        <w:rPr>
          <w:rFonts w:ascii="Arial" w:hAnsi="Arial" w:cs="Arial"/>
          <w:noProof/>
        </w:rPr>
      </w:pPr>
      <w:hyperlink w:anchor="_Toc224288349" w:history="1">
        <w:r w:rsidR="00FA0E63" w:rsidRPr="00FA0E63">
          <w:rPr>
            <w:rStyle w:val="Hyperlink"/>
            <w:rFonts w:ascii="Arial" w:hAnsi="Arial" w:cs="Arial"/>
            <w:noProof/>
          </w:rPr>
          <w:t>Figure 9: Inventory Turnover Ratio</w:t>
        </w:r>
        <w:r w:rsidR="00FA0E63" w:rsidRPr="00FA0E63">
          <w:rPr>
            <w:rFonts w:ascii="Arial" w:hAnsi="Arial" w:cs="Arial"/>
            <w:noProof/>
            <w:webHidden/>
          </w:rPr>
          <w:tab/>
        </w:r>
        <w:r w:rsidR="00FA0E63" w:rsidRPr="00FA0E63">
          <w:rPr>
            <w:rFonts w:ascii="Arial" w:hAnsi="Arial" w:cs="Arial"/>
            <w:noProof/>
            <w:webHidden/>
          </w:rPr>
          <w:fldChar w:fldCharType="begin"/>
        </w:r>
        <w:r w:rsidR="00FA0E63" w:rsidRPr="00FA0E63">
          <w:rPr>
            <w:rFonts w:ascii="Arial" w:hAnsi="Arial" w:cs="Arial"/>
            <w:noProof/>
            <w:webHidden/>
          </w:rPr>
          <w:instrText xml:space="preserve"> PAGEREF _Toc224288349 \h </w:instrText>
        </w:r>
        <w:r w:rsidR="00FA0E63" w:rsidRPr="00FA0E63">
          <w:rPr>
            <w:rFonts w:ascii="Arial" w:hAnsi="Arial" w:cs="Arial"/>
            <w:noProof/>
            <w:webHidden/>
          </w:rPr>
        </w:r>
        <w:r w:rsidR="00FA0E63" w:rsidRPr="00FA0E63">
          <w:rPr>
            <w:rFonts w:ascii="Arial" w:hAnsi="Arial" w:cs="Arial"/>
            <w:noProof/>
            <w:webHidden/>
          </w:rPr>
          <w:fldChar w:fldCharType="separate"/>
        </w:r>
        <w:r w:rsidR="00FA0E63" w:rsidRPr="00FA0E63">
          <w:rPr>
            <w:rFonts w:ascii="Arial" w:hAnsi="Arial" w:cs="Arial"/>
            <w:noProof/>
            <w:webHidden/>
          </w:rPr>
          <w:t>12</w:t>
        </w:r>
        <w:r w:rsidR="00FA0E63" w:rsidRPr="00FA0E63">
          <w:rPr>
            <w:rFonts w:ascii="Arial" w:hAnsi="Arial" w:cs="Arial"/>
            <w:noProof/>
            <w:webHidden/>
          </w:rPr>
          <w:fldChar w:fldCharType="end"/>
        </w:r>
      </w:hyperlink>
    </w:p>
    <w:p w14:paraId="75ACEE9A" w14:textId="4BCB84F9" w:rsidR="00402CED" w:rsidRPr="00487BD9" w:rsidRDefault="00FA0E63" w:rsidP="00FA0E63">
      <w:pPr>
        <w:rPr>
          <w:rFonts w:ascii="Arial" w:hAnsi="Arial" w:cs="Arial"/>
          <w:lang w:val="en-GB"/>
        </w:rPr>
      </w:pPr>
      <w:r w:rsidRPr="00FA0E63">
        <w:rPr>
          <w:rFonts w:ascii="Arial" w:hAnsi="Arial" w:cs="Arial"/>
          <w:lang w:val="en-GB"/>
        </w:rPr>
        <w:fldChar w:fldCharType="end"/>
      </w:r>
      <w:r w:rsidR="00D045BC" w:rsidRPr="00487BD9">
        <w:rPr>
          <w:rFonts w:ascii="Arial" w:hAnsi="Arial" w:cs="Arial"/>
          <w:lang w:val="en-GB"/>
        </w:rPr>
        <w:br w:type="page"/>
      </w:r>
    </w:p>
    <w:p w14:paraId="064A7685" w14:textId="77777777" w:rsidR="00402CED" w:rsidRPr="00487BD9" w:rsidRDefault="00D045BC" w:rsidP="00487BD9">
      <w:pPr>
        <w:pStyle w:val="Heading1"/>
        <w:rPr>
          <w:rFonts w:ascii="Arial" w:hAnsi="Arial" w:cs="Arial"/>
          <w:lang w:val="en-GB"/>
        </w:rPr>
      </w:pPr>
      <w:bookmarkStart w:id="2" w:name="_iljob57mdufb" w:colFirst="0" w:colLast="0"/>
      <w:bookmarkStart w:id="3" w:name="_Toc224288353"/>
      <w:bookmarkEnd w:id="2"/>
      <w:r w:rsidRPr="00487BD9">
        <w:rPr>
          <w:rFonts w:ascii="Arial" w:hAnsi="Arial" w:cs="Arial"/>
          <w:lang w:val="en-GB"/>
        </w:rPr>
        <w:lastRenderedPageBreak/>
        <w:t>1. Introduction</w:t>
      </w:r>
      <w:bookmarkEnd w:id="3"/>
    </w:p>
    <w:p w14:paraId="71B1876F" w14:textId="240B2B38" w:rsidR="00402CED" w:rsidRPr="00487BD9" w:rsidRDefault="00D045BC" w:rsidP="00487BD9">
      <w:pPr>
        <w:rPr>
          <w:rFonts w:ascii="Arial" w:hAnsi="Arial" w:cs="Arial"/>
          <w:lang w:val="en-GB"/>
        </w:rPr>
      </w:pPr>
      <w:r w:rsidRPr="00487BD9">
        <w:rPr>
          <w:rFonts w:ascii="Arial" w:hAnsi="Arial" w:cs="Arial"/>
          <w:lang w:val="en-GB"/>
        </w:rPr>
        <w:t>The automotive sector worldwide is also moving towards sustainable transport, with electric cars being relevant in curbing carbon emissions. The industry competition has changed through technological innovation, digitalisation and battery development, with Tesla coming up as a dominant company due to its integrated system of electric vehicles, software and energy solutions. The innovation, mass production of the batteries and self-driving technology are the strategy of Tesla. Nevertheless, increasing costs of production, competition and Global supply chain issues cause financial strain. This report assesses the performance of Tesla in terms of ratios and cash flow analysis in the past five years. It also studies the working capital management, comes up with financial restructuring strategies and evaluates three investment projects with capital budgeting techniques to make recommendations for the best investment decisions.</w:t>
      </w:r>
    </w:p>
    <w:p w14:paraId="5B85CB0C" w14:textId="77777777" w:rsidR="00274884" w:rsidRPr="00487BD9" w:rsidRDefault="00274884" w:rsidP="00487BD9">
      <w:pPr>
        <w:rPr>
          <w:rFonts w:ascii="Arial" w:hAnsi="Arial" w:cs="Arial"/>
          <w:lang w:val="en-GB"/>
        </w:rPr>
      </w:pPr>
    </w:p>
    <w:p w14:paraId="42A5933A" w14:textId="77777777" w:rsidR="00402CED" w:rsidRPr="00487BD9" w:rsidRDefault="00D045BC" w:rsidP="00487BD9">
      <w:pPr>
        <w:pStyle w:val="Heading1"/>
        <w:rPr>
          <w:rFonts w:ascii="Arial" w:hAnsi="Arial" w:cs="Arial"/>
          <w:lang w:val="en-GB"/>
        </w:rPr>
      </w:pPr>
      <w:bookmarkStart w:id="4" w:name="_nxsmrl8ffw3y" w:colFirst="0" w:colLast="0"/>
      <w:bookmarkStart w:id="5" w:name="_Toc224288354"/>
      <w:bookmarkEnd w:id="4"/>
      <w:r w:rsidRPr="00487BD9">
        <w:rPr>
          <w:rFonts w:ascii="Arial" w:hAnsi="Arial" w:cs="Arial"/>
          <w:lang w:val="en-GB"/>
        </w:rPr>
        <w:t>2. Financial Health Check</w:t>
      </w:r>
      <w:bookmarkEnd w:id="5"/>
    </w:p>
    <w:p w14:paraId="650DF31B" w14:textId="77777777" w:rsidR="00402CED" w:rsidRPr="00487BD9" w:rsidRDefault="00D045BC" w:rsidP="00487BD9">
      <w:pPr>
        <w:pStyle w:val="Heading2"/>
        <w:rPr>
          <w:rFonts w:ascii="Arial" w:hAnsi="Arial" w:cs="Arial"/>
          <w:lang w:val="en-GB"/>
        </w:rPr>
      </w:pPr>
      <w:bookmarkStart w:id="6" w:name="_hu82jhm5o2hb" w:colFirst="0" w:colLast="0"/>
      <w:bookmarkStart w:id="7" w:name="_Toc224288355"/>
      <w:bookmarkEnd w:id="6"/>
      <w:r w:rsidRPr="00487BD9">
        <w:rPr>
          <w:rFonts w:ascii="Arial" w:hAnsi="Arial" w:cs="Arial"/>
          <w:lang w:val="en-GB"/>
        </w:rPr>
        <w:t>2.1 Overview of Tesla’s Financial Performance</w:t>
      </w:r>
      <w:bookmarkEnd w:id="7"/>
    </w:p>
    <w:p w14:paraId="6334473F" w14:textId="63692C74" w:rsidR="00402CED" w:rsidRPr="00487BD9" w:rsidRDefault="00D045BC" w:rsidP="00487BD9">
      <w:pPr>
        <w:rPr>
          <w:rFonts w:ascii="Arial" w:hAnsi="Arial" w:cs="Arial"/>
          <w:lang w:val="en-GB"/>
        </w:rPr>
      </w:pPr>
      <w:r w:rsidRPr="00487BD9">
        <w:rPr>
          <w:rFonts w:ascii="Arial" w:hAnsi="Arial" w:cs="Arial"/>
          <w:lang w:val="en-GB"/>
        </w:rPr>
        <w:t xml:space="preserve">Tesla has been registering high financial growth in the last five years as more people around the world have started taking the electric car. The growth in revenue has increased by over 80% in 2022, and with revenues of $81.5 billion and $96.8 billion, respectively, compared to 2021 (Annual Report, 2023). Nonetheless, the growth rate has been decreasing, with its revenue amounting to $97.7 billion dollars in 2024 and dropping to $94.8 billion dollars in 2025 as competition and uncertainty in the economy increased (Annual Report, 2024). According to Li (2025), Tesla's growth is motivated by its combined strategy of electric vehicles, software and energy solutions. Also, the net income has grown substantially in 2021-23, but the profitability remains under pressure due to overall competition </w:t>
      </w:r>
      <w:r w:rsidRPr="00487BD9">
        <w:rPr>
          <w:rFonts w:ascii="Arial" w:hAnsi="Arial" w:cs="Arial"/>
          <w:i/>
          <w:iCs/>
          <w:lang w:val="en-GB"/>
        </w:rPr>
        <w:t>[Refer to Appendix D]</w:t>
      </w:r>
      <w:r w:rsidRPr="00487BD9">
        <w:rPr>
          <w:rFonts w:ascii="Arial" w:hAnsi="Arial" w:cs="Arial"/>
          <w:lang w:val="en-GB"/>
        </w:rPr>
        <w:t>.</w:t>
      </w:r>
    </w:p>
    <w:p w14:paraId="679E2010" w14:textId="77777777" w:rsidR="00402CED" w:rsidRPr="00487BD9" w:rsidRDefault="00D045BC" w:rsidP="00487BD9">
      <w:pPr>
        <w:pStyle w:val="Heading2"/>
        <w:rPr>
          <w:rFonts w:ascii="Arial" w:hAnsi="Arial" w:cs="Arial"/>
          <w:lang w:val="en-GB"/>
        </w:rPr>
      </w:pPr>
      <w:bookmarkStart w:id="8" w:name="_9y4dh7z6inn" w:colFirst="0" w:colLast="0"/>
      <w:bookmarkStart w:id="9" w:name="_Toc224288356"/>
      <w:bookmarkEnd w:id="8"/>
      <w:r w:rsidRPr="00487BD9">
        <w:rPr>
          <w:rFonts w:ascii="Arial" w:hAnsi="Arial" w:cs="Arial"/>
          <w:lang w:val="en-GB"/>
        </w:rPr>
        <w:t>2.2 Profitability Ratio Analysis</w:t>
      </w:r>
      <w:bookmarkEnd w:id="9"/>
    </w:p>
    <w:p w14:paraId="38410065" w14:textId="37537C22" w:rsidR="00402CED" w:rsidRPr="00487BD9" w:rsidRDefault="00D045BC" w:rsidP="00487BD9">
      <w:pPr>
        <w:rPr>
          <w:rFonts w:ascii="Arial" w:hAnsi="Arial" w:cs="Arial"/>
          <w:lang w:val="en-GB"/>
        </w:rPr>
      </w:pPr>
      <w:r w:rsidRPr="00487BD9">
        <w:rPr>
          <w:rFonts w:ascii="Arial" w:hAnsi="Arial" w:cs="Arial"/>
          <w:lang w:val="en-GB"/>
        </w:rPr>
        <w:t>Profitability ratios give an understanding of the capability of the firm to generate profit in comparison to sales revenue, use of assets and investment by the shareholders</w:t>
      </w:r>
      <w:r w:rsidR="00484623" w:rsidRPr="00487BD9">
        <w:rPr>
          <w:rFonts w:ascii="Arial" w:hAnsi="Arial" w:cs="Arial"/>
          <w:lang w:val="en-GB"/>
        </w:rPr>
        <w:t xml:space="preserve"> (</w:t>
      </w:r>
      <w:proofErr w:type="spellStart"/>
      <w:r w:rsidR="00484623" w:rsidRPr="00487BD9">
        <w:rPr>
          <w:rFonts w:ascii="Arial" w:hAnsi="Arial" w:cs="Arial"/>
          <w:lang w:val="en-GB"/>
        </w:rPr>
        <w:t>Nasution</w:t>
      </w:r>
      <w:proofErr w:type="spellEnd"/>
      <w:r w:rsidR="00484623" w:rsidRPr="00487BD9">
        <w:rPr>
          <w:rFonts w:ascii="Arial" w:hAnsi="Arial" w:cs="Arial"/>
          <w:lang w:val="en-GB"/>
        </w:rPr>
        <w:t xml:space="preserve"> and </w:t>
      </w:r>
      <w:proofErr w:type="spellStart"/>
      <w:r w:rsidR="00484623" w:rsidRPr="00487BD9">
        <w:rPr>
          <w:rFonts w:ascii="Arial" w:hAnsi="Arial" w:cs="Arial"/>
          <w:lang w:val="en-GB"/>
        </w:rPr>
        <w:t>Yusleny</w:t>
      </w:r>
      <w:proofErr w:type="spellEnd"/>
      <w:r w:rsidR="00484623" w:rsidRPr="00487BD9">
        <w:rPr>
          <w:rFonts w:ascii="Arial" w:hAnsi="Arial" w:cs="Arial"/>
          <w:lang w:val="en-GB"/>
        </w:rPr>
        <w:t>, 2023)</w:t>
      </w:r>
      <w:r w:rsidRPr="00487BD9">
        <w:rPr>
          <w:rFonts w:ascii="Arial" w:hAnsi="Arial" w:cs="Arial"/>
          <w:lang w:val="en-GB"/>
        </w:rPr>
        <w:t xml:space="preserve">. Such ratios are </w:t>
      </w:r>
      <w:r w:rsidR="00484623" w:rsidRPr="00487BD9">
        <w:rPr>
          <w:rFonts w:ascii="Arial" w:hAnsi="Arial" w:cs="Arial"/>
          <w:lang w:val="en-GB"/>
        </w:rPr>
        <w:t>specifically</w:t>
      </w:r>
      <w:r w:rsidRPr="00487BD9">
        <w:rPr>
          <w:rFonts w:ascii="Arial" w:hAnsi="Arial" w:cs="Arial"/>
          <w:lang w:val="en-GB"/>
        </w:rPr>
        <w:t xml:space="preserve"> useful in assessing the financial viability of high-growth technology firms like Tesla.</w:t>
      </w:r>
    </w:p>
    <w:p w14:paraId="30B902D3"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Gross Profit Margin</w:t>
      </w:r>
    </w:p>
    <w:p w14:paraId="44AE3437" w14:textId="77777777" w:rsidR="00402CED" w:rsidRPr="00487BD9" w:rsidRDefault="00D045BC" w:rsidP="00487BD9">
      <w:pPr>
        <w:jc w:val="center"/>
        <w:rPr>
          <w:rFonts w:ascii="Arial" w:hAnsi="Arial" w:cs="Arial"/>
          <w:b/>
          <w:bCs/>
          <w:i/>
          <w:iCs/>
          <w:lang w:val="en-GB"/>
        </w:rPr>
      </w:pPr>
      <w:r w:rsidRPr="00487BD9">
        <w:rPr>
          <w:rFonts w:ascii="Arial" w:hAnsi="Arial" w:cs="Arial"/>
          <w:b/>
          <w:bCs/>
          <w:i/>
          <w:iCs/>
          <w:noProof/>
          <w:lang w:val="en-GB"/>
        </w:rPr>
        <w:lastRenderedPageBreak/>
        <w:drawing>
          <wp:inline distT="114300" distB="114300" distL="114300" distR="114300" wp14:anchorId="6BFB629D" wp14:editId="26031D91">
            <wp:extent cx="5000625" cy="283845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000625" cy="2838450"/>
                    </a:xfrm>
                    <a:prstGeom prst="rect">
                      <a:avLst/>
                    </a:prstGeom>
                    <a:ln w="12700">
                      <a:solidFill>
                        <a:srgbClr val="000000"/>
                      </a:solidFill>
                      <a:prstDash val="solid"/>
                    </a:ln>
                  </pic:spPr>
                </pic:pic>
              </a:graphicData>
            </a:graphic>
          </wp:inline>
        </w:drawing>
      </w:r>
    </w:p>
    <w:p w14:paraId="6A15FA78" w14:textId="77777777" w:rsidR="00402CED" w:rsidRPr="00487BD9" w:rsidRDefault="00D045BC" w:rsidP="00487BD9">
      <w:pPr>
        <w:pStyle w:val="Heading5"/>
      </w:pPr>
      <w:bookmarkStart w:id="10" w:name="_Toc224288341"/>
      <w:r w:rsidRPr="00487BD9">
        <w:t>Figure 1: Gross Profit Margin</w:t>
      </w:r>
      <w:bookmarkEnd w:id="10"/>
    </w:p>
    <w:p w14:paraId="6836BB49" w14:textId="24BE072A" w:rsidR="00402CED" w:rsidRPr="00487BD9" w:rsidRDefault="00D045BC" w:rsidP="00487BD9">
      <w:pPr>
        <w:jc w:val="center"/>
        <w:rPr>
          <w:rFonts w:ascii="Arial" w:hAnsi="Arial" w:cs="Arial"/>
          <w:lang w:val="en-GB"/>
        </w:rPr>
      </w:pPr>
      <w:r w:rsidRPr="00487BD9">
        <w:rPr>
          <w:rFonts w:ascii="Arial" w:hAnsi="Arial" w:cs="Arial"/>
          <w:lang w:val="en-GB"/>
        </w:rPr>
        <w:t xml:space="preserve">(Source: </w:t>
      </w:r>
      <w:r w:rsidR="00484623" w:rsidRPr="00487BD9">
        <w:rPr>
          <w:rFonts w:ascii="Arial" w:hAnsi="Arial" w:cs="Arial"/>
          <w:lang w:val="en-GB"/>
        </w:rPr>
        <w:t xml:space="preserve">Refer to </w:t>
      </w:r>
      <w:r w:rsidRPr="00487BD9">
        <w:rPr>
          <w:rFonts w:ascii="Arial" w:hAnsi="Arial" w:cs="Arial"/>
          <w:lang w:val="en-GB"/>
        </w:rPr>
        <w:t>Excel)</w:t>
      </w:r>
    </w:p>
    <w:p w14:paraId="16BBDCBA" w14:textId="77777777" w:rsidR="00402CED" w:rsidRPr="00487BD9" w:rsidRDefault="00D045BC" w:rsidP="00487BD9">
      <w:pPr>
        <w:rPr>
          <w:rFonts w:ascii="Arial" w:hAnsi="Arial" w:cs="Arial"/>
          <w:lang w:val="en-GB"/>
        </w:rPr>
      </w:pPr>
      <w:r w:rsidRPr="00487BD9">
        <w:rPr>
          <w:rFonts w:ascii="Arial" w:hAnsi="Arial" w:cs="Arial"/>
          <w:lang w:val="en-GB"/>
        </w:rPr>
        <w:t>Gross profit margin is used to determine the ratio of the amount of revenue left after the cost of goods sold is subtracted. The gross profit of Tesla rose to approximately 25.6% in 2022, as compared to 2021, achieving a 25.6% due to a higher level of production efficiency and economic scale of production (Annual Report, 2022). Nevertheless, this margin decreased to approximately 18.3% in 2023 and 18.0% in 2025, when Tesla lowered the prices of vehicles to make them competitive in the market of electric vehicles (Annual Report, 2024). According to Ma (2025), these price reductions were done to ensure that market share was retained.</w:t>
      </w:r>
    </w:p>
    <w:p w14:paraId="400F930D"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Operating Profit Margin</w:t>
      </w:r>
    </w:p>
    <w:p w14:paraId="30893E81"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drawing>
          <wp:inline distT="114300" distB="114300" distL="114300" distR="114300" wp14:anchorId="60921951" wp14:editId="5FE229DE">
            <wp:extent cx="4972050" cy="2847975"/>
            <wp:effectExtent l="12700" t="12700" r="12700" b="1270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4972050" cy="2847975"/>
                    </a:xfrm>
                    <a:prstGeom prst="rect">
                      <a:avLst/>
                    </a:prstGeom>
                    <a:ln w="12700">
                      <a:solidFill>
                        <a:srgbClr val="000000"/>
                      </a:solidFill>
                      <a:prstDash val="solid"/>
                    </a:ln>
                  </pic:spPr>
                </pic:pic>
              </a:graphicData>
            </a:graphic>
          </wp:inline>
        </w:drawing>
      </w:r>
    </w:p>
    <w:p w14:paraId="1C2F9A1B" w14:textId="77777777" w:rsidR="00402CED" w:rsidRPr="00487BD9" w:rsidRDefault="00D045BC" w:rsidP="00487BD9">
      <w:pPr>
        <w:pStyle w:val="Heading5"/>
      </w:pPr>
      <w:bookmarkStart w:id="11" w:name="_Toc224288342"/>
      <w:r w:rsidRPr="00487BD9">
        <w:lastRenderedPageBreak/>
        <w:t>Figure 2: Operating Margin</w:t>
      </w:r>
      <w:bookmarkEnd w:id="11"/>
    </w:p>
    <w:p w14:paraId="6937BCF9"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1A597B05" w14:textId="372CFEFE" w:rsidR="00402CED" w:rsidRPr="00487BD9" w:rsidRDefault="00484623" w:rsidP="00487BD9">
      <w:pPr>
        <w:rPr>
          <w:rFonts w:ascii="Arial" w:hAnsi="Arial" w:cs="Arial"/>
          <w:lang w:val="en-GB"/>
        </w:rPr>
      </w:pPr>
      <w:r w:rsidRPr="00487BD9">
        <w:rPr>
          <w:rFonts w:ascii="Arial" w:hAnsi="Arial" w:cs="Arial"/>
          <w:lang w:val="en-GB"/>
        </w:rPr>
        <w:t>According to Liang and Yubin (2025), t</w:t>
      </w:r>
      <w:r w:rsidR="00D045BC" w:rsidRPr="00487BD9">
        <w:rPr>
          <w:rFonts w:ascii="Arial" w:hAnsi="Arial" w:cs="Arial"/>
          <w:lang w:val="en-GB"/>
        </w:rPr>
        <w:t>he operating profit margin indicate</w:t>
      </w:r>
      <w:r w:rsidRPr="00487BD9">
        <w:rPr>
          <w:rFonts w:ascii="Arial" w:hAnsi="Arial" w:cs="Arial"/>
          <w:lang w:val="en-GB"/>
        </w:rPr>
        <w:t>s</w:t>
      </w:r>
      <w:r w:rsidR="00D045BC" w:rsidRPr="00487BD9">
        <w:rPr>
          <w:rFonts w:ascii="Arial" w:hAnsi="Arial" w:cs="Arial"/>
          <w:lang w:val="en-GB"/>
        </w:rPr>
        <w:t xml:space="preserve"> the percentage of revenue that is left after operational costs, which include research, marketing and administration. Tesla has improved its operational efficiency and high production volumes, as evidenced by the growth in operating income from $6.5 billion in 2021 to $13.7 billion in 2022</w:t>
      </w:r>
      <w:r w:rsidRPr="00487BD9">
        <w:rPr>
          <w:rFonts w:ascii="Arial" w:hAnsi="Arial" w:cs="Arial"/>
          <w:lang w:val="en-GB"/>
        </w:rPr>
        <w:t>. Also</w:t>
      </w:r>
      <w:r w:rsidR="00D045BC" w:rsidRPr="00487BD9">
        <w:rPr>
          <w:rFonts w:ascii="Arial" w:hAnsi="Arial" w:cs="Arial"/>
          <w:lang w:val="en-GB"/>
        </w:rPr>
        <w:t>, the operating margin has grown to 16.8% (Annual Report, 2022). But the margin decreased to approximately 4.6% in 2025 due to further research spending and the cost of expansion to new manufacturing plants</w:t>
      </w:r>
      <w:r w:rsidRPr="00487BD9">
        <w:rPr>
          <w:rFonts w:ascii="Arial" w:hAnsi="Arial" w:cs="Arial"/>
          <w:lang w:val="en-GB"/>
        </w:rPr>
        <w:t>. T</w:t>
      </w:r>
      <w:r w:rsidR="00D045BC" w:rsidRPr="00487BD9">
        <w:rPr>
          <w:rFonts w:ascii="Arial" w:hAnsi="Arial" w:cs="Arial"/>
          <w:lang w:val="en-GB"/>
        </w:rPr>
        <w:t>his kind of expenditure helps Tesla to maintain a technological leadership in the long run.</w:t>
      </w:r>
    </w:p>
    <w:p w14:paraId="75D12B21"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Net Profit Margin</w:t>
      </w:r>
    </w:p>
    <w:p w14:paraId="747099A8"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drawing>
          <wp:inline distT="114300" distB="114300" distL="114300" distR="114300" wp14:anchorId="026D03A4" wp14:editId="2B3163D3">
            <wp:extent cx="4981575" cy="2743200"/>
            <wp:effectExtent l="12700" t="12700" r="12700" b="1270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4981575" cy="2743200"/>
                    </a:xfrm>
                    <a:prstGeom prst="rect">
                      <a:avLst/>
                    </a:prstGeom>
                    <a:ln w="12700">
                      <a:solidFill>
                        <a:srgbClr val="000000"/>
                      </a:solidFill>
                      <a:prstDash val="solid"/>
                    </a:ln>
                  </pic:spPr>
                </pic:pic>
              </a:graphicData>
            </a:graphic>
          </wp:inline>
        </w:drawing>
      </w:r>
    </w:p>
    <w:p w14:paraId="1EC3A7DC" w14:textId="77777777" w:rsidR="00402CED" w:rsidRPr="00487BD9" w:rsidRDefault="00D045BC" w:rsidP="00487BD9">
      <w:pPr>
        <w:pStyle w:val="Heading5"/>
      </w:pPr>
      <w:bookmarkStart w:id="12" w:name="_Toc224288343"/>
      <w:r w:rsidRPr="00487BD9">
        <w:t>Figure 3: Net Profit Margin</w:t>
      </w:r>
      <w:bookmarkEnd w:id="12"/>
    </w:p>
    <w:p w14:paraId="530B7711"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79E3A056" w14:textId="48F577EE" w:rsidR="00402CED" w:rsidRPr="00487BD9" w:rsidRDefault="00D045BC" w:rsidP="00487BD9">
      <w:pPr>
        <w:rPr>
          <w:rFonts w:ascii="Arial" w:hAnsi="Arial" w:cs="Arial"/>
          <w:lang w:val="en-GB"/>
        </w:rPr>
      </w:pPr>
      <w:r w:rsidRPr="00487BD9">
        <w:rPr>
          <w:rFonts w:ascii="Arial" w:hAnsi="Arial" w:cs="Arial"/>
          <w:lang w:val="en-GB"/>
        </w:rPr>
        <w:t xml:space="preserve">Net profit margin is used to assess how much of the total revenue is translated into net income after deduction of all expenditures, taxes, and payment of interest. </w:t>
      </w:r>
      <w:r w:rsidR="00484623" w:rsidRPr="00487BD9">
        <w:rPr>
          <w:rFonts w:ascii="Arial" w:hAnsi="Arial" w:cs="Arial"/>
          <w:lang w:val="en-GB"/>
        </w:rPr>
        <w:t>As seen in figure 3, t</w:t>
      </w:r>
      <w:r w:rsidRPr="00487BD9">
        <w:rPr>
          <w:rFonts w:ascii="Arial" w:hAnsi="Arial" w:cs="Arial"/>
          <w:lang w:val="en-GB"/>
        </w:rPr>
        <w:t>he net income of Tesla grew by around $5.5 billion in 2021 to $14.9 billion in 2023 to attain a net profit margin of around 15.5% (Annual Report, 2023). This was the most profitable performance of Tesla. Nevertheless, the profitability declined later on, and the net income dropped to about $7.1 billion in 2024 and even more to $3.8 billion in 2025, which generated a net margin of around 4.0 (Annual Report, 2024). Studies that investigate the Tesla software-based business model suggest that deferred revenue recognition of autonomous driving software might also determine the reported profitability levels (Li, 2025).</w:t>
      </w:r>
    </w:p>
    <w:p w14:paraId="2C8B094A"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lastRenderedPageBreak/>
        <w:t>Return on Assets</w:t>
      </w:r>
    </w:p>
    <w:p w14:paraId="6CF03412"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drawing>
          <wp:inline distT="114300" distB="114300" distL="114300" distR="114300" wp14:anchorId="20CF66CE" wp14:editId="4FA7AC73">
            <wp:extent cx="5057775" cy="2886075"/>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057775" cy="2886075"/>
                    </a:xfrm>
                    <a:prstGeom prst="rect">
                      <a:avLst/>
                    </a:prstGeom>
                    <a:ln w="12700">
                      <a:solidFill>
                        <a:srgbClr val="000000"/>
                      </a:solidFill>
                      <a:prstDash val="solid"/>
                    </a:ln>
                  </pic:spPr>
                </pic:pic>
              </a:graphicData>
            </a:graphic>
          </wp:inline>
        </w:drawing>
      </w:r>
    </w:p>
    <w:p w14:paraId="560A8EB9" w14:textId="77777777" w:rsidR="00402CED" w:rsidRPr="00487BD9" w:rsidRDefault="00D045BC" w:rsidP="00487BD9">
      <w:pPr>
        <w:pStyle w:val="Heading5"/>
      </w:pPr>
      <w:bookmarkStart w:id="13" w:name="_Toc224288344"/>
      <w:r w:rsidRPr="00487BD9">
        <w:t>Figure 4: ROA</w:t>
      </w:r>
      <w:bookmarkEnd w:id="13"/>
    </w:p>
    <w:p w14:paraId="6E123688"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4BC2EBC1" w14:textId="248E5D14" w:rsidR="00402CED" w:rsidRPr="00487BD9" w:rsidRDefault="00484623" w:rsidP="00487BD9">
      <w:pPr>
        <w:rPr>
          <w:rFonts w:ascii="Arial" w:hAnsi="Arial" w:cs="Arial"/>
          <w:lang w:val="en-GB"/>
        </w:rPr>
      </w:pPr>
      <w:r w:rsidRPr="00487BD9">
        <w:rPr>
          <w:rFonts w:ascii="Arial" w:hAnsi="Arial" w:cs="Arial"/>
          <w:lang w:val="en-GB"/>
        </w:rPr>
        <w:t xml:space="preserve">As per </w:t>
      </w:r>
      <w:r w:rsidRPr="00487BD9">
        <w:rPr>
          <w:rFonts w:ascii="Arial" w:hAnsi="Arial" w:cs="Arial"/>
          <w:color w:val="222222"/>
          <w:shd w:val="clear" w:color="auto" w:fill="FFFFFF"/>
        </w:rPr>
        <w:t>Singh et al. (2024), r</w:t>
      </w:r>
      <w:proofErr w:type="spellStart"/>
      <w:r w:rsidR="00D045BC" w:rsidRPr="00487BD9">
        <w:rPr>
          <w:rFonts w:ascii="Arial" w:hAnsi="Arial" w:cs="Arial"/>
          <w:lang w:val="en-GB"/>
        </w:rPr>
        <w:t>eturn</w:t>
      </w:r>
      <w:proofErr w:type="spellEnd"/>
      <w:r w:rsidR="00D045BC" w:rsidRPr="00487BD9">
        <w:rPr>
          <w:rFonts w:ascii="Arial" w:hAnsi="Arial" w:cs="Arial"/>
          <w:lang w:val="en-GB"/>
        </w:rPr>
        <w:t xml:space="preserve"> on assets measures the ability of the company to make use of its total asset base in order to make a profit. The ROA of Tesla grew to circa 14%, as compared to circa 8.9% in 2021, showing the efficiency of its operations and its capacity to generate profit more than its total assets (Annual Report, 2023). Nonetheless, ROA decreased to about 2.8% in 2025, during which total assets grew at a high rate, whereas net income decreased. This demonstrates that Tesla has a high level of investments in capacity that is yet to be converted into a commensurate increase in profits.</w:t>
      </w:r>
    </w:p>
    <w:p w14:paraId="0FDB17C5"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Return on Equity</w:t>
      </w:r>
    </w:p>
    <w:p w14:paraId="632B8D12"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lastRenderedPageBreak/>
        <w:drawing>
          <wp:inline distT="114300" distB="114300" distL="114300" distR="114300" wp14:anchorId="6E8F99C8" wp14:editId="160B7DFA">
            <wp:extent cx="5000625" cy="2876550"/>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000625" cy="2876550"/>
                    </a:xfrm>
                    <a:prstGeom prst="rect">
                      <a:avLst/>
                    </a:prstGeom>
                    <a:ln w="12700">
                      <a:solidFill>
                        <a:srgbClr val="000000"/>
                      </a:solidFill>
                      <a:prstDash val="solid"/>
                    </a:ln>
                  </pic:spPr>
                </pic:pic>
              </a:graphicData>
            </a:graphic>
          </wp:inline>
        </w:drawing>
      </w:r>
    </w:p>
    <w:p w14:paraId="18CFE7B3" w14:textId="77777777" w:rsidR="00402CED" w:rsidRPr="00487BD9" w:rsidRDefault="00D045BC" w:rsidP="00487BD9">
      <w:pPr>
        <w:pStyle w:val="Heading5"/>
      </w:pPr>
      <w:bookmarkStart w:id="14" w:name="_Toc224288345"/>
      <w:r w:rsidRPr="00487BD9">
        <w:t>Figure 5: ROE</w:t>
      </w:r>
      <w:bookmarkEnd w:id="14"/>
    </w:p>
    <w:p w14:paraId="7AF870AD"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280794F6" w14:textId="77777777" w:rsidR="00402CED" w:rsidRPr="00487BD9" w:rsidRDefault="00D045BC" w:rsidP="00487BD9">
      <w:pPr>
        <w:rPr>
          <w:rFonts w:ascii="Arial" w:hAnsi="Arial" w:cs="Arial"/>
          <w:lang w:val="en-GB"/>
        </w:rPr>
      </w:pPr>
      <w:r w:rsidRPr="00487BD9">
        <w:rPr>
          <w:rFonts w:ascii="Arial" w:hAnsi="Arial" w:cs="Arial"/>
          <w:lang w:val="en-GB"/>
        </w:rPr>
        <w:t>Return on equity is used to determine the profitability of the shareholders compared to the money invested by them. The ROE of Tesla shot up to over 23.5% compared to 17.5% in 2021 to show that it has created high shareholder value throughout the expansion process. According to Peng (2025), profitability expectations and technological innovation play a significant role in making investors confident about Tesla, which is why the company has a high market valuation.</w:t>
      </w:r>
    </w:p>
    <w:p w14:paraId="45EA5B70" w14:textId="77777777" w:rsidR="00402CED" w:rsidRPr="00487BD9" w:rsidRDefault="00D045BC" w:rsidP="00487BD9">
      <w:pPr>
        <w:pStyle w:val="Heading2"/>
        <w:rPr>
          <w:rFonts w:ascii="Arial" w:hAnsi="Arial" w:cs="Arial"/>
          <w:lang w:val="en-GB"/>
        </w:rPr>
      </w:pPr>
      <w:bookmarkStart w:id="15" w:name="_3gystbg06wd1" w:colFirst="0" w:colLast="0"/>
      <w:bookmarkStart w:id="16" w:name="_Toc224288357"/>
      <w:bookmarkEnd w:id="15"/>
      <w:r w:rsidRPr="00487BD9">
        <w:rPr>
          <w:rFonts w:ascii="Arial" w:hAnsi="Arial" w:cs="Arial"/>
          <w:lang w:val="en-GB"/>
        </w:rPr>
        <w:t>2.3 Liquidity Ratio Analysis</w:t>
      </w:r>
      <w:bookmarkEnd w:id="16"/>
    </w:p>
    <w:p w14:paraId="4AC2A8C2" w14:textId="6F224337" w:rsidR="00402CED" w:rsidRPr="00487BD9" w:rsidRDefault="00D045BC" w:rsidP="00487BD9">
      <w:pPr>
        <w:rPr>
          <w:rFonts w:ascii="Arial" w:hAnsi="Arial" w:cs="Arial"/>
          <w:lang w:val="en-GB"/>
        </w:rPr>
      </w:pPr>
      <w:r w:rsidRPr="00487BD9">
        <w:rPr>
          <w:rFonts w:ascii="Arial" w:hAnsi="Arial" w:cs="Arial"/>
          <w:lang w:val="en-GB"/>
        </w:rPr>
        <w:t>Liquidity ratios analyse the capacity of the business to fulfil the short-term financial commitments with the help of its current assets</w:t>
      </w:r>
      <w:r w:rsidR="00524EE3" w:rsidRPr="00487BD9">
        <w:rPr>
          <w:rFonts w:ascii="Arial" w:hAnsi="Arial" w:cs="Arial"/>
          <w:lang w:val="en-GB"/>
        </w:rPr>
        <w:t xml:space="preserve"> (</w:t>
      </w:r>
      <w:r w:rsidR="00524EE3" w:rsidRPr="00487BD9">
        <w:rPr>
          <w:rFonts w:ascii="Arial" w:hAnsi="Arial" w:cs="Arial"/>
          <w:color w:val="222222"/>
          <w:shd w:val="clear" w:color="auto" w:fill="FFFFFF"/>
        </w:rPr>
        <w:t>Gunawan, 2023)</w:t>
      </w:r>
      <w:r w:rsidRPr="00487BD9">
        <w:rPr>
          <w:rFonts w:ascii="Arial" w:hAnsi="Arial" w:cs="Arial"/>
          <w:lang w:val="en-GB"/>
        </w:rPr>
        <w:t>.</w:t>
      </w:r>
    </w:p>
    <w:p w14:paraId="28D108D9"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Current Ratio</w:t>
      </w:r>
    </w:p>
    <w:p w14:paraId="764D35A9"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lastRenderedPageBreak/>
        <w:drawing>
          <wp:inline distT="114300" distB="114300" distL="114300" distR="114300" wp14:anchorId="51EC9E16" wp14:editId="7D7989A8">
            <wp:extent cx="4991100" cy="2714625"/>
            <wp:effectExtent l="12700" t="12700" r="12700" b="1270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991100" cy="2714625"/>
                    </a:xfrm>
                    <a:prstGeom prst="rect">
                      <a:avLst/>
                    </a:prstGeom>
                    <a:ln w="12700">
                      <a:solidFill>
                        <a:srgbClr val="000000"/>
                      </a:solidFill>
                      <a:prstDash val="solid"/>
                    </a:ln>
                  </pic:spPr>
                </pic:pic>
              </a:graphicData>
            </a:graphic>
          </wp:inline>
        </w:drawing>
      </w:r>
    </w:p>
    <w:p w14:paraId="0B108384" w14:textId="77777777" w:rsidR="00402CED" w:rsidRPr="00487BD9" w:rsidRDefault="00D045BC" w:rsidP="00487BD9">
      <w:pPr>
        <w:pStyle w:val="Heading5"/>
      </w:pPr>
      <w:bookmarkStart w:id="17" w:name="_Toc224288346"/>
      <w:r w:rsidRPr="00487BD9">
        <w:t>Figure 6: Current Ratio</w:t>
      </w:r>
      <w:bookmarkEnd w:id="17"/>
    </w:p>
    <w:p w14:paraId="139220D1"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6801BECD" w14:textId="1707CEB8" w:rsidR="00402CED" w:rsidRPr="00487BD9" w:rsidRDefault="00D045BC" w:rsidP="00487BD9">
      <w:pPr>
        <w:rPr>
          <w:rFonts w:ascii="Arial" w:hAnsi="Arial" w:cs="Arial"/>
          <w:lang w:val="en-GB"/>
        </w:rPr>
      </w:pPr>
      <w:r w:rsidRPr="00487BD9">
        <w:rPr>
          <w:rFonts w:ascii="Arial" w:hAnsi="Arial" w:cs="Arial"/>
          <w:lang w:val="en-GB"/>
        </w:rPr>
        <w:t xml:space="preserve">The current assets of Tesla have risen to a great extent compared to the figure of about $27.1 billion in 2021, to $40.9 billion in 2022 and $68.6 billion in 2025 (Annual Report, 2024). The current liabilities rose by a margin of 19.7 billion in 2021 to about 31.7 billion in 2025, respectively. Consequently, the current ratio of Tesla grew to $2.16 in 2025, </w:t>
      </w:r>
      <w:r w:rsidR="002C6E1A" w:rsidRPr="00487BD9">
        <w:rPr>
          <w:rFonts w:ascii="Arial" w:hAnsi="Arial" w:cs="Arial"/>
          <w:lang w:val="en-GB"/>
        </w:rPr>
        <w:t xml:space="preserve">as </w:t>
      </w:r>
      <w:r w:rsidRPr="00487BD9">
        <w:rPr>
          <w:rFonts w:ascii="Arial" w:hAnsi="Arial" w:cs="Arial"/>
          <w:lang w:val="en-GB"/>
        </w:rPr>
        <w:t>compared to $1.37 in 2021</w:t>
      </w:r>
      <w:r w:rsidR="002C6E1A" w:rsidRPr="00487BD9">
        <w:rPr>
          <w:rFonts w:ascii="Arial" w:hAnsi="Arial" w:cs="Arial"/>
          <w:lang w:val="en-GB"/>
        </w:rPr>
        <w:t xml:space="preserve">. This </w:t>
      </w:r>
      <w:r w:rsidRPr="00487BD9">
        <w:rPr>
          <w:rFonts w:ascii="Arial" w:hAnsi="Arial" w:cs="Arial"/>
          <w:lang w:val="en-GB"/>
        </w:rPr>
        <w:t>is a strong sign of financial position in the short term and a comfortable capacity to fulfil short-term liabilities.</w:t>
      </w:r>
    </w:p>
    <w:p w14:paraId="2601A640"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Quick Ratio</w:t>
      </w:r>
    </w:p>
    <w:p w14:paraId="2853AEAE" w14:textId="77777777" w:rsidR="00402CED" w:rsidRPr="00487BD9" w:rsidRDefault="00D045BC" w:rsidP="00487BD9">
      <w:pPr>
        <w:jc w:val="center"/>
        <w:rPr>
          <w:rFonts w:ascii="Arial" w:hAnsi="Arial" w:cs="Arial"/>
          <w:b/>
          <w:bCs/>
          <w:i/>
          <w:iCs/>
          <w:lang w:val="en-GB"/>
        </w:rPr>
      </w:pPr>
      <w:r w:rsidRPr="00487BD9">
        <w:rPr>
          <w:rFonts w:ascii="Arial" w:hAnsi="Arial" w:cs="Arial"/>
          <w:b/>
          <w:bCs/>
          <w:i/>
          <w:iCs/>
          <w:noProof/>
          <w:lang w:val="en-GB"/>
        </w:rPr>
        <w:drawing>
          <wp:inline distT="114300" distB="114300" distL="114300" distR="114300" wp14:anchorId="3AA2DFCD" wp14:editId="1570995C">
            <wp:extent cx="5010150" cy="2886075"/>
            <wp:effectExtent l="12700" t="12700" r="12700" b="127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010150" cy="2886075"/>
                    </a:xfrm>
                    <a:prstGeom prst="rect">
                      <a:avLst/>
                    </a:prstGeom>
                    <a:ln w="12700">
                      <a:solidFill>
                        <a:srgbClr val="000000"/>
                      </a:solidFill>
                      <a:prstDash val="solid"/>
                    </a:ln>
                  </pic:spPr>
                </pic:pic>
              </a:graphicData>
            </a:graphic>
          </wp:inline>
        </w:drawing>
      </w:r>
    </w:p>
    <w:p w14:paraId="2D61235A" w14:textId="77777777" w:rsidR="00402CED" w:rsidRPr="00487BD9" w:rsidRDefault="00D045BC" w:rsidP="00487BD9">
      <w:pPr>
        <w:pStyle w:val="Heading5"/>
      </w:pPr>
      <w:bookmarkStart w:id="18" w:name="_Toc224288347"/>
      <w:r w:rsidRPr="00487BD9">
        <w:t>Figure 7: Quick Ratio</w:t>
      </w:r>
      <w:bookmarkEnd w:id="18"/>
    </w:p>
    <w:p w14:paraId="0295FAE2"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4EC652A5" w14:textId="62E0D02A" w:rsidR="00402CED" w:rsidRPr="00487BD9" w:rsidRDefault="00D045BC" w:rsidP="00487BD9">
      <w:pPr>
        <w:rPr>
          <w:rFonts w:ascii="Arial" w:hAnsi="Arial" w:cs="Arial"/>
          <w:lang w:val="en-GB"/>
        </w:rPr>
      </w:pPr>
      <w:r w:rsidRPr="00487BD9">
        <w:rPr>
          <w:rFonts w:ascii="Arial" w:hAnsi="Arial" w:cs="Arial"/>
          <w:lang w:val="en-GB"/>
        </w:rPr>
        <w:lastRenderedPageBreak/>
        <w:t>The quick ratio is a more stringent measure of liquidity because it does not include the inventory as part of current assets</w:t>
      </w:r>
      <w:r w:rsidR="002C6E1A" w:rsidRPr="00487BD9">
        <w:rPr>
          <w:rFonts w:ascii="Arial" w:hAnsi="Arial" w:cs="Arial"/>
          <w:lang w:val="en-GB"/>
        </w:rPr>
        <w:t xml:space="preserve"> (Cui and Chen, 2025)</w:t>
      </w:r>
      <w:r w:rsidRPr="00487BD9">
        <w:rPr>
          <w:rFonts w:ascii="Arial" w:hAnsi="Arial" w:cs="Arial"/>
          <w:lang w:val="en-GB"/>
        </w:rPr>
        <w:t>. The increase in production capacity is seen by the fact that Tesla's inventory increased from $5.7 billion to $12.4 billion in 2021 and 2025, respectively (Annual Report, 2024). The current ratio increased to 1.77 in comparison to 1.09, which shows that the company is highly liquid despite unstable supply chains.</w:t>
      </w:r>
    </w:p>
    <w:p w14:paraId="295D53AB" w14:textId="77777777" w:rsidR="00402CED" w:rsidRPr="00487BD9" w:rsidRDefault="00D045BC" w:rsidP="00487BD9">
      <w:pPr>
        <w:pStyle w:val="Heading2"/>
        <w:rPr>
          <w:rFonts w:ascii="Arial" w:hAnsi="Arial" w:cs="Arial"/>
          <w:lang w:val="en-GB"/>
        </w:rPr>
      </w:pPr>
      <w:bookmarkStart w:id="19" w:name="_hi5ngyru3e8x" w:colFirst="0" w:colLast="0"/>
      <w:bookmarkStart w:id="20" w:name="_Toc224288358"/>
      <w:bookmarkEnd w:id="19"/>
      <w:r w:rsidRPr="00487BD9">
        <w:rPr>
          <w:rFonts w:ascii="Arial" w:hAnsi="Arial" w:cs="Arial"/>
          <w:lang w:val="en-GB"/>
        </w:rPr>
        <w:t>2.4 Efficiency Ratio Analysis</w:t>
      </w:r>
      <w:bookmarkEnd w:id="20"/>
    </w:p>
    <w:p w14:paraId="7C5F9BC9" w14:textId="65196E46" w:rsidR="00402CED" w:rsidRPr="00487BD9" w:rsidRDefault="00D045BC" w:rsidP="00487BD9">
      <w:pPr>
        <w:rPr>
          <w:rFonts w:ascii="Arial" w:hAnsi="Arial" w:cs="Arial"/>
          <w:lang w:val="en-GB"/>
        </w:rPr>
      </w:pPr>
      <w:r w:rsidRPr="00487BD9">
        <w:rPr>
          <w:rFonts w:ascii="Arial" w:hAnsi="Arial" w:cs="Arial"/>
          <w:lang w:val="en-GB"/>
        </w:rPr>
        <w:t>Efficiency ratios are those ratios used to assess the effectiveness with which a company makes use of its assets and operating resources to bring revenue</w:t>
      </w:r>
      <w:r w:rsidR="008C3518" w:rsidRPr="00487BD9">
        <w:rPr>
          <w:rFonts w:ascii="Arial" w:hAnsi="Arial" w:cs="Arial"/>
          <w:lang w:val="en-GB"/>
        </w:rPr>
        <w:t xml:space="preserve"> (</w:t>
      </w:r>
      <w:r w:rsidR="008C3518" w:rsidRPr="00487BD9">
        <w:rPr>
          <w:rFonts w:ascii="Arial" w:hAnsi="Arial" w:cs="Arial"/>
          <w:color w:val="222222"/>
          <w:shd w:val="clear" w:color="auto" w:fill="FFFFFF"/>
        </w:rPr>
        <w:t>Majka, 2024)</w:t>
      </w:r>
      <w:r w:rsidRPr="00487BD9">
        <w:rPr>
          <w:rFonts w:ascii="Arial" w:hAnsi="Arial" w:cs="Arial"/>
          <w:lang w:val="en-GB"/>
        </w:rPr>
        <w:t>.</w:t>
      </w:r>
    </w:p>
    <w:p w14:paraId="7AE877F6"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Asset Turnover</w:t>
      </w:r>
    </w:p>
    <w:p w14:paraId="434F01A4"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drawing>
          <wp:inline distT="114300" distB="114300" distL="114300" distR="114300" wp14:anchorId="1BB828C1" wp14:editId="03002EC9">
            <wp:extent cx="5000625" cy="2733675"/>
            <wp:effectExtent l="12700" t="12700" r="12700" b="127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000625" cy="2733675"/>
                    </a:xfrm>
                    <a:prstGeom prst="rect">
                      <a:avLst/>
                    </a:prstGeom>
                    <a:ln w="12700">
                      <a:solidFill>
                        <a:srgbClr val="000000"/>
                      </a:solidFill>
                      <a:prstDash val="solid"/>
                    </a:ln>
                  </pic:spPr>
                </pic:pic>
              </a:graphicData>
            </a:graphic>
          </wp:inline>
        </w:drawing>
      </w:r>
    </w:p>
    <w:p w14:paraId="48FED25C" w14:textId="77777777" w:rsidR="00402CED" w:rsidRPr="00487BD9" w:rsidRDefault="00D045BC" w:rsidP="00487BD9">
      <w:pPr>
        <w:pStyle w:val="Heading5"/>
      </w:pPr>
      <w:bookmarkStart w:id="21" w:name="_Toc224288348"/>
      <w:r w:rsidRPr="00487BD9">
        <w:t>Figure 8: Asset Turnover Ratio</w:t>
      </w:r>
      <w:bookmarkEnd w:id="21"/>
    </w:p>
    <w:p w14:paraId="72D8EED5"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074F524D" w14:textId="5285037A" w:rsidR="00402CED" w:rsidRPr="00487BD9" w:rsidRDefault="00D045BC" w:rsidP="00487BD9">
      <w:pPr>
        <w:rPr>
          <w:rFonts w:ascii="Arial" w:hAnsi="Arial" w:cs="Arial"/>
          <w:lang w:val="en-GB"/>
        </w:rPr>
      </w:pPr>
      <w:r w:rsidRPr="00487BD9">
        <w:rPr>
          <w:rFonts w:ascii="Arial" w:hAnsi="Arial" w:cs="Arial"/>
          <w:lang w:val="en-GB"/>
        </w:rPr>
        <w:t>The total assets of Tesla grew tremendously, as the company had about $62.1 billion dollars on December 2021 and up to $137.8 billion dollars on December 2025, which indicates significant investments in gigafactories, battery technology and worldwide production (Annual Report, 2024). The growth in revenue was not able to grow at an equal rate with the growth of the assets. Consequently, Tesla began to decrease its asset turnover ratio by getting down to 0.69 in 2025 compared to 0.87 in 2021. Li (2025) describe</w:t>
      </w:r>
      <w:r w:rsidR="002C6E1A" w:rsidRPr="00487BD9">
        <w:rPr>
          <w:rFonts w:ascii="Arial" w:hAnsi="Arial" w:cs="Arial"/>
          <w:lang w:val="en-GB"/>
        </w:rPr>
        <w:t xml:space="preserve">d </w:t>
      </w:r>
      <w:r w:rsidRPr="00487BD9">
        <w:rPr>
          <w:rFonts w:ascii="Arial" w:hAnsi="Arial" w:cs="Arial"/>
          <w:lang w:val="en-GB"/>
        </w:rPr>
        <w:t xml:space="preserve">Tesla </w:t>
      </w:r>
      <w:r w:rsidR="002C6E1A" w:rsidRPr="00487BD9">
        <w:rPr>
          <w:rFonts w:ascii="Arial" w:hAnsi="Arial" w:cs="Arial"/>
          <w:lang w:val="en-GB"/>
        </w:rPr>
        <w:t>to use</w:t>
      </w:r>
      <w:r w:rsidRPr="00487BD9">
        <w:rPr>
          <w:rFonts w:ascii="Arial" w:hAnsi="Arial" w:cs="Arial"/>
          <w:lang w:val="en-GB"/>
        </w:rPr>
        <w:t xml:space="preserve"> a vertically integrated production strategy, which necessitates massive capital planning of the manufacturing system</w:t>
      </w:r>
      <w:r w:rsidR="002C6E1A" w:rsidRPr="00487BD9">
        <w:rPr>
          <w:rFonts w:ascii="Arial" w:hAnsi="Arial" w:cs="Arial"/>
          <w:lang w:val="en-GB"/>
        </w:rPr>
        <w:t>. This</w:t>
      </w:r>
      <w:r w:rsidRPr="00487BD9">
        <w:rPr>
          <w:rFonts w:ascii="Arial" w:hAnsi="Arial" w:cs="Arial"/>
          <w:lang w:val="en-GB"/>
        </w:rPr>
        <w:t>, in the short term, makes its assets inefficient in the expansion stages.</w:t>
      </w:r>
    </w:p>
    <w:p w14:paraId="0914FD43" w14:textId="77777777" w:rsidR="00402CED" w:rsidRPr="00487BD9" w:rsidRDefault="00D045BC" w:rsidP="00487BD9">
      <w:pPr>
        <w:rPr>
          <w:rFonts w:ascii="Arial" w:hAnsi="Arial" w:cs="Arial"/>
          <w:b/>
          <w:bCs/>
          <w:i/>
          <w:iCs/>
          <w:lang w:val="en-GB"/>
        </w:rPr>
      </w:pPr>
      <w:r w:rsidRPr="00487BD9">
        <w:rPr>
          <w:rFonts w:ascii="Arial" w:hAnsi="Arial" w:cs="Arial"/>
          <w:b/>
          <w:bCs/>
          <w:i/>
          <w:iCs/>
          <w:lang w:val="en-GB"/>
        </w:rPr>
        <w:t>Inventory Turnover</w:t>
      </w:r>
    </w:p>
    <w:p w14:paraId="0544AA0B" w14:textId="77777777" w:rsidR="00402CED" w:rsidRPr="00487BD9" w:rsidRDefault="00D045BC" w:rsidP="00487BD9">
      <w:pPr>
        <w:jc w:val="center"/>
        <w:rPr>
          <w:rFonts w:ascii="Arial" w:hAnsi="Arial" w:cs="Arial"/>
          <w:b/>
          <w:bCs/>
          <w:lang w:val="en-GB"/>
        </w:rPr>
      </w:pPr>
      <w:r w:rsidRPr="00487BD9">
        <w:rPr>
          <w:rFonts w:ascii="Arial" w:hAnsi="Arial" w:cs="Arial"/>
          <w:b/>
          <w:bCs/>
          <w:noProof/>
          <w:lang w:val="en-GB"/>
        </w:rPr>
        <w:lastRenderedPageBreak/>
        <w:drawing>
          <wp:inline distT="114300" distB="114300" distL="114300" distR="114300" wp14:anchorId="390F911D" wp14:editId="253ED2F1">
            <wp:extent cx="4533900" cy="2876550"/>
            <wp:effectExtent l="12700" t="12700" r="12700" b="1270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533900" cy="2876550"/>
                    </a:xfrm>
                    <a:prstGeom prst="rect">
                      <a:avLst/>
                    </a:prstGeom>
                    <a:ln w="12700">
                      <a:solidFill>
                        <a:srgbClr val="000000"/>
                      </a:solidFill>
                      <a:prstDash val="solid"/>
                    </a:ln>
                  </pic:spPr>
                </pic:pic>
              </a:graphicData>
            </a:graphic>
          </wp:inline>
        </w:drawing>
      </w:r>
    </w:p>
    <w:p w14:paraId="363C0C0A" w14:textId="77777777" w:rsidR="00402CED" w:rsidRPr="00487BD9" w:rsidRDefault="00D045BC" w:rsidP="00487BD9">
      <w:pPr>
        <w:pStyle w:val="Heading5"/>
      </w:pPr>
      <w:bookmarkStart w:id="22" w:name="_Toc224288349"/>
      <w:r w:rsidRPr="00487BD9">
        <w:t>Figure 9: Inventory Turnover Ratio</w:t>
      </w:r>
      <w:bookmarkEnd w:id="22"/>
    </w:p>
    <w:p w14:paraId="38A69D45" w14:textId="77777777" w:rsidR="00402CED" w:rsidRPr="00487BD9" w:rsidRDefault="00D045BC" w:rsidP="00487BD9">
      <w:pPr>
        <w:jc w:val="center"/>
        <w:rPr>
          <w:rFonts w:ascii="Arial" w:hAnsi="Arial" w:cs="Arial"/>
          <w:b/>
          <w:bCs/>
          <w:lang w:val="en-GB"/>
        </w:rPr>
      </w:pPr>
      <w:r w:rsidRPr="00487BD9">
        <w:rPr>
          <w:rFonts w:ascii="Arial" w:hAnsi="Arial" w:cs="Arial"/>
          <w:lang w:val="en-GB"/>
        </w:rPr>
        <w:t>(Source: Excel)</w:t>
      </w:r>
    </w:p>
    <w:p w14:paraId="6AEC3E66" w14:textId="77777777" w:rsidR="00402CED" w:rsidRPr="00487BD9" w:rsidRDefault="00D045BC" w:rsidP="00487BD9">
      <w:pPr>
        <w:rPr>
          <w:rFonts w:ascii="Arial" w:hAnsi="Arial" w:cs="Arial"/>
          <w:lang w:val="en-GB"/>
        </w:rPr>
      </w:pPr>
      <w:r w:rsidRPr="00487BD9">
        <w:rPr>
          <w:rFonts w:ascii="Arial" w:hAnsi="Arial" w:cs="Arial"/>
          <w:lang w:val="en-GB"/>
        </w:rPr>
        <w:t>Inventory turnover is the rate at which an organisation sells and replaces inventory within a specific time. The inventory turnover of Tesla has decreased from about 7.0 times in 2021 to about 6.3 times in 2025 as the production capacity has grown across the world. Nevertheless, Tesla continues to have relatively efficient inventory management in comparison to the traditional automotive producers as a result of the built-in supply chain system. Comparison of Tesla with other electric car producers reveals that supply chain integration and advanced production processes enhance the efficiency of operations (Li, 2025).</w:t>
      </w:r>
    </w:p>
    <w:p w14:paraId="0422C333" w14:textId="77777777" w:rsidR="00402CED" w:rsidRPr="00487BD9" w:rsidRDefault="00D045BC" w:rsidP="00487BD9">
      <w:pPr>
        <w:pStyle w:val="Heading2"/>
        <w:rPr>
          <w:rFonts w:ascii="Arial" w:hAnsi="Arial" w:cs="Arial"/>
          <w:lang w:val="en-GB"/>
        </w:rPr>
      </w:pPr>
      <w:bookmarkStart w:id="23" w:name="_49t42ayaicle" w:colFirst="0" w:colLast="0"/>
      <w:bookmarkStart w:id="24" w:name="_Toc224288359"/>
      <w:bookmarkEnd w:id="23"/>
      <w:r w:rsidRPr="00487BD9">
        <w:rPr>
          <w:rFonts w:ascii="Arial" w:hAnsi="Arial" w:cs="Arial"/>
          <w:lang w:val="en-GB"/>
        </w:rPr>
        <w:t>2.5 Gearing / Solvency Analysis</w:t>
      </w:r>
      <w:bookmarkEnd w:id="24"/>
    </w:p>
    <w:p w14:paraId="44A71D9F" w14:textId="15CF98AA" w:rsidR="00402CED" w:rsidRPr="00487BD9" w:rsidRDefault="00D045BC" w:rsidP="00487BD9">
      <w:pPr>
        <w:rPr>
          <w:rFonts w:ascii="Arial" w:hAnsi="Arial" w:cs="Arial"/>
          <w:lang w:val="en-GB"/>
        </w:rPr>
      </w:pPr>
      <w:r w:rsidRPr="00487BD9">
        <w:rPr>
          <w:rFonts w:ascii="Arial" w:hAnsi="Arial" w:cs="Arial"/>
          <w:lang w:val="en-GB"/>
        </w:rPr>
        <w:t xml:space="preserve">The solvency ratios examine how a company can fulfil its long-term financial commitments and check on the stability of the capital structure of a company. The total debt of Tesla grew to $14.7 billion in 2025, whereas the shareholder equity was growing to $82.9 billion during this time span (Annual Report, 2024). Consequently, the debt-to-equity ratio decreased </w:t>
      </w:r>
      <w:r w:rsidR="00651092" w:rsidRPr="00487BD9">
        <w:rPr>
          <w:rFonts w:ascii="Arial" w:hAnsi="Arial" w:cs="Arial"/>
          <w:lang w:val="en-GB"/>
        </w:rPr>
        <w:t>from</w:t>
      </w:r>
      <w:r w:rsidRPr="00487BD9">
        <w:rPr>
          <w:rFonts w:ascii="Arial" w:hAnsi="Arial" w:cs="Arial"/>
          <w:lang w:val="en-GB"/>
        </w:rPr>
        <w:t xml:space="preserve"> 0.28</w:t>
      </w:r>
      <w:r w:rsidR="00651092" w:rsidRPr="00487BD9">
        <w:rPr>
          <w:rFonts w:ascii="Arial" w:hAnsi="Arial" w:cs="Arial"/>
          <w:lang w:val="en-GB"/>
        </w:rPr>
        <w:t xml:space="preserve"> </w:t>
      </w:r>
      <w:r w:rsidRPr="00487BD9">
        <w:rPr>
          <w:rFonts w:ascii="Arial" w:hAnsi="Arial" w:cs="Arial"/>
          <w:lang w:val="en-GB"/>
        </w:rPr>
        <w:t>to 0.18</w:t>
      </w:r>
      <w:r w:rsidR="00651092" w:rsidRPr="00487BD9">
        <w:rPr>
          <w:rFonts w:ascii="Arial" w:hAnsi="Arial" w:cs="Arial"/>
          <w:lang w:val="en-GB"/>
        </w:rPr>
        <w:t xml:space="preserve"> in 2025</w:t>
      </w:r>
      <w:r w:rsidRPr="00487BD9">
        <w:rPr>
          <w:rFonts w:ascii="Arial" w:hAnsi="Arial" w:cs="Arial"/>
          <w:lang w:val="en-GB"/>
        </w:rPr>
        <w:t>, which means that it increased its dependence on equity financing</w:t>
      </w:r>
      <w:r w:rsidR="008C3518" w:rsidRPr="00487BD9">
        <w:rPr>
          <w:rFonts w:ascii="Arial" w:hAnsi="Arial" w:cs="Arial"/>
          <w:lang w:val="en-GB"/>
        </w:rPr>
        <w:t xml:space="preserve"> </w:t>
      </w:r>
      <w:r w:rsidR="008C3518" w:rsidRPr="00487BD9">
        <w:rPr>
          <w:rFonts w:ascii="Arial" w:hAnsi="Arial" w:cs="Arial"/>
          <w:i/>
          <w:iCs/>
          <w:lang w:val="en-GB"/>
        </w:rPr>
        <w:t xml:space="preserve">[Refer to Appendix </w:t>
      </w:r>
      <w:r w:rsidR="00651092" w:rsidRPr="00487BD9">
        <w:rPr>
          <w:rFonts w:ascii="Arial" w:hAnsi="Arial" w:cs="Arial"/>
          <w:i/>
          <w:iCs/>
          <w:lang w:val="en-GB"/>
        </w:rPr>
        <w:t>D</w:t>
      </w:r>
      <w:r w:rsidR="008C3518" w:rsidRPr="00487BD9">
        <w:rPr>
          <w:rFonts w:ascii="Arial" w:hAnsi="Arial" w:cs="Arial"/>
          <w:i/>
          <w:iCs/>
          <w:lang w:val="en-GB"/>
        </w:rPr>
        <w:t>]</w:t>
      </w:r>
      <w:r w:rsidRPr="00487BD9">
        <w:rPr>
          <w:rFonts w:ascii="Arial" w:hAnsi="Arial" w:cs="Arial"/>
          <w:lang w:val="en-GB"/>
        </w:rPr>
        <w:t>. According to Ding (2025), since Tesla has a comparatively low leverage, the company becomes more stable financially and less likely to go bankrupt in the long term. The stock performance of Tesla is also determined by investor sentiment, as well as technological advancements (Iqbal and Efendi, 2025)</w:t>
      </w:r>
      <w:r w:rsidR="008C3518" w:rsidRPr="00487BD9">
        <w:rPr>
          <w:rFonts w:ascii="Arial" w:hAnsi="Arial" w:cs="Arial"/>
          <w:lang w:val="en-GB"/>
        </w:rPr>
        <w:t>.</w:t>
      </w:r>
    </w:p>
    <w:p w14:paraId="5A28290A" w14:textId="77777777" w:rsidR="00402CED" w:rsidRPr="00487BD9" w:rsidRDefault="00D045BC" w:rsidP="00487BD9">
      <w:pPr>
        <w:pStyle w:val="Heading2"/>
        <w:rPr>
          <w:rFonts w:ascii="Arial" w:hAnsi="Arial" w:cs="Arial"/>
          <w:lang w:val="en-GB"/>
        </w:rPr>
      </w:pPr>
      <w:bookmarkStart w:id="25" w:name="_ccre8ll18hsk" w:colFirst="0" w:colLast="0"/>
      <w:bookmarkStart w:id="26" w:name="_Toc224288360"/>
      <w:bookmarkEnd w:id="25"/>
      <w:r w:rsidRPr="00487BD9">
        <w:rPr>
          <w:rFonts w:ascii="Arial" w:hAnsi="Arial" w:cs="Arial"/>
          <w:lang w:val="en-GB"/>
        </w:rPr>
        <w:lastRenderedPageBreak/>
        <w:t>2.6 Investment and Cash Flow Analysis</w:t>
      </w:r>
      <w:bookmarkEnd w:id="26"/>
    </w:p>
    <w:p w14:paraId="51BB3B06" w14:textId="61FC6EAB" w:rsidR="00402CED" w:rsidRPr="00487BD9" w:rsidRDefault="00D045BC" w:rsidP="00487BD9">
      <w:pPr>
        <w:rPr>
          <w:rFonts w:ascii="Arial" w:hAnsi="Arial" w:cs="Arial"/>
          <w:lang w:val="en-GB"/>
        </w:rPr>
      </w:pPr>
      <w:r w:rsidRPr="00487BD9">
        <w:rPr>
          <w:rFonts w:ascii="Arial" w:hAnsi="Arial" w:cs="Arial"/>
          <w:lang w:val="en-GB"/>
        </w:rPr>
        <w:t>The cash flow analysis shows that Tesla is financially viable and can sustain its development in the future. The cash flow operation is getting stronger, as the case is, approximately the same increase in Cash flow operation as in 2021 of about $11.5 billion to 2022 of about $14.7 billion and further to 2024, which is about $14.9 billion, signifying a good cash operation in the core operations (Annual Report, 2024). The capital expenditure</w:t>
      </w:r>
      <w:r w:rsidR="008C3518" w:rsidRPr="00487BD9">
        <w:rPr>
          <w:rFonts w:ascii="Arial" w:hAnsi="Arial" w:cs="Arial"/>
          <w:lang w:val="en-GB"/>
        </w:rPr>
        <w:t xml:space="preserve"> has </w:t>
      </w:r>
      <w:r w:rsidRPr="00487BD9">
        <w:rPr>
          <w:rFonts w:ascii="Arial" w:hAnsi="Arial" w:cs="Arial"/>
          <w:lang w:val="en-GB"/>
        </w:rPr>
        <w:t xml:space="preserve">increased </w:t>
      </w:r>
      <w:r w:rsidR="00191B1C" w:rsidRPr="00487BD9">
        <w:rPr>
          <w:rFonts w:ascii="Arial" w:hAnsi="Arial" w:cs="Arial"/>
          <w:lang w:val="en-GB"/>
        </w:rPr>
        <w:t>in</w:t>
      </w:r>
      <w:r w:rsidRPr="00487BD9">
        <w:rPr>
          <w:rFonts w:ascii="Arial" w:hAnsi="Arial" w:cs="Arial"/>
          <w:lang w:val="en-GB"/>
        </w:rPr>
        <w:t xml:space="preserve"> 2021 to $6.5 billion</w:t>
      </w:r>
      <w:r w:rsidR="008C3518" w:rsidRPr="00487BD9">
        <w:rPr>
          <w:rFonts w:ascii="Arial" w:hAnsi="Arial" w:cs="Arial"/>
          <w:lang w:val="en-GB"/>
        </w:rPr>
        <w:t xml:space="preserve"> </w:t>
      </w:r>
      <w:r w:rsidR="008C3518" w:rsidRPr="00487BD9">
        <w:rPr>
          <w:rFonts w:ascii="Arial" w:hAnsi="Arial" w:cs="Arial"/>
          <w:i/>
          <w:iCs/>
          <w:lang w:val="en-GB"/>
        </w:rPr>
        <w:t>[Refer to Appendix A]</w:t>
      </w:r>
      <w:r w:rsidR="008C3518" w:rsidRPr="00487BD9">
        <w:rPr>
          <w:rFonts w:ascii="Arial" w:hAnsi="Arial" w:cs="Arial"/>
          <w:lang w:val="en-GB"/>
        </w:rPr>
        <w:t>. this was further</w:t>
      </w:r>
      <w:r w:rsidRPr="00487BD9">
        <w:rPr>
          <w:rFonts w:ascii="Arial" w:hAnsi="Arial" w:cs="Arial"/>
          <w:lang w:val="en-GB"/>
        </w:rPr>
        <w:t xml:space="preserve"> increased to more than $11.3 billion in 2024, primarily aimed at gigafactories and battery production. Chari and Ferreira (2025)</w:t>
      </w:r>
      <w:r w:rsidR="008C3518" w:rsidRPr="00487BD9">
        <w:rPr>
          <w:rFonts w:ascii="Arial" w:hAnsi="Arial" w:cs="Arial"/>
          <w:lang w:val="en-GB"/>
        </w:rPr>
        <w:t xml:space="preserve"> stated that</w:t>
      </w:r>
      <w:r w:rsidRPr="00487BD9">
        <w:rPr>
          <w:rFonts w:ascii="Arial" w:hAnsi="Arial" w:cs="Arial"/>
          <w:lang w:val="en-GB"/>
        </w:rPr>
        <w:t xml:space="preserve"> the long-term strategy of Tesla is supported by constant investments in the infrastructure of technology and renewable energy</w:t>
      </w:r>
      <w:r w:rsidR="008C3518" w:rsidRPr="00487BD9">
        <w:rPr>
          <w:rFonts w:ascii="Arial" w:hAnsi="Arial" w:cs="Arial"/>
          <w:lang w:val="en-GB"/>
        </w:rPr>
        <w:t>.</w:t>
      </w:r>
    </w:p>
    <w:p w14:paraId="45F7DB74" w14:textId="77777777" w:rsidR="008C3518" w:rsidRPr="00487BD9" w:rsidRDefault="008C3518" w:rsidP="00487BD9">
      <w:pPr>
        <w:rPr>
          <w:rFonts w:ascii="Arial" w:hAnsi="Arial" w:cs="Arial"/>
          <w:lang w:val="en-GB"/>
        </w:rPr>
      </w:pPr>
    </w:p>
    <w:p w14:paraId="16D43F95" w14:textId="77777777" w:rsidR="00402CED" w:rsidRPr="00487BD9" w:rsidRDefault="00D045BC" w:rsidP="00487BD9">
      <w:pPr>
        <w:pStyle w:val="Heading1"/>
        <w:rPr>
          <w:rFonts w:ascii="Arial" w:hAnsi="Arial" w:cs="Arial"/>
          <w:lang w:val="en-GB"/>
        </w:rPr>
      </w:pPr>
      <w:bookmarkStart w:id="27" w:name="_lt3t4pcgtalo" w:colFirst="0" w:colLast="0"/>
      <w:bookmarkStart w:id="28" w:name="_Toc224288361"/>
      <w:bookmarkEnd w:id="27"/>
      <w:r w:rsidRPr="00487BD9">
        <w:rPr>
          <w:rFonts w:ascii="Arial" w:hAnsi="Arial" w:cs="Arial"/>
          <w:lang w:val="en-GB"/>
        </w:rPr>
        <w:t>3. Working Capital Management Analysis</w:t>
      </w:r>
      <w:bookmarkEnd w:id="28"/>
    </w:p>
    <w:p w14:paraId="6797E7E8" w14:textId="77777777" w:rsidR="00402CED" w:rsidRPr="00487BD9" w:rsidRDefault="00D045BC" w:rsidP="00487BD9">
      <w:pPr>
        <w:pStyle w:val="Heading2"/>
        <w:rPr>
          <w:rFonts w:ascii="Arial" w:hAnsi="Arial" w:cs="Arial"/>
          <w:lang w:val="en-GB"/>
        </w:rPr>
      </w:pPr>
      <w:bookmarkStart w:id="29" w:name="_arlp0ue0s4c2" w:colFirst="0" w:colLast="0"/>
      <w:bookmarkStart w:id="30" w:name="_Toc224288362"/>
      <w:bookmarkEnd w:id="29"/>
      <w:r w:rsidRPr="00487BD9">
        <w:rPr>
          <w:rFonts w:ascii="Arial" w:hAnsi="Arial" w:cs="Arial"/>
          <w:lang w:val="en-GB"/>
        </w:rPr>
        <w:t>3.1 Tesla’s Cash Operating Cycle</w:t>
      </w:r>
      <w:bookmarkEnd w:id="30"/>
    </w:p>
    <w:p w14:paraId="49A892A3" w14:textId="1368CD2D" w:rsidR="00402CED" w:rsidRPr="00487BD9" w:rsidRDefault="00D045BC" w:rsidP="00487BD9">
      <w:pPr>
        <w:rPr>
          <w:rFonts w:ascii="Arial" w:hAnsi="Arial" w:cs="Arial"/>
          <w:lang w:val="en-GB"/>
        </w:rPr>
      </w:pPr>
      <w:r w:rsidRPr="00487BD9">
        <w:rPr>
          <w:rFonts w:ascii="Arial" w:hAnsi="Arial" w:cs="Arial"/>
          <w:lang w:val="en-GB"/>
        </w:rPr>
        <w:t xml:space="preserve">Cash operating cycle, sometimes known as cash conversion cycle (CCC), is a measurement of the duration it takes the company to turn investments on inventory and other operating resources into cash inflows from customers. </w:t>
      </w:r>
      <w:r w:rsidR="00191B1C" w:rsidRPr="00487BD9">
        <w:rPr>
          <w:rFonts w:ascii="Arial" w:hAnsi="Arial" w:cs="Arial"/>
          <w:lang w:val="en-GB"/>
        </w:rPr>
        <w:t xml:space="preserve">As stated by </w:t>
      </w:r>
      <w:r w:rsidR="00191B1C" w:rsidRPr="00487BD9">
        <w:rPr>
          <w:rFonts w:ascii="Arial" w:hAnsi="Arial" w:cs="Arial"/>
          <w:color w:val="222222"/>
          <w:shd w:val="clear" w:color="auto" w:fill="FFFFFF"/>
        </w:rPr>
        <w:t>Asman et al., (2022), t</w:t>
      </w:r>
      <w:r w:rsidRPr="00487BD9">
        <w:rPr>
          <w:rFonts w:ascii="Arial" w:hAnsi="Arial" w:cs="Arial"/>
          <w:lang w:val="en-GB"/>
        </w:rPr>
        <w:t>his cycle give</w:t>
      </w:r>
      <w:r w:rsidR="00191B1C" w:rsidRPr="00487BD9">
        <w:rPr>
          <w:rFonts w:ascii="Arial" w:hAnsi="Arial" w:cs="Arial"/>
          <w:lang w:val="en-GB"/>
        </w:rPr>
        <w:t>s</w:t>
      </w:r>
      <w:r w:rsidRPr="00487BD9">
        <w:rPr>
          <w:rFonts w:ascii="Arial" w:hAnsi="Arial" w:cs="Arial"/>
          <w:lang w:val="en-GB"/>
        </w:rPr>
        <w:t xml:space="preserve"> a valuable measure of working capital efficiency since </w:t>
      </w:r>
      <w:r w:rsidR="00191B1C" w:rsidRPr="00487BD9">
        <w:rPr>
          <w:rFonts w:ascii="Arial" w:hAnsi="Arial" w:cs="Arial"/>
          <w:lang w:val="en-GB"/>
        </w:rPr>
        <w:t xml:space="preserve">it </w:t>
      </w:r>
      <w:r w:rsidRPr="00487BD9">
        <w:rPr>
          <w:rFonts w:ascii="Arial" w:hAnsi="Arial" w:cs="Arial"/>
          <w:lang w:val="en-GB"/>
        </w:rPr>
        <w:t>shows the speed of the firm to raise liquidity as a result of core business operations. In capital-intensive businesses like the automotive manufacturing business, efficient management of the working capital is especially essential as the production cycle requires huge investments in the inventory, raw materials and machinery used in the manufacturing process. The amount of inventory that Tesla had actually grew tremendously in the period under analysis. The period of 2021 was when the inventory was around $5.7 billion, and by 2025, the growth of global production capacity and an increase in vehicle delivery volumes took place</w:t>
      </w:r>
      <w:r w:rsidR="00605094" w:rsidRPr="00487BD9">
        <w:rPr>
          <w:rFonts w:ascii="Arial" w:hAnsi="Arial" w:cs="Arial"/>
          <w:lang w:val="en-GB"/>
        </w:rPr>
        <w:t xml:space="preserve">. This </w:t>
      </w:r>
      <w:r w:rsidRPr="00487BD9">
        <w:rPr>
          <w:rFonts w:ascii="Arial" w:hAnsi="Arial" w:cs="Arial"/>
          <w:lang w:val="en-GB"/>
        </w:rPr>
        <w:t xml:space="preserve">is why the inventory grew by approximately $7 billion to $12.4 billion (Annual Report, 2024). This growth was considerably supported by the growth of Tesla's giant factories and the rising demand for electric cars in foreign markets. There was also an improvement in the receivables over the same period when the world sales had grown. The accounts receivable of Tesla rose, as a percentage of the revenue, to $4.7 billion in 2025, which is more than it was in 2021 (approximately $2.0 billion), meaning that a higher number of sales were held as credit sales but not yet turned into cash (Annual Report, 2024). Nevertheless, </w:t>
      </w:r>
      <w:r w:rsidRPr="00487BD9">
        <w:rPr>
          <w:rFonts w:ascii="Arial" w:hAnsi="Arial" w:cs="Arial"/>
          <w:lang w:val="en-GB"/>
        </w:rPr>
        <w:lastRenderedPageBreak/>
        <w:t xml:space="preserve">the ratio of Tesla receivables is still very low in relation to the total revenue, which indicates that the company receives payments rather quickly </w:t>
      </w:r>
      <w:r w:rsidRPr="00487BD9">
        <w:rPr>
          <w:rFonts w:ascii="Arial" w:hAnsi="Arial" w:cs="Arial"/>
          <w:i/>
          <w:iCs/>
          <w:lang w:val="en-GB"/>
        </w:rPr>
        <w:t>[Refer to Appendix C]</w:t>
      </w:r>
      <w:r w:rsidRPr="00487BD9">
        <w:rPr>
          <w:rFonts w:ascii="Arial" w:hAnsi="Arial" w:cs="Arial"/>
          <w:lang w:val="en-GB"/>
        </w:rPr>
        <w:t>.</w:t>
      </w:r>
    </w:p>
    <w:p w14:paraId="630E4B82" w14:textId="77777777" w:rsidR="00402CED" w:rsidRPr="00487BD9" w:rsidRDefault="00D045BC" w:rsidP="00487BD9">
      <w:pPr>
        <w:rPr>
          <w:rFonts w:ascii="Arial" w:hAnsi="Arial" w:cs="Arial"/>
          <w:lang w:val="en-GB"/>
        </w:rPr>
      </w:pPr>
      <w:r w:rsidRPr="00487BD9">
        <w:rPr>
          <w:rFonts w:ascii="Arial" w:hAnsi="Arial" w:cs="Arial"/>
          <w:lang w:val="en-GB"/>
        </w:rPr>
        <w:t>The accounts payable grew because in 2021, there were about $10.0 billion, and in 2025, it was 13.4 billion, which demonstrates that Tesla has a good supplier financing setup (Annual Report, 2024). With longer terms of payment to its suppliers, Tesla will be able to finance its working capital needs without any further external financing. According to Soliman (2025), the vertically integrated manufacturing model enables Tesla to have supply chains that are more coordinated than those of the traditional automotive manufacturers. The dynamic production planning systems and the intertwined logistic networks of the company serve to minimise the delays in the operations and enhance the efficiency of the inventory turnover. In sum, the working capital structure of Tesla shows that its cash operating cycle is rather efficient. High speed of customer payments and long supplier payment terms enable the company to have high operational liquidity and help it to sustain high production growth on a large scale.</w:t>
      </w:r>
    </w:p>
    <w:p w14:paraId="3673A154" w14:textId="77777777" w:rsidR="00402CED" w:rsidRPr="00487BD9" w:rsidRDefault="00D045BC" w:rsidP="00487BD9">
      <w:pPr>
        <w:pStyle w:val="Heading2"/>
        <w:rPr>
          <w:rFonts w:ascii="Arial" w:hAnsi="Arial" w:cs="Arial"/>
          <w:lang w:val="en-GB"/>
        </w:rPr>
      </w:pPr>
      <w:bookmarkStart w:id="31" w:name="_js6j3v78nx5b" w:colFirst="0" w:colLast="0"/>
      <w:bookmarkStart w:id="32" w:name="_Toc224288363"/>
      <w:bookmarkEnd w:id="31"/>
      <w:r w:rsidRPr="00487BD9">
        <w:rPr>
          <w:rFonts w:ascii="Arial" w:hAnsi="Arial" w:cs="Arial"/>
          <w:lang w:val="en-GB"/>
        </w:rPr>
        <w:t>3.2 Liquidity Improvement Strategies</w:t>
      </w:r>
      <w:bookmarkEnd w:id="32"/>
    </w:p>
    <w:p w14:paraId="0D00EAF6" w14:textId="77777777" w:rsidR="00402CED" w:rsidRPr="00487BD9" w:rsidRDefault="00D045BC" w:rsidP="00487BD9">
      <w:pPr>
        <w:rPr>
          <w:rFonts w:ascii="Arial" w:hAnsi="Arial" w:cs="Arial"/>
          <w:lang w:val="en-GB"/>
        </w:rPr>
      </w:pPr>
      <w:r w:rsidRPr="00487BD9">
        <w:rPr>
          <w:rFonts w:ascii="Arial" w:hAnsi="Arial" w:cs="Arial"/>
          <w:lang w:val="en-GB"/>
        </w:rPr>
        <w:t>Despite the fact that Tesla has a good working capital performance, there are a number of strategies that can optimise the liquidity and minimise the operational risk. The cost of storage and cash flow can also be improved by improving the inventory management with better demand forecasting and production planning. Artificial intelligence and data analytics are digital technologies that can be used to improve coordination of the supply chain and operational efficiency (Cheng, 2025). Liquidity can also be enhanced by faster payment systems and digital platforms to collect their receivables. The Tesla sales model through direct-to-consumer sales already facilitates effective payment processing. According to Liang and Yubin (2025), the Tesla software-based systems enhance the management of financial data and the coordination of supply chains. Improved working capital efficiency would be achieved through the stronger cooperation between suppliers, enhancing operations and stabilising it.</w:t>
      </w:r>
    </w:p>
    <w:p w14:paraId="774291DE" w14:textId="77777777" w:rsidR="00402CED" w:rsidRPr="00487BD9" w:rsidRDefault="00D045BC" w:rsidP="00487BD9">
      <w:pPr>
        <w:pStyle w:val="Heading2"/>
        <w:rPr>
          <w:rFonts w:ascii="Arial" w:hAnsi="Arial" w:cs="Arial"/>
          <w:lang w:val="en-GB"/>
        </w:rPr>
      </w:pPr>
      <w:bookmarkStart w:id="33" w:name="_5d2ggh98o1ts" w:colFirst="0" w:colLast="0"/>
      <w:bookmarkStart w:id="34" w:name="_Toc224288364"/>
      <w:bookmarkEnd w:id="33"/>
      <w:r w:rsidRPr="00487BD9">
        <w:rPr>
          <w:rFonts w:ascii="Arial" w:hAnsi="Arial" w:cs="Arial"/>
          <w:lang w:val="en-GB"/>
        </w:rPr>
        <w:t>3.3 Financing Working Capital</w:t>
      </w:r>
      <w:bookmarkEnd w:id="34"/>
    </w:p>
    <w:p w14:paraId="4FE2DBD2" w14:textId="6C08537C" w:rsidR="00402CED" w:rsidRPr="00487BD9" w:rsidRDefault="00D045BC" w:rsidP="00487BD9">
      <w:pPr>
        <w:rPr>
          <w:rFonts w:ascii="Arial" w:hAnsi="Arial" w:cs="Arial"/>
          <w:lang w:val="en-GB"/>
        </w:rPr>
      </w:pPr>
      <w:r w:rsidRPr="00487BD9">
        <w:rPr>
          <w:rFonts w:ascii="Arial" w:hAnsi="Arial" w:cs="Arial"/>
          <w:lang w:val="en-GB"/>
        </w:rPr>
        <w:t>A combination of short-term and long-term financing instruments can be used to finance working capital requirements. The decision on the capital structure and financial risk tolerance is determined by factors that dictate the choice of the financing method to be used</w:t>
      </w:r>
      <w:r w:rsidR="00605094" w:rsidRPr="00487BD9">
        <w:rPr>
          <w:rFonts w:ascii="Arial" w:hAnsi="Arial" w:cs="Arial"/>
          <w:lang w:val="en-GB"/>
        </w:rPr>
        <w:t xml:space="preserve"> (</w:t>
      </w:r>
      <w:r w:rsidR="00605094" w:rsidRPr="00487BD9">
        <w:rPr>
          <w:rFonts w:ascii="Arial" w:hAnsi="Arial" w:cs="Arial"/>
          <w:color w:val="222222"/>
          <w:shd w:val="clear" w:color="auto" w:fill="FFFFFF"/>
        </w:rPr>
        <w:t>Filatova et al., 2024)</w:t>
      </w:r>
      <w:r w:rsidRPr="00487BD9">
        <w:rPr>
          <w:rFonts w:ascii="Arial" w:hAnsi="Arial" w:cs="Arial"/>
          <w:lang w:val="en-GB"/>
        </w:rPr>
        <w:t xml:space="preserve">. Temporary working capital needs are </w:t>
      </w:r>
      <w:r w:rsidRPr="00487BD9">
        <w:rPr>
          <w:rFonts w:ascii="Arial" w:hAnsi="Arial" w:cs="Arial"/>
          <w:lang w:val="en-GB"/>
        </w:rPr>
        <w:lastRenderedPageBreak/>
        <w:t>normally financed by short-term financing. One of the most commonly used short-term financing methods in manufacturing industries is trade credit. By withholding payments owed to its suppliers, businesses are able to fund through withholding part of its operation expenses. Other short-term financing instruments are bank overdrafts, short-term loans and commercial papers. These tools give the company a degree of flexibility and enable the company to react fast to changes in demand of production or disruptions in the supply chain. Permanent working capital needs can also be facilitated by the use of long-term funding options. These alternatives are corporate bonds, equity financing and retained earnings. Equity financing has traditionally been more prominent at Tesla because of the high confidence of the investors in the prospects of growth in the long</w:t>
      </w:r>
      <w:r w:rsidR="00605094" w:rsidRPr="00487BD9">
        <w:rPr>
          <w:rFonts w:ascii="Arial" w:hAnsi="Arial" w:cs="Arial"/>
          <w:lang w:val="en-GB"/>
        </w:rPr>
        <w:t>-</w:t>
      </w:r>
      <w:r w:rsidRPr="00487BD9">
        <w:rPr>
          <w:rFonts w:ascii="Arial" w:hAnsi="Arial" w:cs="Arial"/>
          <w:lang w:val="en-GB"/>
        </w:rPr>
        <w:t>term.</w:t>
      </w:r>
    </w:p>
    <w:p w14:paraId="4D17EFF7" w14:textId="77777777" w:rsidR="00402CED" w:rsidRPr="00487BD9" w:rsidRDefault="00D045BC" w:rsidP="00487BD9">
      <w:pPr>
        <w:rPr>
          <w:rFonts w:ascii="Arial" w:hAnsi="Arial" w:cs="Arial"/>
          <w:lang w:val="en-GB"/>
        </w:rPr>
      </w:pPr>
      <w:r w:rsidRPr="00487BD9">
        <w:rPr>
          <w:rFonts w:ascii="Arial" w:hAnsi="Arial" w:cs="Arial"/>
          <w:lang w:val="en-GB"/>
        </w:rPr>
        <w:t>The study of the Tesla financial strategy indicates that the availability of equity markets gives the firm a comparatively stable source of funds as opposed to the highly leveraged conventional automotive producing firms (Ding, 2025). Various financing instruments are gaining prominence in the electric vehicle sector, with companies striving to make their financial strategy more in line with the sustainability objectives. According to Cui and Chen (2025), green bonds are a new financing tool that is being employed to finance environmentally friendly projects in the automobile industry. There are green bond financing options that Tesla can use to finance their purchases of renewable energy infrastructure, battery technology and environmentally friendly manufacturing plants. These types of financing not only raise capital but also improve corporate reputation and ESG performance. On the whole, the balanced financing plan, comprising internal cash flows, short-term credit facilities, and sustainable financing instruments, would enable Tesla to remain financially flexible without jeopardising further international growth.</w:t>
      </w:r>
    </w:p>
    <w:p w14:paraId="2A5DA70E" w14:textId="77777777" w:rsidR="00402CED" w:rsidRPr="00487BD9" w:rsidRDefault="00D045BC" w:rsidP="00487BD9">
      <w:pPr>
        <w:pStyle w:val="Heading1"/>
        <w:rPr>
          <w:rFonts w:ascii="Arial" w:hAnsi="Arial" w:cs="Arial"/>
          <w:lang w:val="en-GB"/>
        </w:rPr>
      </w:pPr>
      <w:bookmarkStart w:id="35" w:name="_lw3nbzynv9aq" w:colFirst="0" w:colLast="0"/>
      <w:bookmarkStart w:id="36" w:name="_Toc224288365"/>
      <w:bookmarkEnd w:id="35"/>
      <w:r w:rsidRPr="00487BD9">
        <w:rPr>
          <w:rFonts w:ascii="Arial" w:hAnsi="Arial" w:cs="Arial"/>
          <w:lang w:val="en-GB"/>
        </w:rPr>
        <w:t>4. Strategic Financial Restructuring Plan</w:t>
      </w:r>
      <w:bookmarkEnd w:id="36"/>
    </w:p>
    <w:p w14:paraId="65DE9322" w14:textId="77777777" w:rsidR="00402CED" w:rsidRPr="00487BD9" w:rsidRDefault="00D045BC" w:rsidP="00487BD9">
      <w:pPr>
        <w:pStyle w:val="Heading2"/>
        <w:rPr>
          <w:rFonts w:ascii="Arial" w:hAnsi="Arial" w:cs="Arial"/>
          <w:lang w:val="en-GB"/>
        </w:rPr>
      </w:pPr>
      <w:bookmarkStart w:id="37" w:name="_r6vmdx3yfzrd" w:colFirst="0" w:colLast="0"/>
      <w:bookmarkStart w:id="38" w:name="_Toc224288366"/>
      <w:bookmarkEnd w:id="37"/>
      <w:r w:rsidRPr="00487BD9">
        <w:rPr>
          <w:rFonts w:ascii="Arial" w:hAnsi="Arial" w:cs="Arial"/>
          <w:lang w:val="en-GB"/>
        </w:rPr>
        <w:t>4.1 Need for Financial Restructuring</w:t>
      </w:r>
      <w:bookmarkEnd w:id="38"/>
    </w:p>
    <w:p w14:paraId="26BF7165" w14:textId="77777777" w:rsidR="00402CED" w:rsidRPr="00487BD9" w:rsidRDefault="00D045BC" w:rsidP="00487BD9">
      <w:pPr>
        <w:rPr>
          <w:rFonts w:ascii="Arial" w:hAnsi="Arial" w:cs="Arial"/>
          <w:lang w:val="en-GB"/>
        </w:rPr>
      </w:pPr>
      <w:r w:rsidRPr="00487BD9">
        <w:rPr>
          <w:rFonts w:ascii="Arial" w:hAnsi="Arial" w:cs="Arial"/>
          <w:lang w:val="en-GB"/>
        </w:rPr>
        <w:t xml:space="preserve">Financial restructuring is a term used to refer to strategic adjustments in the capital structure, investment priorities, and financial management policy of a company in a bid to enhance its long-term stability and profitability. Despite a good financial growth at Tesla, there are a number of issues that point to the necessity of financial restructuring. Among the significant issues is the fact that the competition in the electric vehicles industry has been growing fast. The existing electric vehicle producers, including BYD and NIO, as well as the classic manufacturers transitioning </w:t>
      </w:r>
      <w:r w:rsidRPr="00487BD9">
        <w:rPr>
          <w:rFonts w:ascii="Arial" w:hAnsi="Arial" w:cs="Arial"/>
          <w:lang w:val="en-GB"/>
        </w:rPr>
        <w:lastRenderedPageBreak/>
        <w:t>to electric vehicles, have increased the competitive pressure. Consequently, Tesla has to keep investing in innovation, technology and manufacturing effectiveness in order to ensure the lead in the market. Chinta and Chinta (2025) describe how the industry of electric vehicles is highly competitive in terms of rapid change in technologies, and companies have to constantly change their financial strategy.</w:t>
      </w:r>
    </w:p>
    <w:p w14:paraId="196DF4B4" w14:textId="1F91BDB8" w:rsidR="00402CED" w:rsidRPr="00487BD9" w:rsidRDefault="00D045BC" w:rsidP="00487BD9">
      <w:pPr>
        <w:rPr>
          <w:rFonts w:ascii="Arial" w:hAnsi="Arial" w:cs="Arial"/>
          <w:lang w:val="en-GB"/>
        </w:rPr>
      </w:pPr>
      <w:r w:rsidRPr="00487BD9">
        <w:rPr>
          <w:rFonts w:ascii="Arial" w:hAnsi="Arial" w:cs="Arial"/>
          <w:lang w:val="en-GB"/>
        </w:rPr>
        <w:t>The other reason is an increase in the cost of technological innovation. Tesla spends a lot of money on artificial intelligence, autonomous driving, battery, and energy storage technologies. Liang and Yubin (2025) observe</w:t>
      </w:r>
      <w:r w:rsidR="00651092" w:rsidRPr="00487BD9">
        <w:rPr>
          <w:rFonts w:ascii="Arial" w:hAnsi="Arial" w:cs="Arial"/>
          <w:lang w:val="en-GB"/>
        </w:rPr>
        <w:t>d</w:t>
      </w:r>
      <w:r w:rsidRPr="00487BD9">
        <w:rPr>
          <w:rFonts w:ascii="Arial" w:hAnsi="Arial" w:cs="Arial"/>
          <w:lang w:val="en-GB"/>
        </w:rPr>
        <w:t xml:space="preserve"> that Tesla's growth strategy is largely pegged on technological development, but its constant research investment needs robust financial planning that will keep it profitable. Costs of production are also raised by macroeconomic forces like inflation, price fluctuations in commodities and the commodity supply chain. Also, global expansion entails the Tesla Company spending a lot of capital to build gigafactories in the United States, China, and Europe. Thus, the financial restructuring should be done strategically to enable it to sustain itself in the long term and compete.</w:t>
      </w:r>
    </w:p>
    <w:p w14:paraId="2A515C08" w14:textId="77777777" w:rsidR="00402CED" w:rsidRPr="00487BD9" w:rsidRDefault="00D045BC" w:rsidP="00487BD9">
      <w:pPr>
        <w:pStyle w:val="Heading2"/>
        <w:rPr>
          <w:rFonts w:ascii="Arial" w:hAnsi="Arial" w:cs="Arial"/>
          <w:lang w:val="en-GB"/>
        </w:rPr>
      </w:pPr>
      <w:bookmarkStart w:id="39" w:name="_2o712i2x131" w:colFirst="0" w:colLast="0"/>
      <w:bookmarkStart w:id="40" w:name="_Toc224288367"/>
      <w:bookmarkEnd w:id="39"/>
      <w:r w:rsidRPr="00487BD9">
        <w:rPr>
          <w:rFonts w:ascii="Arial" w:hAnsi="Arial" w:cs="Arial"/>
          <w:lang w:val="en-GB"/>
        </w:rPr>
        <w:t>4.2 Proposed Financial Restructuring Strategies</w:t>
      </w:r>
      <w:bookmarkEnd w:id="40"/>
    </w:p>
    <w:p w14:paraId="0E44730E" w14:textId="17311594" w:rsidR="00402CED" w:rsidRPr="00487BD9" w:rsidRDefault="00D045BC" w:rsidP="00487BD9">
      <w:pPr>
        <w:rPr>
          <w:rFonts w:ascii="Arial" w:hAnsi="Arial" w:cs="Arial"/>
          <w:lang w:val="en-GB"/>
        </w:rPr>
      </w:pPr>
      <w:r w:rsidRPr="00487BD9">
        <w:rPr>
          <w:rFonts w:ascii="Arial" w:hAnsi="Arial" w:cs="Arial"/>
          <w:lang w:val="en-GB"/>
        </w:rPr>
        <w:t>A</w:t>
      </w:r>
      <w:r w:rsidR="0005342F" w:rsidRPr="00487BD9">
        <w:rPr>
          <w:rFonts w:ascii="Arial" w:hAnsi="Arial" w:cs="Arial"/>
          <w:lang w:val="en-GB"/>
        </w:rPr>
        <w:t xml:space="preserve">s per </w:t>
      </w:r>
      <w:r w:rsidR="0005342F" w:rsidRPr="00487BD9">
        <w:rPr>
          <w:rFonts w:ascii="Arial" w:hAnsi="Arial" w:cs="Arial"/>
          <w:color w:val="222222"/>
          <w:shd w:val="clear" w:color="auto" w:fill="FFFFFF"/>
        </w:rPr>
        <w:t>Siddiqa (2023), there are a</w:t>
      </w:r>
      <w:r w:rsidRPr="00487BD9">
        <w:rPr>
          <w:rFonts w:ascii="Arial" w:hAnsi="Arial" w:cs="Arial"/>
          <w:lang w:val="en-GB"/>
        </w:rPr>
        <w:t xml:space="preserve"> number of financial restructuring options </w:t>
      </w:r>
      <w:r w:rsidR="0005342F" w:rsidRPr="00487BD9">
        <w:rPr>
          <w:rFonts w:ascii="Arial" w:hAnsi="Arial" w:cs="Arial"/>
          <w:lang w:val="en-GB"/>
        </w:rPr>
        <w:t>that can help</w:t>
      </w:r>
      <w:r w:rsidRPr="00487BD9">
        <w:rPr>
          <w:rFonts w:ascii="Arial" w:hAnsi="Arial" w:cs="Arial"/>
          <w:lang w:val="en-GB"/>
        </w:rPr>
        <w:t xml:space="preserve"> enhance the financial position of Tesla and facilitate long-term expansion. One of these measures is to increase equity financing since Tesla is a highly valued company in the market, and a capital increase can be achieved without a substantial rise in financial risk. The other benefit of equity financing is that it saves on interest costs and also enhances the flexibility of the financial position when there is uncertainty in the economy. A further way of cutting down the research and development costs would be strategic alliances with technology companies and battery suppliers, which would enhance supply chain stability as well. The other important strategy is diversification into the renewable energy and energy storage business. The solar energy systems and battery storage can be expanded to create more sources of revenue and minimise the dependence on selling vehicles. According to Luo (2025), electric transportation coupled with renewable energy can enhance the competitiveness of Tesla in the long run. Moreover, the sale of non-core assets and automation of the manufacturing process might promote operational performance. Such measures would enhance the financial flexibility of the Tesla Company as well as promote technological innovation and internationalisation.</w:t>
      </w:r>
    </w:p>
    <w:p w14:paraId="72FE92E2" w14:textId="77777777" w:rsidR="00402CED" w:rsidRPr="00487BD9" w:rsidRDefault="00D045BC" w:rsidP="00487BD9">
      <w:pPr>
        <w:pStyle w:val="Heading2"/>
        <w:rPr>
          <w:rFonts w:ascii="Arial" w:hAnsi="Arial" w:cs="Arial"/>
          <w:lang w:val="en-GB"/>
        </w:rPr>
      </w:pPr>
      <w:bookmarkStart w:id="41" w:name="_hmnbunf928r8" w:colFirst="0" w:colLast="0"/>
      <w:bookmarkStart w:id="42" w:name="_Toc224288368"/>
      <w:bookmarkEnd w:id="41"/>
      <w:r w:rsidRPr="00487BD9">
        <w:rPr>
          <w:rFonts w:ascii="Arial" w:hAnsi="Arial" w:cs="Arial"/>
          <w:lang w:val="en-GB"/>
        </w:rPr>
        <w:lastRenderedPageBreak/>
        <w:t>4.3 Impact on Shareholder Value and Capital Structure</w:t>
      </w:r>
      <w:bookmarkEnd w:id="42"/>
    </w:p>
    <w:p w14:paraId="2B55EE26" w14:textId="7B3B8762" w:rsidR="00402CED" w:rsidRPr="00487BD9" w:rsidRDefault="00D045BC" w:rsidP="00487BD9">
      <w:pPr>
        <w:rPr>
          <w:rFonts w:ascii="Arial" w:hAnsi="Arial" w:cs="Arial"/>
          <w:lang w:val="en-GB"/>
        </w:rPr>
      </w:pPr>
      <w:r w:rsidRPr="00487BD9">
        <w:rPr>
          <w:rFonts w:ascii="Arial" w:hAnsi="Arial" w:cs="Arial"/>
          <w:lang w:val="en-GB"/>
        </w:rPr>
        <w:t>Restructuring in terms of finance has a major effect on the shareholder value and corporate financial stability</w:t>
      </w:r>
      <w:r w:rsidR="00651092" w:rsidRPr="00487BD9">
        <w:rPr>
          <w:rFonts w:ascii="Arial" w:hAnsi="Arial" w:cs="Arial"/>
          <w:lang w:val="en-GB"/>
        </w:rPr>
        <w:t xml:space="preserve"> (</w:t>
      </w:r>
      <w:r w:rsidR="00651092" w:rsidRPr="00487BD9">
        <w:rPr>
          <w:rFonts w:ascii="Arial" w:hAnsi="Arial" w:cs="Arial"/>
          <w:color w:val="222222"/>
          <w:shd w:val="clear" w:color="auto" w:fill="FFFFFF"/>
        </w:rPr>
        <w:t>Siddiqa, 2023</w:t>
      </w:r>
      <w:r w:rsidR="00651092" w:rsidRPr="00487BD9">
        <w:rPr>
          <w:rFonts w:ascii="Arial" w:hAnsi="Arial" w:cs="Arial"/>
          <w:lang w:val="en-GB"/>
        </w:rPr>
        <w:t>)</w:t>
      </w:r>
      <w:r w:rsidRPr="00487BD9">
        <w:rPr>
          <w:rFonts w:ascii="Arial" w:hAnsi="Arial" w:cs="Arial"/>
          <w:lang w:val="en-GB"/>
        </w:rPr>
        <w:t>. Perhaps one of the most vital results of restructuring is that Tesla may improve its capital structure. The balanced capital structure is one that ensures the financial stability of the company, besides facilitating long-term investment. Tesla has a comparatively conservative level of capital structure compared to most traditional automotive manufacturers. The debt-to-equity ratio of the company has decreased to about 0.18</w:t>
      </w:r>
      <w:r w:rsidR="00651092" w:rsidRPr="00487BD9">
        <w:rPr>
          <w:rFonts w:ascii="Arial" w:hAnsi="Arial" w:cs="Arial"/>
          <w:lang w:val="en-GB"/>
        </w:rPr>
        <w:t xml:space="preserve"> in 2025 from 0.28 in 2021</w:t>
      </w:r>
      <w:r w:rsidRPr="00487BD9">
        <w:rPr>
          <w:rFonts w:ascii="Arial" w:hAnsi="Arial" w:cs="Arial"/>
          <w:lang w:val="en-GB"/>
        </w:rPr>
        <w:t>, showing that Tesla has been more dependent on equity capital rather than debt capital</w:t>
      </w:r>
      <w:r w:rsidR="00651092" w:rsidRPr="00487BD9">
        <w:rPr>
          <w:rFonts w:ascii="Arial" w:hAnsi="Arial" w:cs="Arial"/>
          <w:lang w:val="en-GB"/>
        </w:rPr>
        <w:t xml:space="preserve"> </w:t>
      </w:r>
      <w:r w:rsidR="00651092" w:rsidRPr="00487BD9">
        <w:rPr>
          <w:rFonts w:ascii="Arial" w:hAnsi="Arial" w:cs="Arial"/>
          <w:i/>
          <w:iCs/>
          <w:lang w:val="en-GB"/>
        </w:rPr>
        <w:t>[Refer to Appendix D]</w:t>
      </w:r>
      <w:r w:rsidRPr="00487BD9">
        <w:rPr>
          <w:rFonts w:ascii="Arial" w:hAnsi="Arial" w:cs="Arial"/>
          <w:lang w:val="en-GB"/>
        </w:rPr>
        <w:t>. Such a low leverage level minimises the financial risk and enhances the capacity to endure the economic uncertainty of the company. Debt financing could be minimised in a way that can also enhance the credit rating of Tesla and lower the interest payment in the long run. Reducing financial risk positively affects investor trust and could have a positive impact on the market value of Tesla.</w:t>
      </w:r>
    </w:p>
    <w:p w14:paraId="1A9DFFFF" w14:textId="4CDFAF06" w:rsidR="00402CED" w:rsidRPr="00487BD9" w:rsidRDefault="00D045BC" w:rsidP="00487BD9">
      <w:pPr>
        <w:rPr>
          <w:rFonts w:ascii="Arial" w:hAnsi="Arial" w:cs="Arial"/>
          <w:lang w:val="en-GB"/>
        </w:rPr>
      </w:pPr>
      <w:r w:rsidRPr="00487BD9">
        <w:rPr>
          <w:rFonts w:ascii="Arial" w:hAnsi="Arial" w:cs="Arial"/>
          <w:lang w:val="en-GB"/>
        </w:rPr>
        <w:t>According to Cao (2025), financial forecasting models suggest that there is a very good relationship between technological innovation and the stock market performance of Tesla. Tesla is usually analysed by investors in terms of the future growth potential and not profitability in the short run. Innovation and investment in long-term technological development can be achieved through financial restructuring strategies, which are in turn likely to increase shareholder value by increasing investor expectations of future growth. Artificial intelligence, autonomous driving systems and advanced battery technology investments can lead to Tesla gaining a large competitive advantage in long</w:t>
      </w:r>
      <w:r w:rsidR="00651092" w:rsidRPr="00487BD9">
        <w:rPr>
          <w:rFonts w:ascii="Arial" w:hAnsi="Arial" w:cs="Arial"/>
          <w:lang w:val="en-GB"/>
        </w:rPr>
        <w:t>-</w:t>
      </w:r>
      <w:r w:rsidRPr="00487BD9">
        <w:rPr>
          <w:rFonts w:ascii="Arial" w:hAnsi="Arial" w:cs="Arial"/>
          <w:lang w:val="en-GB"/>
        </w:rPr>
        <w:t>term. The other significant effect of financial restructuring is on dividend policy and retained earnings. This will enable Tesla to save profits and not pay huge dividends, but instead use the money to invest in research and development initiatives. This kind of reinvestment promotes the ongoing technological innovation and reinforcement of the long-term market position of the company. The study of the role of investment in the automotive sector has indicated that having enough capital reserves is crucial to meet the sizeable technological initiatives and investment in infrastructure (Zhang, 2025). Thus, a successful approach of financial restructuring must be geared towards balancing the capital investment, risk management and shareholder value creation.</w:t>
      </w:r>
    </w:p>
    <w:p w14:paraId="3A72AB76" w14:textId="77777777" w:rsidR="00402CED" w:rsidRPr="00487BD9" w:rsidRDefault="00D045BC" w:rsidP="00487BD9">
      <w:pPr>
        <w:pStyle w:val="Heading2"/>
        <w:rPr>
          <w:rFonts w:ascii="Arial" w:hAnsi="Arial" w:cs="Arial"/>
          <w:lang w:val="en-GB"/>
        </w:rPr>
      </w:pPr>
      <w:bookmarkStart w:id="43" w:name="_rt5wcmha5k0l" w:colFirst="0" w:colLast="0"/>
      <w:bookmarkStart w:id="44" w:name="_Toc224288369"/>
      <w:bookmarkEnd w:id="43"/>
      <w:r w:rsidRPr="00487BD9">
        <w:rPr>
          <w:rFonts w:ascii="Arial" w:hAnsi="Arial" w:cs="Arial"/>
          <w:lang w:val="en-GB"/>
        </w:rPr>
        <w:lastRenderedPageBreak/>
        <w:t>4.4 International and Ethical Considerations</w:t>
      </w:r>
      <w:bookmarkEnd w:id="44"/>
    </w:p>
    <w:p w14:paraId="5C288ED4" w14:textId="4C95269A" w:rsidR="00402CED" w:rsidRPr="00487BD9" w:rsidRDefault="00D045BC" w:rsidP="00487BD9">
      <w:pPr>
        <w:rPr>
          <w:rFonts w:ascii="Arial" w:hAnsi="Arial" w:cs="Arial"/>
          <w:lang w:val="en-GB"/>
        </w:rPr>
      </w:pPr>
      <w:r w:rsidRPr="00487BD9">
        <w:rPr>
          <w:rFonts w:ascii="Arial" w:hAnsi="Arial" w:cs="Arial"/>
          <w:lang w:val="en-GB"/>
        </w:rPr>
        <w:t>Tesla is a company with a very globalised business environment, where the main production facilities and markets are located in North America, Europe and Asia</w:t>
      </w:r>
      <w:r w:rsidR="00C46095" w:rsidRPr="00487BD9">
        <w:rPr>
          <w:rFonts w:ascii="Arial" w:hAnsi="Arial" w:cs="Arial"/>
          <w:lang w:val="en-GB"/>
        </w:rPr>
        <w:t xml:space="preserve"> (Tesla, 2025)</w:t>
      </w:r>
      <w:r w:rsidRPr="00487BD9">
        <w:rPr>
          <w:rFonts w:ascii="Arial" w:hAnsi="Arial" w:cs="Arial"/>
          <w:lang w:val="en-GB"/>
        </w:rPr>
        <w:t xml:space="preserve">. This international outlook puts financial pressure in terms of fluctuations in exchange rates, trade policies and economic uncertainty. Currency movements, including the fluctuations between the US dollar, euro and Chinese yuan, may also affect the cost of production and revenue of the international operations. Strategies of good financial risk management, such as currency </w:t>
      </w:r>
      <w:r w:rsidR="00CD2532" w:rsidRPr="00487BD9">
        <w:rPr>
          <w:rFonts w:ascii="Arial" w:hAnsi="Arial" w:cs="Arial"/>
          <w:lang w:val="en-GB"/>
        </w:rPr>
        <w:t>hedging</w:t>
      </w:r>
      <w:r w:rsidRPr="00487BD9">
        <w:rPr>
          <w:rFonts w:ascii="Arial" w:hAnsi="Arial" w:cs="Arial"/>
          <w:lang w:val="en-GB"/>
        </w:rPr>
        <w:t xml:space="preserve"> are thus necessary in order to have a stable financial performance. The inflation world over also influences the cost of production, especially on raw materials in the production of batteries. The lithium, cobalt and nickel prices have been very volatile in recent years, which adds more financial uncertainties to the electric vehicle industry.</w:t>
      </w:r>
    </w:p>
    <w:p w14:paraId="1AFC475D" w14:textId="2F77AA9C" w:rsidR="00402CED" w:rsidRPr="00487BD9" w:rsidRDefault="00D045BC" w:rsidP="00487BD9">
      <w:pPr>
        <w:rPr>
          <w:rFonts w:ascii="Arial" w:hAnsi="Arial" w:cs="Arial"/>
          <w:lang w:val="en-GB"/>
        </w:rPr>
      </w:pPr>
      <w:r w:rsidRPr="00487BD9">
        <w:rPr>
          <w:rFonts w:ascii="Arial" w:hAnsi="Arial" w:cs="Arial"/>
          <w:lang w:val="en-GB"/>
        </w:rPr>
        <w:t>Another component of the corporate strategy of Tesla is environmental sustainability. The firm has an objective of speeding up the worldwide shift toward sustainable power and lowering the level of carbonated emission in transportation. A</w:t>
      </w:r>
      <w:r w:rsidR="00C46095" w:rsidRPr="00487BD9">
        <w:rPr>
          <w:rFonts w:ascii="Arial" w:hAnsi="Arial" w:cs="Arial"/>
          <w:lang w:val="en-GB"/>
        </w:rPr>
        <w:t xml:space="preserve">s per </w:t>
      </w:r>
      <w:r w:rsidRPr="00487BD9">
        <w:rPr>
          <w:rFonts w:ascii="Arial" w:hAnsi="Arial" w:cs="Arial"/>
          <w:lang w:val="en-GB"/>
        </w:rPr>
        <w:t>Yang (2025), the environmental, social and governance strategy at Tesla enhances the corporate reputation and sustainability in the long run. Liu and Zhou (2025) also point out that corporate social responsibility enhances organisational resilience and trust among stakeholders. Conscious supply chain and social responsibility in sourcing of battery materials are thus a necessity in ensuring that it has sustainable growth and credibility worldwide.</w:t>
      </w:r>
    </w:p>
    <w:p w14:paraId="2C6D3B7C" w14:textId="77777777" w:rsidR="00C46095" w:rsidRPr="00487BD9" w:rsidRDefault="00C46095" w:rsidP="00487BD9">
      <w:pPr>
        <w:rPr>
          <w:rFonts w:ascii="Arial" w:hAnsi="Arial" w:cs="Arial"/>
          <w:lang w:val="en-GB"/>
        </w:rPr>
      </w:pPr>
    </w:p>
    <w:p w14:paraId="4293E64A" w14:textId="77777777" w:rsidR="0005342F" w:rsidRPr="00487BD9" w:rsidRDefault="00D045BC" w:rsidP="00487BD9">
      <w:pPr>
        <w:pStyle w:val="Heading1"/>
        <w:rPr>
          <w:rFonts w:ascii="Arial" w:hAnsi="Arial" w:cs="Arial"/>
          <w:lang w:val="en-GB"/>
        </w:rPr>
      </w:pPr>
      <w:bookmarkStart w:id="45" w:name="_51e1aaxejgcy" w:colFirst="0" w:colLast="0"/>
      <w:bookmarkStart w:id="46" w:name="_Toc224288370"/>
      <w:bookmarkEnd w:id="45"/>
      <w:r w:rsidRPr="00487BD9">
        <w:rPr>
          <w:rFonts w:ascii="Arial" w:hAnsi="Arial" w:cs="Arial"/>
          <w:lang w:val="en-GB"/>
        </w:rPr>
        <w:t>5. Investment Appraisal and Capital Budgeting</w:t>
      </w:r>
      <w:bookmarkEnd w:id="46"/>
    </w:p>
    <w:p w14:paraId="5B4A8749" w14:textId="3EF6761B" w:rsidR="00402CED" w:rsidRPr="00487BD9" w:rsidRDefault="00D045BC" w:rsidP="00487BD9">
      <w:pPr>
        <w:pStyle w:val="Heading1"/>
        <w:rPr>
          <w:rFonts w:ascii="Arial" w:hAnsi="Arial" w:cs="Arial"/>
          <w:lang w:val="en-GB"/>
        </w:rPr>
      </w:pPr>
      <w:bookmarkStart w:id="47" w:name="_Toc224288371"/>
      <w:r w:rsidRPr="00487BD9">
        <w:rPr>
          <w:rFonts w:ascii="Arial" w:hAnsi="Arial" w:cs="Arial"/>
          <w:lang w:val="en-GB"/>
        </w:rPr>
        <w:t>5.1 Overview of Capital Budgeting in Strategic Investment</w:t>
      </w:r>
      <w:bookmarkEnd w:id="47"/>
    </w:p>
    <w:p w14:paraId="5534E6D1" w14:textId="77777777" w:rsidR="00402CED" w:rsidRPr="00487BD9" w:rsidRDefault="00D045BC" w:rsidP="00487BD9">
      <w:pPr>
        <w:rPr>
          <w:rFonts w:ascii="Arial" w:hAnsi="Arial" w:cs="Arial"/>
          <w:lang w:val="en-GB"/>
        </w:rPr>
      </w:pPr>
      <w:r w:rsidRPr="00487BD9">
        <w:rPr>
          <w:rFonts w:ascii="Arial" w:hAnsi="Arial" w:cs="Arial"/>
          <w:lang w:val="en-GB"/>
        </w:rPr>
        <w:t xml:space="preserve">Capital budgeting is an important financial decision-making process which is used to analyse the long-term investment prospects and see whether they are worth the money. It is more especially with capital-intensive sectors like the manufacturing of automotive, to which companies spend a lot of money on technology, infrastructure and facilities of production. According to Zhang (2025), such investments are very powerful in terms of long-term shareholder value and competitive advantage. Tesla continues to invest in gigafactories, battery technology and autonomous driving systems as the way to keep growing. Techniques applied by the financial managers to measure the performance of investments and to justify strategic decisions to </w:t>
      </w:r>
      <w:r w:rsidRPr="00487BD9">
        <w:rPr>
          <w:rFonts w:ascii="Arial" w:hAnsi="Arial" w:cs="Arial"/>
          <w:lang w:val="en-GB"/>
        </w:rPr>
        <w:lastRenderedPageBreak/>
        <w:t>allocate capital encompass payback period, accounting rate of return, net present value, internal rate of return and profitability index.</w:t>
      </w:r>
    </w:p>
    <w:p w14:paraId="6987BDF5" w14:textId="77777777" w:rsidR="00402CED" w:rsidRPr="00487BD9" w:rsidRDefault="00D045BC" w:rsidP="00487BD9">
      <w:pPr>
        <w:pStyle w:val="Heading2"/>
        <w:rPr>
          <w:rFonts w:ascii="Arial" w:hAnsi="Arial" w:cs="Arial"/>
          <w:lang w:val="en-GB"/>
        </w:rPr>
      </w:pPr>
      <w:bookmarkStart w:id="48" w:name="_ar1lwnsgjqqs" w:colFirst="0" w:colLast="0"/>
      <w:bookmarkStart w:id="49" w:name="_Toc224288372"/>
      <w:bookmarkEnd w:id="48"/>
      <w:r w:rsidRPr="00487BD9">
        <w:rPr>
          <w:rFonts w:ascii="Arial" w:hAnsi="Arial" w:cs="Arial"/>
          <w:lang w:val="en-GB"/>
        </w:rPr>
        <w:t>5.2 Payback Period (PBP) Analysis</w:t>
      </w:r>
      <w:bookmarkEnd w:id="49"/>
    </w:p>
    <w:p w14:paraId="178F5EA3" w14:textId="6F3B971C" w:rsidR="00402CED" w:rsidRPr="00487BD9" w:rsidRDefault="00D045BC" w:rsidP="00487BD9">
      <w:pPr>
        <w:rPr>
          <w:rFonts w:ascii="Arial" w:hAnsi="Arial" w:cs="Arial"/>
          <w:lang w:val="en-GB"/>
        </w:rPr>
      </w:pPr>
      <w:r w:rsidRPr="00487BD9">
        <w:rPr>
          <w:rFonts w:ascii="Arial" w:hAnsi="Arial" w:cs="Arial"/>
          <w:lang w:val="en-GB"/>
        </w:rPr>
        <w:t xml:space="preserve">Payback period is a prototype of a capital budgeting method that is employed to gauge the duration of time of a project that is required to cover the initial investment with the help of cumulative cash inflows. Its popularity is due to the fact that it offers a fast evaluation of the risk and liquidity of investments. In this scenario, every project will need a capital start-up of 50 million dollars. Project A will yield the inflows of the value of $10m, 12m, 14m, $10m and 8m, totalling </w:t>
      </w:r>
      <w:r w:rsidR="00C46095" w:rsidRPr="00487BD9">
        <w:rPr>
          <w:rFonts w:ascii="Arial" w:hAnsi="Arial" w:cs="Arial"/>
          <w:lang w:val="en-GB"/>
        </w:rPr>
        <w:t>$</w:t>
      </w:r>
      <w:r w:rsidRPr="00487BD9">
        <w:rPr>
          <w:rFonts w:ascii="Arial" w:hAnsi="Arial" w:cs="Arial"/>
          <w:lang w:val="en-GB"/>
        </w:rPr>
        <w:t xml:space="preserve">54 million. Project B generates constant cash flows of $11 million every year, amounting to 55 million. Project C will yield </w:t>
      </w:r>
      <w:r w:rsidR="00C46095" w:rsidRPr="00487BD9">
        <w:rPr>
          <w:rFonts w:ascii="Arial" w:hAnsi="Arial" w:cs="Arial"/>
          <w:lang w:val="en-GB"/>
        </w:rPr>
        <w:t>$</w:t>
      </w:r>
      <w:r w:rsidRPr="00487BD9">
        <w:rPr>
          <w:rFonts w:ascii="Arial" w:hAnsi="Arial" w:cs="Arial"/>
          <w:lang w:val="en-GB"/>
        </w:rPr>
        <w:t xml:space="preserve">5m, </w:t>
      </w:r>
      <w:r w:rsidR="00C46095" w:rsidRPr="00487BD9">
        <w:rPr>
          <w:rFonts w:ascii="Arial" w:hAnsi="Arial" w:cs="Arial"/>
          <w:lang w:val="en-GB"/>
        </w:rPr>
        <w:t>$</w:t>
      </w:r>
      <w:r w:rsidRPr="00487BD9">
        <w:rPr>
          <w:rFonts w:ascii="Arial" w:hAnsi="Arial" w:cs="Arial"/>
          <w:lang w:val="en-GB"/>
        </w:rPr>
        <w:t xml:space="preserve">10m, </w:t>
      </w:r>
      <w:r w:rsidR="00C46095" w:rsidRPr="00487BD9">
        <w:rPr>
          <w:rFonts w:ascii="Arial" w:hAnsi="Arial" w:cs="Arial"/>
          <w:lang w:val="en-GB"/>
        </w:rPr>
        <w:t>$</w:t>
      </w:r>
      <w:r w:rsidRPr="00487BD9">
        <w:rPr>
          <w:rFonts w:ascii="Arial" w:hAnsi="Arial" w:cs="Arial"/>
          <w:lang w:val="en-GB"/>
        </w:rPr>
        <w:t xml:space="preserve">20m, </w:t>
      </w:r>
      <w:r w:rsidR="00C46095" w:rsidRPr="00487BD9">
        <w:rPr>
          <w:rFonts w:ascii="Arial" w:hAnsi="Arial" w:cs="Arial"/>
          <w:lang w:val="en-GB"/>
        </w:rPr>
        <w:t>$</w:t>
      </w:r>
      <w:r w:rsidRPr="00487BD9">
        <w:rPr>
          <w:rFonts w:ascii="Arial" w:hAnsi="Arial" w:cs="Arial"/>
          <w:lang w:val="en-GB"/>
        </w:rPr>
        <w:t xml:space="preserve">25m and </w:t>
      </w:r>
      <w:r w:rsidR="00C46095" w:rsidRPr="00487BD9">
        <w:rPr>
          <w:rFonts w:ascii="Arial" w:hAnsi="Arial" w:cs="Arial"/>
          <w:lang w:val="en-GB"/>
        </w:rPr>
        <w:t>$</w:t>
      </w:r>
      <w:r w:rsidRPr="00487BD9">
        <w:rPr>
          <w:rFonts w:ascii="Arial" w:hAnsi="Arial" w:cs="Arial"/>
          <w:lang w:val="en-GB"/>
        </w:rPr>
        <w:t xml:space="preserve">5m and the total cumulative inflow of the project will be </w:t>
      </w:r>
      <w:r w:rsidR="00C46095" w:rsidRPr="00487BD9">
        <w:rPr>
          <w:rFonts w:ascii="Arial" w:hAnsi="Arial" w:cs="Arial"/>
          <w:lang w:val="en-GB"/>
        </w:rPr>
        <w:t>$</w:t>
      </w:r>
      <w:r w:rsidRPr="00487BD9">
        <w:rPr>
          <w:rFonts w:ascii="Arial" w:hAnsi="Arial" w:cs="Arial"/>
          <w:lang w:val="en-GB"/>
        </w:rPr>
        <w:t>65m. Project C will pay back its initial investment sooner than Projects A and B due to higher cash flows in the intermediate years, which will mitigate financial risks and enhance liquidity</w:t>
      </w:r>
      <w:r w:rsidR="00C46095" w:rsidRPr="00487BD9">
        <w:rPr>
          <w:rFonts w:ascii="Arial" w:hAnsi="Arial" w:cs="Arial"/>
          <w:lang w:val="en-GB"/>
        </w:rPr>
        <w:t xml:space="preserve">. It is because </w:t>
      </w:r>
      <w:r w:rsidRPr="00487BD9">
        <w:rPr>
          <w:rFonts w:ascii="Arial" w:hAnsi="Arial" w:cs="Arial"/>
          <w:lang w:val="en-GB"/>
        </w:rPr>
        <w:t>money will be recouped at an earlier stage and can be invested in other ventures (Zhang, 2025).</w:t>
      </w:r>
    </w:p>
    <w:p w14:paraId="722E45A4" w14:textId="77777777" w:rsidR="00402CED" w:rsidRPr="00487BD9" w:rsidRDefault="00D045BC" w:rsidP="00487BD9">
      <w:pPr>
        <w:pStyle w:val="Heading2"/>
        <w:rPr>
          <w:rFonts w:ascii="Arial" w:hAnsi="Arial" w:cs="Arial"/>
          <w:lang w:val="en-GB"/>
        </w:rPr>
      </w:pPr>
      <w:bookmarkStart w:id="50" w:name="_zi4a81yxogdo" w:colFirst="0" w:colLast="0"/>
      <w:bookmarkStart w:id="51" w:name="_Toc224288373"/>
      <w:bookmarkEnd w:id="50"/>
      <w:r w:rsidRPr="00487BD9">
        <w:rPr>
          <w:rFonts w:ascii="Arial" w:hAnsi="Arial" w:cs="Arial"/>
          <w:lang w:val="en-GB"/>
        </w:rPr>
        <w:t>5.3 Accounting Rate of Return (ARR)</w:t>
      </w:r>
      <w:bookmarkEnd w:id="51"/>
    </w:p>
    <w:p w14:paraId="743287C8" w14:textId="77777777" w:rsidR="00402CED" w:rsidRPr="00487BD9" w:rsidRDefault="00D045BC" w:rsidP="00487BD9">
      <w:pPr>
        <w:rPr>
          <w:rFonts w:ascii="Arial" w:hAnsi="Arial" w:cs="Arial"/>
          <w:lang w:val="en-GB"/>
        </w:rPr>
      </w:pPr>
      <w:r w:rsidRPr="00487BD9">
        <w:rPr>
          <w:rFonts w:ascii="Arial" w:hAnsi="Arial" w:cs="Arial"/>
          <w:lang w:val="en-GB"/>
        </w:rPr>
        <w:t>The accounting rate of return (ARR) is a measure that measures the performance of the investment based on the annual accounting profit that the project yields as compared to the initial investment cost. ARR is determined in the following formula:</w:t>
      </w:r>
    </w:p>
    <w:p w14:paraId="518FF060" w14:textId="78B50885" w:rsidR="00402CED" w:rsidRPr="00487BD9" w:rsidRDefault="00D045BC" w:rsidP="00487BD9">
      <w:pPr>
        <w:jc w:val="center"/>
        <w:rPr>
          <w:rFonts w:ascii="Arial" w:hAnsi="Arial" w:cs="Arial"/>
          <w:lang w:val="en-GB"/>
        </w:rPr>
      </w:pPr>
      <w:r w:rsidRPr="00487BD9">
        <w:rPr>
          <w:rFonts w:ascii="Arial" w:hAnsi="Arial" w:cs="Arial"/>
          <w:lang w:val="en-GB"/>
        </w:rPr>
        <w:t xml:space="preserve">ARR = </w:t>
      </w:r>
      <w:r w:rsidR="00C46095" w:rsidRPr="00487BD9">
        <w:rPr>
          <w:rFonts w:ascii="Arial" w:hAnsi="Arial" w:cs="Arial"/>
          <w:lang w:val="en-GB"/>
        </w:rPr>
        <w:t>[</w:t>
      </w:r>
      <w:r w:rsidRPr="00487BD9">
        <w:rPr>
          <w:rFonts w:ascii="Arial" w:hAnsi="Arial" w:cs="Arial"/>
          <w:lang w:val="en-GB"/>
        </w:rPr>
        <w:t>Average Annual Profit ÷ Initial Investment</w:t>
      </w:r>
      <w:r w:rsidR="00C46095" w:rsidRPr="00487BD9">
        <w:rPr>
          <w:rFonts w:ascii="Arial" w:hAnsi="Arial" w:cs="Arial"/>
          <w:lang w:val="en-GB"/>
        </w:rPr>
        <w:t>]</w:t>
      </w:r>
    </w:p>
    <w:p w14:paraId="1A05824C" w14:textId="39C545EE" w:rsidR="00402CED" w:rsidRPr="00487BD9" w:rsidRDefault="00D045BC" w:rsidP="00487BD9">
      <w:pPr>
        <w:rPr>
          <w:rFonts w:ascii="Arial" w:hAnsi="Arial" w:cs="Arial"/>
          <w:lang w:val="en-GB"/>
        </w:rPr>
      </w:pPr>
      <w:r w:rsidRPr="00487BD9">
        <w:rPr>
          <w:rFonts w:ascii="Arial" w:hAnsi="Arial" w:cs="Arial"/>
          <w:lang w:val="en-GB"/>
        </w:rPr>
        <w:t xml:space="preserve">Since all the projects need the same initial capital, </w:t>
      </w:r>
      <w:r w:rsidR="00C46095" w:rsidRPr="00487BD9">
        <w:rPr>
          <w:rFonts w:ascii="Arial" w:hAnsi="Arial" w:cs="Arial"/>
          <w:lang w:val="en-GB"/>
        </w:rPr>
        <w:t>that is</w:t>
      </w:r>
      <w:r w:rsidRPr="00487BD9">
        <w:rPr>
          <w:rFonts w:ascii="Arial" w:hAnsi="Arial" w:cs="Arial"/>
          <w:lang w:val="en-GB"/>
        </w:rPr>
        <w:t xml:space="preserve"> $50 million, the project with the greatest overall profit shall result in the greatest ARR</w:t>
      </w:r>
      <w:r w:rsidR="00C46095" w:rsidRPr="00487BD9">
        <w:rPr>
          <w:rFonts w:ascii="Arial" w:hAnsi="Arial" w:cs="Arial"/>
          <w:lang w:val="en-GB"/>
        </w:rPr>
        <w:t xml:space="preserve"> </w:t>
      </w:r>
      <w:r w:rsidR="00C46095" w:rsidRPr="00487BD9">
        <w:rPr>
          <w:rFonts w:ascii="Arial" w:hAnsi="Arial" w:cs="Arial"/>
          <w:i/>
          <w:iCs/>
          <w:lang w:val="en-GB"/>
        </w:rPr>
        <w:t>[Refer to Appendix E]</w:t>
      </w:r>
      <w:r w:rsidRPr="00487BD9">
        <w:rPr>
          <w:rFonts w:ascii="Arial" w:hAnsi="Arial" w:cs="Arial"/>
          <w:lang w:val="en-GB"/>
        </w:rPr>
        <w:t>.</w:t>
      </w:r>
    </w:p>
    <w:p w14:paraId="606454E8" w14:textId="3148F1F6" w:rsidR="00402CED" w:rsidRPr="00487BD9" w:rsidRDefault="00D045BC" w:rsidP="00487BD9">
      <w:pPr>
        <w:pStyle w:val="ListParagraph"/>
        <w:numPr>
          <w:ilvl w:val="0"/>
          <w:numId w:val="2"/>
        </w:numPr>
        <w:rPr>
          <w:rFonts w:ascii="Arial" w:hAnsi="Arial" w:cs="Arial"/>
          <w:lang w:val="en-GB"/>
        </w:rPr>
      </w:pPr>
      <w:r w:rsidRPr="00487BD9">
        <w:rPr>
          <w:rFonts w:ascii="Arial" w:hAnsi="Arial" w:cs="Arial"/>
          <w:lang w:val="en-GB"/>
        </w:rPr>
        <w:t xml:space="preserve">Project A produces a total cash inflow of </w:t>
      </w:r>
      <w:r w:rsidR="00C46095" w:rsidRPr="00487BD9">
        <w:rPr>
          <w:rFonts w:ascii="Arial" w:hAnsi="Arial" w:cs="Arial"/>
          <w:lang w:val="en-GB"/>
        </w:rPr>
        <w:t>$</w:t>
      </w:r>
      <w:r w:rsidRPr="00487BD9">
        <w:rPr>
          <w:rFonts w:ascii="Arial" w:hAnsi="Arial" w:cs="Arial"/>
          <w:lang w:val="en-GB"/>
        </w:rPr>
        <w:t>54 million in five years. The mean yearly cash flow is thus about $10.8 million dollars.</w:t>
      </w:r>
    </w:p>
    <w:p w14:paraId="041A2413" w14:textId="77777777" w:rsidR="00402CED" w:rsidRPr="00487BD9" w:rsidRDefault="00D045BC" w:rsidP="00487BD9">
      <w:pPr>
        <w:pStyle w:val="ListParagraph"/>
        <w:numPr>
          <w:ilvl w:val="0"/>
          <w:numId w:val="2"/>
        </w:numPr>
        <w:rPr>
          <w:rFonts w:ascii="Arial" w:hAnsi="Arial" w:cs="Arial"/>
          <w:lang w:val="en-GB"/>
        </w:rPr>
      </w:pPr>
      <w:r w:rsidRPr="00487BD9">
        <w:rPr>
          <w:rFonts w:ascii="Arial" w:hAnsi="Arial" w:cs="Arial"/>
          <w:lang w:val="en-GB"/>
        </w:rPr>
        <w:t>Project B generates a total inflow of $55 million and therefore a cash inflow of an average of $11 million annually.</w:t>
      </w:r>
    </w:p>
    <w:p w14:paraId="79E68D91" w14:textId="77777777" w:rsidR="00402CED" w:rsidRPr="00487BD9" w:rsidRDefault="00D045BC" w:rsidP="00487BD9">
      <w:pPr>
        <w:pStyle w:val="ListParagraph"/>
        <w:numPr>
          <w:ilvl w:val="0"/>
          <w:numId w:val="2"/>
        </w:numPr>
        <w:rPr>
          <w:rFonts w:ascii="Arial" w:hAnsi="Arial" w:cs="Arial"/>
          <w:lang w:val="en-GB"/>
        </w:rPr>
      </w:pPr>
      <w:r w:rsidRPr="00487BD9">
        <w:rPr>
          <w:rFonts w:ascii="Arial" w:hAnsi="Arial" w:cs="Arial"/>
          <w:lang w:val="en-GB"/>
        </w:rPr>
        <w:t>Project C has a total inflow of $65 million, which has an average annual cash inflow of $13 million/annum.</w:t>
      </w:r>
    </w:p>
    <w:p w14:paraId="1CD1FB60" w14:textId="2B3DBC47" w:rsidR="00402CED" w:rsidRPr="00487BD9" w:rsidRDefault="00C46095" w:rsidP="00487BD9">
      <w:pPr>
        <w:rPr>
          <w:rFonts w:ascii="Arial" w:hAnsi="Arial" w:cs="Arial"/>
          <w:lang w:val="en-GB"/>
        </w:rPr>
      </w:pPr>
      <w:r w:rsidRPr="00487BD9">
        <w:rPr>
          <w:rFonts w:ascii="Arial" w:hAnsi="Arial" w:cs="Arial"/>
          <w:lang w:val="en-GB"/>
        </w:rPr>
        <w:t xml:space="preserve">As analysed, </w:t>
      </w:r>
      <w:r w:rsidR="00D045BC" w:rsidRPr="00487BD9">
        <w:rPr>
          <w:rFonts w:ascii="Arial" w:hAnsi="Arial" w:cs="Arial"/>
          <w:lang w:val="en-GB"/>
        </w:rPr>
        <w:t>Project C generates the highest average annual profit, which means that it generates the highest accounting rate of return. The greater ARR indicates that project C is more profitable in terms of profitability</w:t>
      </w:r>
      <w:r w:rsidRPr="00487BD9">
        <w:rPr>
          <w:rFonts w:ascii="Arial" w:hAnsi="Arial" w:cs="Arial"/>
          <w:lang w:val="en-GB"/>
        </w:rPr>
        <w:t>, and as</w:t>
      </w:r>
      <w:r w:rsidR="00D045BC" w:rsidRPr="00487BD9">
        <w:rPr>
          <w:rFonts w:ascii="Arial" w:hAnsi="Arial" w:cs="Arial"/>
          <w:lang w:val="en-GB"/>
        </w:rPr>
        <w:t xml:space="preserve"> compared with the cost of investment. ARR would be of use especially to managers since it is founded on accounting information and is not difficult to interpret. The approach, however, fails to </w:t>
      </w:r>
      <w:r w:rsidR="00D045BC" w:rsidRPr="00487BD9">
        <w:rPr>
          <w:rFonts w:ascii="Arial" w:hAnsi="Arial" w:cs="Arial"/>
          <w:lang w:val="en-GB"/>
        </w:rPr>
        <w:lastRenderedPageBreak/>
        <w:t>include the value of money over time and, as such, ought to be applied along with other capital budgetary methods. Investigations regarding financial decision-making in technological firms highlight that the combination of numerous investment appraisal techniques is critical in the evaluation of strategic projects (Zhang, 2025).</w:t>
      </w:r>
    </w:p>
    <w:p w14:paraId="3EA5438E" w14:textId="77777777" w:rsidR="00402CED" w:rsidRPr="00487BD9" w:rsidRDefault="00D045BC" w:rsidP="00487BD9">
      <w:pPr>
        <w:pStyle w:val="Heading2"/>
        <w:rPr>
          <w:rFonts w:ascii="Arial" w:hAnsi="Arial" w:cs="Arial"/>
          <w:lang w:val="en-GB"/>
        </w:rPr>
      </w:pPr>
      <w:bookmarkStart w:id="52" w:name="_x0q08kop505c" w:colFirst="0" w:colLast="0"/>
      <w:bookmarkStart w:id="53" w:name="_Toc224288374"/>
      <w:bookmarkEnd w:id="52"/>
      <w:r w:rsidRPr="00487BD9">
        <w:rPr>
          <w:rFonts w:ascii="Arial" w:hAnsi="Arial" w:cs="Arial"/>
          <w:lang w:val="en-GB"/>
        </w:rPr>
        <w:t>5.4 Net Present Value (NPV) Analysis</w:t>
      </w:r>
      <w:bookmarkEnd w:id="53"/>
    </w:p>
    <w:p w14:paraId="651D6278" w14:textId="702A9370" w:rsidR="00402CED" w:rsidRPr="00487BD9" w:rsidRDefault="00D045BC" w:rsidP="00487BD9">
      <w:pPr>
        <w:rPr>
          <w:rFonts w:ascii="Arial" w:hAnsi="Arial" w:cs="Arial"/>
          <w:lang w:val="en-GB"/>
        </w:rPr>
      </w:pPr>
      <w:r w:rsidRPr="00487BD9">
        <w:rPr>
          <w:rFonts w:ascii="Arial" w:hAnsi="Arial" w:cs="Arial"/>
          <w:lang w:val="en-GB"/>
        </w:rPr>
        <w:t>One of the most dependable methods of investment appraisal is commonly regarded as net present value (NPV) since it takes into account the time value of money</w:t>
      </w:r>
      <w:r w:rsidR="003B6388" w:rsidRPr="00487BD9">
        <w:rPr>
          <w:rFonts w:ascii="Arial" w:hAnsi="Arial" w:cs="Arial"/>
          <w:lang w:val="en-GB"/>
        </w:rPr>
        <w:t xml:space="preserve"> (</w:t>
      </w:r>
      <w:r w:rsidR="003B6388" w:rsidRPr="00487BD9">
        <w:rPr>
          <w:rFonts w:ascii="Arial" w:hAnsi="Arial" w:cs="Arial"/>
          <w:color w:val="222222"/>
          <w:shd w:val="clear" w:color="auto" w:fill="FFFFFF"/>
        </w:rPr>
        <w:t>Cotter, 2023</w:t>
      </w:r>
      <w:r w:rsidR="003B6388" w:rsidRPr="00487BD9">
        <w:rPr>
          <w:rFonts w:ascii="Arial" w:hAnsi="Arial" w:cs="Arial"/>
          <w:lang w:val="en-GB"/>
        </w:rPr>
        <w:t>)</w:t>
      </w:r>
      <w:r w:rsidRPr="00487BD9">
        <w:rPr>
          <w:rFonts w:ascii="Arial" w:hAnsi="Arial" w:cs="Arial"/>
          <w:lang w:val="en-GB"/>
        </w:rPr>
        <w:t>. The NPV technique finds the present value of the cash inflows that are expected in future using a certain discount rate, usually the cost of money of the company. The rate of discount in this analysis is taken to be 10%. The NPV formula calculates the discounted present value of all the inflows of cash expected annually, and then the initial investment is deducted. Based on this method, the approximate values of NPVs of the three projects are:</w:t>
      </w:r>
    </w:p>
    <w:p w14:paraId="3357852A" w14:textId="77777777" w:rsidR="00402CED" w:rsidRPr="00487BD9" w:rsidRDefault="00D045BC" w:rsidP="00487BD9">
      <w:pPr>
        <w:numPr>
          <w:ilvl w:val="0"/>
          <w:numId w:val="1"/>
        </w:numPr>
        <w:rPr>
          <w:rFonts w:ascii="Arial" w:hAnsi="Arial" w:cs="Arial"/>
          <w:lang w:val="en-GB"/>
        </w:rPr>
      </w:pPr>
      <w:r w:rsidRPr="00487BD9">
        <w:rPr>
          <w:rFonts w:ascii="Arial" w:hAnsi="Arial" w:cs="Arial"/>
          <w:lang w:val="en-GB"/>
        </w:rPr>
        <w:t>Project A: $4.6 million</w:t>
      </w:r>
    </w:p>
    <w:p w14:paraId="3F9C617E" w14:textId="77777777" w:rsidR="00402CED" w:rsidRPr="00487BD9" w:rsidRDefault="00D045BC" w:rsidP="00487BD9">
      <w:pPr>
        <w:numPr>
          <w:ilvl w:val="0"/>
          <w:numId w:val="1"/>
        </w:numPr>
        <w:rPr>
          <w:rFonts w:ascii="Arial" w:hAnsi="Arial" w:cs="Arial"/>
          <w:lang w:val="en-GB"/>
        </w:rPr>
      </w:pPr>
      <w:r w:rsidRPr="00487BD9">
        <w:rPr>
          <w:rFonts w:ascii="Arial" w:hAnsi="Arial" w:cs="Arial"/>
          <w:lang w:val="en-GB"/>
        </w:rPr>
        <w:t>Project B: $8.3 million</w:t>
      </w:r>
    </w:p>
    <w:p w14:paraId="6D54F251" w14:textId="77777777" w:rsidR="00402CED" w:rsidRPr="00487BD9" w:rsidRDefault="00D045BC" w:rsidP="00487BD9">
      <w:pPr>
        <w:numPr>
          <w:ilvl w:val="0"/>
          <w:numId w:val="1"/>
        </w:numPr>
        <w:rPr>
          <w:rFonts w:ascii="Arial" w:hAnsi="Arial" w:cs="Arial"/>
          <w:lang w:val="en-GB"/>
        </w:rPr>
      </w:pPr>
      <w:r w:rsidRPr="00487BD9">
        <w:rPr>
          <w:rFonts w:ascii="Arial" w:hAnsi="Arial" w:cs="Arial"/>
          <w:lang w:val="en-GB"/>
        </w:rPr>
        <w:t>Project C: $1.8 million</w:t>
      </w:r>
    </w:p>
    <w:p w14:paraId="6EE0FB91" w14:textId="609F13E4" w:rsidR="00402CED" w:rsidRPr="00487BD9" w:rsidRDefault="00D045BC" w:rsidP="00487BD9">
      <w:pPr>
        <w:rPr>
          <w:rFonts w:ascii="Arial" w:hAnsi="Arial" w:cs="Arial"/>
          <w:lang w:val="en-GB"/>
        </w:rPr>
      </w:pPr>
      <w:r w:rsidRPr="00487BD9">
        <w:rPr>
          <w:rFonts w:ascii="Arial" w:hAnsi="Arial" w:cs="Arial"/>
          <w:lang w:val="en-GB"/>
        </w:rPr>
        <w:t xml:space="preserve">Project C has the largest NPV of all alternatives, although none will yield a positive NPV at the discount rate set. The greater the NPV, the greater the economic value the project will generate as compared to the cost of investment. Negative NPV indicates that the project is not yielding the necessary rate of return following the discount rate assumed. Nevertheless, there are still cases when a company is interested in projects whose NPV is slightly negative when there are strategic </w:t>
      </w:r>
      <w:r w:rsidR="00CD2532" w:rsidRPr="00487BD9">
        <w:rPr>
          <w:rFonts w:ascii="Arial" w:hAnsi="Arial" w:cs="Arial"/>
          <w:lang w:val="en-GB"/>
        </w:rPr>
        <w:t xml:space="preserve">advantages, </w:t>
      </w:r>
      <w:r w:rsidR="003B6388" w:rsidRPr="00487BD9">
        <w:rPr>
          <w:rFonts w:ascii="Arial" w:hAnsi="Arial" w:cs="Arial"/>
          <w:lang w:val="en-GB"/>
        </w:rPr>
        <w:t>such as</w:t>
      </w:r>
      <w:r w:rsidRPr="00487BD9">
        <w:rPr>
          <w:rFonts w:ascii="Arial" w:hAnsi="Arial" w:cs="Arial"/>
          <w:lang w:val="en-GB"/>
        </w:rPr>
        <w:t xml:space="preserve"> the development of technologies or entering a new market. </w:t>
      </w:r>
      <w:r w:rsidR="003B6388" w:rsidRPr="00487BD9">
        <w:rPr>
          <w:rFonts w:ascii="Arial" w:hAnsi="Arial" w:cs="Arial"/>
          <w:lang w:val="en-GB"/>
        </w:rPr>
        <w:t>It is</w:t>
      </w:r>
      <w:r w:rsidRPr="00487BD9">
        <w:rPr>
          <w:rFonts w:ascii="Arial" w:hAnsi="Arial" w:cs="Arial"/>
          <w:lang w:val="en-GB"/>
        </w:rPr>
        <w:t xml:space="preserve"> reveal</w:t>
      </w:r>
      <w:r w:rsidR="003B6388" w:rsidRPr="00487BD9">
        <w:rPr>
          <w:rFonts w:ascii="Arial" w:hAnsi="Arial" w:cs="Arial"/>
          <w:lang w:val="en-GB"/>
        </w:rPr>
        <w:t xml:space="preserve">ed by </w:t>
      </w:r>
      <w:r w:rsidR="003B6388" w:rsidRPr="00487BD9">
        <w:rPr>
          <w:rFonts w:ascii="Arial" w:hAnsi="Arial" w:cs="Arial"/>
          <w:color w:val="222222"/>
          <w:shd w:val="clear" w:color="auto" w:fill="FFFFFF"/>
        </w:rPr>
        <w:t>Shou</w:t>
      </w:r>
      <w:r w:rsidR="003B6388" w:rsidRPr="00487BD9">
        <w:rPr>
          <w:rFonts w:ascii="Arial" w:hAnsi="Arial" w:cs="Arial"/>
          <w:lang w:val="en-GB"/>
        </w:rPr>
        <w:t xml:space="preserve"> (2022)</w:t>
      </w:r>
      <w:r w:rsidRPr="00487BD9">
        <w:rPr>
          <w:rFonts w:ascii="Arial" w:hAnsi="Arial" w:cs="Arial"/>
          <w:lang w:val="en-GB"/>
        </w:rPr>
        <w:t xml:space="preserve"> that NPV is the most theoretically reasonable technique of the long-term investment assessment due to its ability to quantify the value, which is based on the shareholders' interests.</w:t>
      </w:r>
    </w:p>
    <w:p w14:paraId="481FEA7A" w14:textId="77777777" w:rsidR="00402CED" w:rsidRPr="00487BD9" w:rsidRDefault="00D045BC" w:rsidP="00487BD9">
      <w:pPr>
        <w:pStyle w:val="Heading2"/>
        <w:rPr>
          <w:rFonts w:ascii="Arial" w:hAnsi="Arial" w:cs="Arial"/>
          <w:lang w:val="en-GB"/>
        </w:rPr>
      </w:pPr>
      <w:bookmarkStart w:id="54" w:name="_o3ba1ftwov7w" w:colFirst="0" w:colLast="0"/>
      <w:bookmarkStart w:id="55" w:name="_Toc224288375"/>
      <w:bookmarkEnd w:id="54"/>
      <w:r w:rsidRPr="00487BD9">
        <w:rPr>
          <w:rFonts w:ascii="Arial" w:hAnsi="Arial" w:cs="Arial"/>
          <w:lang w:val="en-GB"/>
        </w:rPr>
        <w:t>5.5 Internal Rate of Return (IRR)</w:t>
      </w:r>
      <w:bookmarkEnd w:id="55"/>
    </w:p>
    <w:p w14:paraId="0B732D74" w14:textId="06EE56C7" w:rsidR="00402CED" w:rsidRPr="00487BD9" w:rsidRDefault="00D045BC" w:rsidP="00487BD9">
      <w:pPr>
        <w:rPr>
          <w:rFonts w:ascii="Arial" w:hAnsi="Arial" w:cs="Arial"/>
          <w:lang w:val="en-GB"/>
        </w:rPr>
      </w:pPr>
      <w:r w:rsidRPr="00487BD9">
        <w:rPr>
          <w:rFonts w:ascii="Arial" w:hAnsi="Arial" w:cs="Arial"/>
          <w:lang w:val="en-GB"/>
        </w:rPr>
        <w:t>The internal rate of return (IRR) is a discount rate at which the net present value of a project would hit the mark of zero</w:t>
      </w:r>
      <w:r w:rsidR="00AB2758" w:rsidRPr="00487BD9">
        <w:rPr>
          <w:rFonts w:ascii="Arial" w:hAnsi="Arial" w:cs="Arial"/>
          <w:lang w:val="en-GB"/>
        </w:rPr>
        <w:t xml:space="preserve">. From the perspective of </w:t>
      </w:r>
      <w:r w:rsidR="00AB2758" w:rsidRPr="00487BD9">
        <w:rPr>
          <w:rFonts w:ascii="Arial" w:hAnsi="Arial" w:cs="Arial"/>
          <w:color w:val="222222"/>
          <w:shd w:val="clear" w:color="auto" w:fill="FFFFFF"/>
        </w:rPr>
        <w:t>Wangchuk (2022)</w:t>
      </w:r>
      <w:r w:rsidRPr="00487BD9">
        <w:rPr>
          <w:rFonts w:ascii="Arial" w:hAnsi="Arial" w:cs="Arial"/>
          <w:lang w:val="en-GB"/>
        </w:rPr>
        <w:t xml:space="preserve">, </w:t>
      </w:r>
      <w:r w:rsidR="00AB2758" w:rsidRPr="00487BD9">
        <w:rPr>
          <w:rFonts w:ascii="Arial" w:hAnsi="Arial" w:cs="Arial"/>
          <w:lang w:val="en-GB"/>
        </w:rPr>
        <w:t>it</w:t>
      </w:r>
      <w:r w:rsidRPr="00487BD9">
        <w:rPr>
          <w:rFonts w:ascii="Arial" w:hAnsi="Arial" w:cs="Arial"/>
          <w:lang w:val="en-GB"/>
        </w:rPr>
        <w:t xml:space="preserve"> is the percentage rate of return that the cash flows of a project would justify. It is extensively applicable as the outcome can be easily compared with the desired rate of return or cost of capital of a company. The higher the value of the IRR of a project, the more attractive the investment is. Project C has the highest IRR in this analysis as it has higher inflows of cash in the third and fourth year, whereas Projects A and B have </w:t>
      </w:r>
      <w:r w:rsidRPr="00487BD9">
        <w:rPr>
          <w:rFonts w:ascii="Arial" w:hAnsi="Arial" w:cs="Arial"/>
          <w:lang w:val="en-GB"/>
        </w:rPr>
        <w:lastRenderedPageBreak/>
        <w:t>lower returns since the cash flow is smaller or evenly distributed. IRR is considered to be among the most common techniques of capital budgeting in corporate finance.</w:t>
      </w:r>
    </w:p>
    <w:p w14:paraId="5CA37A87" w14:textId="77777777" w:rsidR="00402CED" w:rsidRPr="00487BD9" w:rsidRDefault="00D045BC" w:rsidP="00487BD9">
      <w:pPr>
        <w:pStyle w:val="Heading2"/>
        <w:rPr>
          <w:rFonts w:ascii="Arial" w:hAnsi="Arial" w:cs="Arial"/>
          <w:lang w:val="en-GB"/>
        </w:rPr>
      </w:pPr>
      <w:bookmarkStart w:id="56" w:name="_d225fak5o7ki" w:colFirst="0" w:colLast="0"/>
      <w:bookmarkStart w:id="57" w:name="_Toc224288376"/>
      <w:bookmarkEnd w:id="56"/>
      <w:r w:rsidRPr="00487BD9">
        <w:rPr>
          <w:rFonts w:ascii="Arial" w:hAnsi="Arial" w:cs="Arial"/>
          <w:lang w:val="en-GB"/>
        </w:rPr>
        <w:t>5.6 Profitability Index (PI)</w:t>
      </w:r>
      <w:bookmarkEnd w:id="57"/>
    </w:p>
    <w:p w14:paraId="06A08083" w14:textId="0D771DED" w:rsidR="00402CED" w:rsidRPr="00487BD9" w:rsidRDefault="00D045BC" w:rsidP="00487BD9">
      <w:pPr>
        <w:rPr>
          <w:rFonts w:ascii="Arial" w:hAnsi="Arial" w:cs="Arial"/>
          <w:lang w:val="en-GB"/>
        </w:rPr>
      </w:pPr>
      <w:r w:rsidRPr="00487BD9">
        <w:rPr>
          <w:rFonts w:ascii="Arial" w:hAnsi="Arial" w:cs="Arial"/>
          <w:lang w:val="en-GB"/>
        </w:rPr>
        <w:t>Profitability index (PI) is used to estimate the relationship between the present value of future cash inflows and total investment</w:t>
      </w:r>
      <w:r w:rsidR="002D0945" w:rsidRPr="00487BD9">
        <w:rPr>
          <w:rFonts w:ascii="Arial" w:hAnsi="Arial" w:cs="Arial"/>
          <w:lang w:val="en-GB"/>
        </w:rPr>
        <w:t xml:space="preserve"> (</w:t>
      </w:r>
      <w:r w:rsidR="002D0945" w:rsidRPr="00487BD9">
        <w:rPr>
          <w:rFonts w:ascii="Arial" w:hAnsi="Arial" w:cs="Arial"/>
          <w:color w:val="222222"/>
          <w:shd w:val="clear" w:color="auto" w:fill="FFFFFF"/>
        </w:rPr>
        <w:t>Al-Ali and Al-Shabeeb, 2024)</w:t>
      </w:r>
      <w:r w:rsidRPr="00487BD9">
        <w:rPr>
          <w:rFonts w:ascii="Arial" w:hAnsi="Arial" w:cs="Arial"/>
          <w:lang w:val="en-GB"/>
        </w:rPr>
        <w:t>. The following formula is used to calculate it:</w:t>
      </w:r>
    </w:p>
    <w:p w14:paraId="566ED18B" w14:textId="5F702297" w:rsidR="00402CED" w:rsidRPr="00487BD9" w:rsidRDefault="00D045BC" w:rsidP="00487BD9">
      <w:pPr>
        <w:jc w:val="center"/>
        <w:rPr>
          <w:rFonts w:ascii="Arial" w:hAnsi="Arial" w:cs="Arial"/>
          <w:lang w:val="en-GB"/>
        </w:rPr>
      </w:pPr>
      <w:r w:rsidRPr="00487BD9">
        <w:rPr>
          <w:rFonts w:ascii="Arial" w:hAnsi="Arial" w:cs="Arial"/>
          <w:lang w:val="en-GB"/>
        </w:rPr>
        <w:t xml:space="preserve">Profitability Index = </w:t>
      </w:r>
      <w:r w:rsidR="00AB2758" w:rsidRPr="00487BD9">
        <w:rPr>
          <w:rFonts w:ascii="Arial" w:hAnsi="Arial" w:cs="Arial"/>
          <w:lang w:val="en-GB"/>
        </w:rPr>
        <w:t>[</w:t>
      </w:r>
      <w:r w:rsidRPr="00487BD9">
        <w:rPr>
          <w:rFonts w:ascii="Arial" w:hAnsi="Arial" w:cs="Arial"/>
          <w:lang w:val="en-GB"/>
        </w:rPr>
        <w:t>Present Value of Cash Inflows ÷ Initial Investment</w:t>
      </w:r>
      <w:r w:rsidR="00AB2758" w:rsidRPr="00487BD9">
        <w:rPr>
          <w:rFonts w:ascii="Arial" w:hAnsi="Arial" w:cs="Arial"/>
          <w:lang w:val="en-GB"/>
        </w:rPr>
        <w:t>]</w:t>
      </w:r>
    </w:p>
    <w:p w14:paraId="7469A4EC" w14:textId="078E55DC" w:rsidR="00402CED" w:rsidRPr="00487BD9" w:rsidRDefault="00AB2758" w:rsidP="00487BD9">
      <w:pPr>
        <w:rPr>
          <w:rFonts w:ascii="Arial" w:hAnsi="Arial" w:cs="Arial"/>
          <w:lang w:val="en-GB"/>
        </w:rPr>
      </w:pPr>
      <w:r w:rsidRPr="00487BD9">
        <w:rPr>
          <w:rFonts w:ascii="Arial" w:hAnsi="Arial" w:cs="Arial"/>
          <w:lang w:val="en-GB"/>
        </w:rPr>
        <w:t>A</w:t>
      </w:r>
      <w:r w:rsidR="00D045BC" w:rsidRPr="00487BD9">
        <w:rPr>
          <w:rFonts w:ascii="Arial" w:hAnsi="Arial" w:cs="Arial"/>
          <w:lang w:val="en-GB"/>
        </w:rPr>
        <w:t xml:space="preserve"> profitability index of more than one means that the amount of money coming in as a present value is higher than the amount of money invested. On the other hand, a profitability index of less than one implies that the project is not profitable enough. </w:t>
      </w:r>
      <w:r w:rsidRPr="00487BD9">
        <w:rPr>
          <w:rFonts w:ascii="Arial" w:hAnsi="Arial" w:cs="Arial"/>
          <w:lang w:val="en-GB"/>
        </w:rPr>
        <w:t>In terms of</w:t>
      </w:r>
      <w:r w:rsidR="00D045BC" w:rsidRPr="00487BD9">
        <w:rPr>
          <w:rFonts w:ascii="Arial" w:hAnsi="Arial" w:cs="Arial"/>
          <w:lang w:val="en-GB"/>
        </w:rPr>
        <w:t xml:space="preserve"> discounted cash flow, Project C has the highest profitability index, as compared to the other two options. This outcome shows that Project C has the highest level of financial value when compared to the cost of investment. The profitability index is also especially helpful in situations where companies have capital limitations, since it enables the financial managers to focus on projects that will yield maximum value per unit investment. Financial studies on corporate investment procedures point out that the profitability index is commonly combined with the NPV analysis in instances when firms have to deploy restricted financial resources among various initiatives.</w:t>
      </w:r>
    </w:p>
    <w:p w14:paraId="13E8F35D" w14:textId="77777777" w:rsidR="00402CED" w:rsidRPr="00487BD9" w:rsidRDefault="00D045BC" w:rsidP="00487BD9">
      <w:pPr>
        <w:pStyle w:val="Heading2"/>
        <w:rPr>
          <w:rFonts w:ascii="Arial" w:hAnsi="Arial" w:cs="Arial"/>
          <w:lang w:val="en-GB"/>
        </w:rPr>
      </w:pPr>
      <w:bookmarkStart w:id="58" w:name="_f9yivccujfhk" w:colFirst="0" w:colLast="0"/>
      <w:bookmarkStart w:id="59" w:name="_Toc224288377"/>
      <w:bookmarkEnd w:id="58"/>
      <w:r w:rsidRPr="00487BD9">
        <w:rPr>
          <w:rFonts w:ascii="Arial" w:hAnsi="Arial" w:cs="Arial"/>
          <w:lang w:val="en-GB"/>
        </w:rPr>
        <w:t>5.7 Investment Decision Recommendation</w:t>
      </w:r>
      <w:bookmarkEnd w:id="59"/>
    </w:p>
    <w:p w14:paraId="6ACCF38D" w14:textId="5ED9EA15" w:rsidR="00402CED" w:rsidRPr="00487BD9" w:rsidRDefault="00D045BC" w:rsidP="00487BD9">
      <w:pPr>
        <w:rPr>
          <w:rFonts w:ascii="Arial" w:hAnsi="Arial" w:cs="Arial"/>
          <w:lang w:val="en-GB"/>
        </w:rPr>
      </w:pPr>
      <w:r w:rsidRPr="00487BD9">
        <w:rPr>
          <w:rFonts w:ascii="Arial" w:hAnsi="Arial" w:cs="Arial"/>
          <w:lang w:val="en-GB"/>
        </w:rPr>
        <w:t>Upon comparing the three investment projects on the basis of the various methods of capital budgeting, Project C would be the most appealing project in terms of financial appeal. Project C has the greatest cumulative cash inflows of $65 million, the shortest payback period, and the highest accounting rate of return. Besides, Project C gives the largest NPV and IRR of the three alternatives. Project C is</w:t>
      </w:r>
      <w:r w:rsidR="00807D13" w:rsidRPr="00487BD9">
        <w:rPr>
          <w:rFonts w:ascii="Arial" w:hAnsi="Arial" w:cs="Arial"/>
          <w:lang w:val="en-GB"/>
        </w:rPr>
        <w:t>, therefore, estimated to be</w:t>
      </w:r>
      <w:r w:rsidRPr="00487BD9">
        <w:rPr>
          <w:rFonts w:ascii="Arial" w:hAnsi="Arial" w:cs="Arial"/>
          <w:lang w:val="en-GB"/>
        </w:rPr>
        <w:t xml:space="preserve"> the best-performing project in terms of financial performance when measured by various criteria. In the strategy, the liquidity position of Tesla can also be enhanced through choosing projects that have greater mid-term cash flows to create greater cash flows in the initial years of investment. The analysis of the capital budgeting thus gives a recommendation that Project C must be given priority in consideration of individual investment opportunities.</w:t>
      </w:r>
    </w:p>
    <w:p w14:paraId="53A84DF9" w14:textId="77777777" w:rsidR="00402CED" w:rsidRPr="00487BD9" w:rsidRDefault="00D045BC" w:rsidP="00487BD9">
      <w:pPr>
        <w:pStyle w:val="Heading2"/>
        <w:rPr>
          <w:rFonts w:ascii="Arial" w:hAnsi="Arial" w:cs="Arial"/>
          <w:lang w:val="en-GB"/>
        </w:rPr>
      </w:pPr>
      <w:bookmarkStart w:id="60" w:name="_4mwtopmnj2x4" w:colFirst="0" w:colLast="0"/>
      <w:bookmarkStart w:id="61" w:name="_Toc224288378"/>
      <w:bookmarkEnd w:id="60"/>
      <w:r w:rsidRPr="00487BD9">
        <w:rPr>
          <w:rFonts w:ascii="Arial" w:hAnsi="Arial" w:cs="Arial"/>
          <w:lang w:val="en-GB"/>
        </w:rPr>
        <w:t>5.8 Capital Rationing Decision</w:t>
      </w:r>
      <w:bookmarkEnd w:id="61"/>
    </w:p>
    <w:p w14:paraId="7AC43D11" w14:textId="05037C73" w:rsidR="00402CED" w:rsidRPr="00487BD9" w:rsidRDefault="00D045BC" w:rsidP="00487BD9">
      <w:pPr>
        <w:rPr>
          <w:rFonts w:ascii="Arial" w:hAnsi="Arial" w:cs="Arial"/>
          <w:lang w:val="en-GB"/>
        </w:rPr>
      </w:pPr>
      <w:r w:rsidRPr="00487BD9">
        <w:rPr>
          <w:rFonts w:ascii="Arial" w:hAnsi="Arial" w:cs="Arial"/>
          <w:lang w:val="en-GB"/>
        </w:rPr>
        <w:t>Capital rationing is the process when company lacks many financial resources and must decide between competing investment projects</w:t>
      </w:r>
      <w:r w:rsidR="00807D13" w:rsidRPr="00487BD9">
        <w:rPr>
          <w:rFonts w:ascii="Arial" w:hAnsi="Arial" w:cs="Arial"/>
          <w:lang w:val="en-GB"/>
        </w:rPr>
        <w:t xml:space="preserve"> (</w:t>
      </w:r>
      <w:r w:rsidR="00807D13" w:rsidRPr="00487BD9">
        <w:rPr>
          <w:rFonts w:ascii="Arial" w:hAnsi="Arial" w:cs="Arial"/>
          <w:color w:val="222222"/>
          <w:shd w:val="clear" w:color="auto" w:fill="FFFFFF"/>
        </w:rPr>
        <w:t>Filatova et al., 2024</w:t>
      </w:r>
      <w:r w:rsidR="00807D13" w:rsidRPr="00487BD9">
        <w:rPr>
          <w:rFonts w:ascii="Arial" w:hAnsi="Arial" w:cs="Arial"/>
          <w:lang w:val="en-GB"/>
        </w:rPr>
        <w:t>)</w:t>
      </w:r>
      <w:r w:rsidRPr="00487BD9">
        <w:rPr>
          <w:rFonts w:ascii="Arial" w:hAnsi="Arial" w:cs="Arial"/>
          <w:lang w:val="en-GB"/>
        </w:rPr>
        <w:t xml:space="preserve">. Tesla has a maximum limit of investment in this case, and can only choose two projects since </w:t>
      </w:r>
      <w:r w:rsidRPr="00487BD9">
        <w:rPr>
          <w:rFonts w:ascii="Arial" w:hAnsi="Arial" w:cs="Arial"/>
          <w:lang w:val="en-GB"/>
        </w:rPr>
        <w:lastRenderedPageBreak/>
        <w:t>each project needs a starting capital of $50 million dollars. Projects A and C give the best financial value when taking into consideration the cumulative cash flow analysis. The total inflows of Project A are $54 million, and the total inflows of Project C are $65 million, which makes $119 million in a period of 5 years. This is a combination that maximises the overall financial returns whilst diversifying. The capital budgeting theory focuses on making optimal decisions concerning project combinations that are financially constrained.</w:t>
      </w:r>
    </w:p>
    <w:p w14:paraId="71CA03DE" w14:textId="77777777" w:rsidR="00807D13" w:rsidRPr="00487BD9" w:rsidRDefault="00807D13" w:rsidP="00487BD9">
      <w:pPr>
        <w:rPr>
          <w:rFonts w:ascii="Arial" w:hAnsi="Arial" w:cs="Arial"/>
          <w:lang w:val="en-GB"/>
        </w:rPr>
      </w:pPr>
    </w:p>
    <w:p w14:paraId="5567BFCB" w14:textId="77777777" w:rsidR="00402CED" w:rsidRPr="00487BD9" w:rsidRDefault="00D045BC" w:rsidP="00487BD9">
      <w:pPr>
        <w:pStyle w:val="Heading1"/>
        <w:rPr>
          <w:rFonts w:ascii="Arial" w:hAnsi="Arial" w:cs="Arial"/>
          <w:lang w:val="en-GB"/>
        </w:rPr>
      </w:pPr>
      <w:bookmarkStart w:id="62" w:name="_2vazqtkqqct1" w:colFirst="0" w:colLast="0"/>
      <w:bookmarkStart w:id="63" w:name="_Toc224288379"/>
      <w:bookmarkEnd w:id="62"/>
      <w:r w:rsidRPr="00487BD9">
        <w:rPr>
          <w:rFonts w:ascii="Arial" w:hAnsi="Arial" w:cs="Arial"/>
          <w:lang w:val="en-GB"/>
        </w:rPr>
        <w:t>6. Conclusion</w:t>
      </w:r>
      <w:bookmarkEnd w:id="63"/>
    </w:p>
    <w:p w14:paraId="0835AA16" w14:textId="77777777" w:rsidR="00402CED" w:rsidRPr="00487BD9" w:rsidRDefault="00D045BC" w:rsidP="00487BD9">
      <w:pPr>
        <w:rPr>
          <w:rFonts w:ascii="Arial" w:hAnsi="Arial" w:cs="Arial"/>
          <w:lang w:val="en-GB"/>
        </w:rPr>
      </w:pPr>
      <w:r w:rsidRPr="00487BD9">
        <w:rPr>
          <w:rFonts w:ascii="Arial" w:hAnsi="Arial" w:cs="Arial"/>
          <w:lang w:val="en-GB"/>
        </w:rPr>
        <w:t>As the global electric vehicle market has grown, Tesla has seen its financial growth, and revenue has almost doubled in the last three years, between 2021 and 2023. Even though the profitability had reached the highest level during this period, it slightly decreased because of the increased competition and the operational expenses. Liquidity analysis demonstrates that Tesla has a high short-term financial position, which is backed by large cash reserves. Nevertheless, the high capital investments have augmented the overall assets and, in the short run, minimised the efficiency of assets. The long-term competitiveness can be reinforced through strategic financial restructuring, such as the use of equity financing, partnerships and technological investment. The capital budgeting findings suggest that Project C is the best choice, whereas choosing Projects A and C under capital rationing will give the highest returns in terms of finances.</w:t>
      </w:r>
      <w:r w:rsidRPr="00487BD9">
        <w:rPr>
          <w:rFonts w:ascii="Arial" w:hAnsi="Arial" w:cs="Arial"/>
          <w:lang w:val="en-GB"/>
        </w:rPr>
        <w:br w:type="page"/>
      </w:r>
    </w:p>
    <w:p w14:paraId="0DCAD195" w14:textId="77777777" w:rsidR="00402CED" w:rsidRPr="00487BD9" w:rsidRDefault="00D045BC" w:rsidP="00487BD9">
      <w:pPr>
        <w:pStyle w:val="Heading1"/>
        <w:rPr>
          <w:rFonts w:ascii="Arial" w:hAnsi="Arial" w:cs="Arial"/>
          <w:lang w:val="en-GB"/>
        </w:rPr>
      </w:pPr>
      <w:bookmarkStart w:id="64" w:name="_qoehez6xx5uz" w:colFirst="0" w:colLast="0"/>
      <w:bookmarkStart w:id="65" w:name="_Toc224288380"/>
      <w:bookmarkEnd w:id="64"/>
      <w:r w:rsidRPr="00487BD9">
        <w:rPr>
          <w:rFonts w:ascii="Arial" w:hAnsi="Arial" w:cs="Arial"/>
          <w:lang w:val="en-GB"/>
        </w:rPr>
        <w:lastRenderedPageBreak/>
        <w:t>References</w:t>
      </w:r>
      <w:bookmarkEnd w:id="65"/>
    </w:p>
    <w:p w14:paraId="2C32FFEE"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Al-Ali, A.H.H. and Al-Shabeeb, S.K.I., 2024. Relationship between profitability indicators and maximization market value added and intrinsic for the industrial companies. </w:t>
      </w:r>
      <w:r w:rsidRPr="00487BD9">
        <w:rPr>
          <w:rFonts w:ascii="Arial" w:hAnsi="Arial" w:cs="Arial"/>
          <w:i/>
          <w:iCs/>
          <w:color w:val="222222"/>
          <w:shd w:val="clear" w:color="auto" w:fill="FFFFFF"/>
        </w:rPr>
        <w:t>Global Business &amp; Finance Review (GBFR)</w:t>
      </w:r>
      <w:r w:rsidRPr="00487BD9">
        <w:rPr>
          <w:rFonts w:ascii="Arial" w:hAnsi="Arial" w:cs="Arial"/>
          <w:color w:val="222222"/>
          <w:shd w:val="clear" w:color="auto" w:fill="FFFFFF"/>
        </w:rPr>
        <w:t>, </w:t>
      </w:r>
      <w:r w:rsidRPr="00487BD9">
        <w:rPr>
          <w:rFonts w:ascii="Arial" w:hAnsi="Arial" w:cs="Arial"/>
          <w:i/>
          <w:iCs/>
          <w:color w:val="222222"/>
          <w:shd w:val="clear" w:color="auto" w:fill="FFFFFF"/>
        </w:rPr>
        <w:t>29</w:t>
      </w:r>
      <w:r w:rsidRPr="00487BD9">
        <w:rPr>
          <w:rFonts w:ascii="Arial" w:hAnsi="Arial" w:cs="Arial"/>
          <w:color w:val="222222"/>
          <w:shd w:val="clear" w:color="auto" w:fill="FFFFFF"/>
        </w:rPr>
        <w:t xml:space="preserve">(2), pp.71-84. </w:t>
      </w:r>
      <w:hyperlink r:id="rId18" w:history="1">
        <w:r w:rsidRPr="00487BD9">
          <w:rPr>
            <w:rStyle w:val="Hyperlink"/>
            <w:rFonts w:ascii="Arial" w:hAnsi="Arial" w:cs="Arial"/>
            <w:shd w:val="clear" w:color="auto" w:fill="FFFFFF"/>
          </w:rPr>
          <w:t>https://www.econstor.eu/bitstream/10419/305960/1/id596.pdf</w:t>
        </w:r>
      </w:hyperlink>
      <w:r w:rsidRPr="00487BD9">
        <w:rPr>
          <w:rFonts w:ascii="Arial" w:hAnsi="Arial" w:cs="Arial"/>
          <w:color w:val="222222"/>
          <w:shd w:val="clear" w:color="auto" w:fill="FFFFFF"/>
        </w:rPr>
        <w:t xml:space="preserve"> </w:t>
      </w:r>
    </w:p>
    <w:p w14:paraId="3B91280D" w14:textId="0EC7909F" w:rsidR="00F81DD3" w:rsidRPr="00487BD9" w:rsidRDefault="00F81DD3" w:rsidP="00487BD9">
      <w:pPr>
        <w:spacing w:before="240"/>
        <w:rPr>
          <w:rFonts w:ascii="Arial" w:hAnsi="Arial" w:cs="Arial"/>
          <w:lang w:val="en-GB"/>
        </w:rPr>
      </w:pPr>
      <w:r w:rsidRPr="00487BD9">
        <w:rPr>
          <w:rFonts w:ascii="Arial" w:hAnsi="Arial" w:cs="Arial"/>
          <w:lang w:val="en-GB"/>
        </w:rPr>
        <w:t xml:space="preserve">Annual Report, 2019. </w:t>
      </w:r>
      <w:r w:rsidRPr="0016461A">
        <w:rPr>
          <w:rFonts w:ascii="Arial" w:hAnsi="Arial" w:cs="Arial"/>
          <w:i/>
          <w:iCs/>
          <w:lang w:val="en-GB"/>
        </w:rPr>
        <w:t>Tesla Annual Report 2019</w:t>
      </w:r>
      <w:r w:rsidRPr="00487BD9">
        <w:rPr>
          <w:rFonts w:ascii="Arial" w:hAnsi="Arial" w:cs="Arial"/>
          <w:lang w:val="en-GB"/>
        </w:rPr>
        <w:t xml:space="preserve">. Available at: </w:t>
      </w:r>
      <w:hyperlink r:id="rId19" w:history="1">
        <w:r w:rsidRPr="00487BD9">
          <w:rPr>
            <w:rStyle w:val="Hyperlink"/>
            <w:rFonts w:ascii="Arial" w:hAnsi="Arial" w:cs="Arial"/>
            <w:lang w:val="en-GB"/>
          </w:rPr>
          <w:t>https://www.annualreports.com/HostedData/AnnualReportArchive/t/NASDAQ_TSLA_2019.pdf</w:t>
        </w:r>
      </w:hyperlink>
      <w:r w:rsidRPr="00487BD9">
        <w:rPr>
          <w:rFonts w:ascii="Arial" w:hAnsi="Arial" w:cs="Arial"/>
          <w:lang w:val="en-GB"/>
        </w:rPr>
        <w:t xml:space="preserve"> [Accessed on: </w:t>
      </w:r>
      <w:r w:rsidR="0016461A">
        <w:rPr>
          <w:rFonts w:ascii="Arial" w:hAnsi="Arial" w:cs="Arial"/>
          <w:lang w:val="en-GB"/>
        </w:rPr>
        <w:t>02</w:t>
      </w:r>
      <w:r w:rsidRPr="00487BD9">
        <w:rPr>
          <w:rFonts w:ascii="Arial" w:hAnsi="Arial" w:cs="Arial"/>
          <w:lang w:val="en-GB"/>
        </w:rPr>
        <w:t xml:space="preserve"> March 2026].</w:t>
      </w:r>
    </w:p>
    <w:p w14:paraId="4ABA455A" w14:textId="46A0EB96" w:rsidR="00F81DD3" w:rsidRPr="00487BD9" w:rsidRDefault="00F81DD3" w:rsidP="00487BD9">
      <w:pPr>
        <w:spacing w:before="240"/>
        <w:rPr>
          <w:rFonts w:ascii="Arial" w:hAnsi="Arial" w:cs="Arial"/>
          <w:lang w:val="en-GB"/>
        </w:rPr>
      </w:pPr>
      <w:r w:rsidRPr="00487BD9">
        <w:rPr>
          <w:rFonts w:ascii="Arial" w:hAnsi="Arial" w:cs="Arial"/>
          <w:lang w:val="en-GB"/>
        </w:rPr>
        <w:t xml:space="preserve">Annual Report, 2020. </w:t>
      </w:r>
      <w:r w:rsidRPr="0016461A">
        <w:rPr>
          <w:rFonts w:ascii="Arial" w:hAnsi="Arial" w:cs="Arial"/>
          <w:i/>
          <w:iCs/>
          <w:lang w:val="en-GB"/>
        </w:rPr>
        <w:t>Tesla Annual Report 2020</w:t>
      </w:r>
      <w:r w:rsidRPr="00487BD9">
        <w:rPr>
          <w:rFonts w:ascii="Arial" w:hAnsi="Arial" w:cs="Arial"/>
          <w:lang w:val="en-GB"/>
        </w:rPr>
        <w:t xml:space="preserve">. Available at: </w:t>
      </w:r>
      <w:hyperlink r:id="rId20" w:history="1">
        <w:r w:rsidRPr="00487BD9">
          <w:rPr>
            <w:rStyle w:val="Hyperlink"/>
            <w:rFonts w:ascii="Arial" w:hAnsi="Arial" w:cs="Arial"/>
            <w:lang w:val="en-GB"/>
          </w:rPr>
          <w:t>https://www.annualreports.com/HostedData/AnnualReportArchive/t/NASDAQ_TSLA_2020.pdf</w:t>
        </w:r>
      </w:hyperlink>
      <w:r w:rsidRPr="00487BD9">
        <w:rPr>
          <w:rFonts w:ascii="Arial" w:hAnsi="Arial" w:cs="Arial"/>
          <w:lang w:val="en-GB"/>
        </w:rPr>
        <w:t xml:space="preserve"> [Accessed on: </w:t>
      </w:r>
      <w:r w:rsidR="0016461A">
        <w:rPr>
          <w:rFonts w:ascii="Arial" w:hAnsi="Arial" w:cs="Arial"/>
          <w:lang w:val="en-GB"/>
        </w:rPr>
        <w:t>0</w:t>
      </w:r>
      <w:r w:rsidRPr="00487BD9">
        <w:rPr>
          <w:rFonts w:ascii="Arial" w:hAnsi="Arial" w:cs="Arial"/>
          <w:lang w:val="en-GB"/>
        </w:rPr>
        <w:t>2 March 2026].</w:t>
      </w:r>
    </w:p>
    <w:p w14:paraId="6703643C" w14:textId="4B22DCC5" w:rsidR="00F81DD3" w:rsidRPr="00487BD9" w:rsidRDefault="00F81DD3" w:rsidP="00487BD9">
      <w:pPr>
        <w:spacing w:before="240"/>
        <w:rPr>
          <w:rFonts w:ascii="Arial" w:hAnsi="Arial" w:cs="Arial"/>
          <w:lang w:val="en-GB"/>
        </w:rPr>
      </w:pPr>
      <w:r w:rsidRPr="00487BD9">
        <w:rPr>
          <w:rFonts w:ascii="Arial" w:hAnsi="Arial" w:cs="Arial"/>
          <w:lang w:val="en-GB"/>
        </w:rPr>
        <w:t xml:space="preserve">Annual Report, 2022. </w:t>
      </w:r>
      <w:r w:rsidRPr="0016461A">
        <w:rPr>
          <w:rFonts w:ascii="Arial" w:hAnsi="Arial" w:cs="Arial"/>
          <w:i/>
          <w:iCs/>
          <w:lang w:val="en-GB"/>
        </w:rPr>
        <w:t>Tesla Annual Report 2022</w:t>
      </w:r>
      <w:r w:rsidRPr="00487BD9">
        <w:rPr>
          <w:rFonts w:ascii="Arial" w:hAnsi="Arial" w:cs="Arial"/>
          <w:lang w:val="en-GB"/>
        </w:rPr>
        <w:t xml:space="preserve">. Available at: </w:t>
      </w:r>
      <w:hyperlink r:id="rId21" w:history="1">
        <w:r w:rsidRPr="00487BD9">
          <w:rPr>
            <w:rStyle w:val="Hyperlink"/>
            <w:rFonts w:ascii="Arial" w:hAnsi="Arial" w:cs="Arial"/>
            <w:lang w:val="en-GB"/>
          </w:rPr>
          <w:t>https://www.annualreports.com/HostedData/AnnualReportArchive/t/NASDAQ_TSLA_2022.pdf</w:t>
        </w:r>
      </w:hyperlink>
      <w:r w:rsidRPr="00487BD9">
        <w:rPr>
          <w:rFonts w:ascii="Arial" w:hAnsi="Arial" w:cs="Arial"/>
          <w:lang w:val="en-GB"/>
        </w:rPr>
        <w:t xml:space="preserve"> [Accessed on: </w:t>
      </w:r>
      <w:r w:rsidR="0016461A">
        <w:rPr>
          <w:rFonts w:ascii="Arial" w:hAnsi="Arial" w:cs="Arial"/>
          <w:lang w:val="en-GB"/>
        </w:rPr>
        <w:t>07</w:t>
      </w:r>
      <w:r w:rsidRPr="00487BD9">
        <w:rPr>
          <w:rFonts w:ascii="Arial" w:hAnsi="Arial" w:cs="Arial"/>
          <w:lang w:val="en-GB"/>
        </w:rPr>
        <w:t xml:space="preserve"> March 2026].</w:t>
      </w:r>
    </w:p>
    <w:p w14:paraId="08294A23" w14:textId="6BCF3243" w:rsidR="00F81DD3" w:rsidRPr="00487BD9" w:rsidRDefault="00F81DD3" w:rsidP="00487BD9">
      <w:pPr>
        <w:spacing w:before="240"/>
        <w:rPr>
          <w:rFonts w:ascii="Arial" w:hAnsi="Arial" w:cs="Arial"/>
          <w:lang w:val="en-GB"/>
        </w:rPr>
      </w:pPr>
      <w:r w:rsidRPr="00487BD9">
        <w:rPr>
          <w:rFonts w:ascii="Arial" w:hAnsi="Arial" w:cs="Arial"/>
          <w:lang w:val="en-GB"/>
        </w:rPr>
        <w:t xml:space="preserve">Annual Report, 2023. </w:t>
      </w:r>
      <w:r w:rsidRPr="0016461A">
        <w:rPr>
          <w:rFonts w:ascii="Arial" w:hAnsi="Arial" w:cs="Arial"/>
          <w:i/>
          <w:iCs/>
          <w:lang w:val="en-GB"/>
        </w:rPr>
        <w:t>Tesla Annual Report 2023.</w:t>
      </w:r>
      <w:r w:rsidRPr="00487BD9">
        <w:rPr>
          <w:rFonts w:ascii="Arial" w:hAnsi="Arial" w:cs="Arial"/>
          <w:lang w:val="en-GB"/>
        </w:rPr>
        <w:t xml:space="preserve"> Available at: </w:t>
      </w:r>
      <w:hyperlink r:id="rId22" w:history="1">
        <w:r w:rsidRPr="00487BD9">
          <w:rPr>
            <w:rStyle w:val="Hyperlink"/>
            <w:rFonts w:ascii="Arial" w:hAnsi="Arial" w:cs="Arial"/>
            <w:lang w:val="en-GB"/>
          </w:rPr>
          <w:t>https://www.annualreports.com/HostedData/AnnualReportArchive/t/NASDAQ_TSLA_2023.pdf</w:t>
        </w:r>
      </w:hyperlink>
      <w:r w:rsidRPr="00487BD9">
        <w:rPr>
          <w:rFonts w:ascii="Arial" w:hAnsi="Arial" w:cs="Arial"/>
          <w:lang w:val="en-GB"/>
        </w:rPr>
        <w:t xml:space="preserve"> [Accessed on: </w:t>
      </w:r>
      <w:r w:rsidR="0016461A">
        <w:rPr>
          <w:rFonts w:ascii="Arial" w:hAnsi="Arial" w:cs="Arial"/>
          <w:lang w:val="en-GB"/>
        </w:rPr>
        <w:t>07</w:t>
      </w:r>
      <w:r w:rsidRPr="00487BD9">
        <w:rPr>
          <w:rFonts w:ascii="Arial" w:hAnsi="Arial" w:cs="Arial"/>
          <w:lang w:val="en-GB"/>
        </w:rPr>
        <w:t xml:space="preserve"> March 2026].</w:t>
      </w:r>
    </w:p>
    <w:p w14:paraId="330DC941" w14:textId="77777777" w:rsidR="00F81DD3" w:rsidRPr="00487BD9" w:rsidRDefault="00F81DD3" w:rsidP="00487BD9">
      <w:pPr>
        <w:spacing w:before="240"/>
        <w:rPr>
          <w:rFonts w:ascii="Arial" w:hAnsi="Arial" w:cs="Arial"/>
          <w:lang w:val="en-GB"/>
        </w:rPr>
      </w:pPr>
      <w:r w:rsidRPr="00487BD9">
        <w:rPr>
          <w:rFonts w:ascii="Arial" w:hAnsi="Arial" w:cs="Arial"/>
          <w:lang w:val="en-GB"/>
        </w:rPr>
        <w:t xml:space="preserve">Annual Report, 2024. </w:t>
      </w:r>
      <w:r w:rsidRPr="0016461A">
        <w:rPr>
          <w:rFonts w:ascii="Arial" w:hAnsi="Arial" w:cs="Arial"/>
          <w:i/>
          <w:iCs/>
          <w:lang w:val="en-GB"/>
        </w:rPr>
        <w:t>Tesla Annual Report 2024</w:t>
      </w:r>
      <w:r w:rsidRPr="00487BD9">
        <w:rPr>
          <w:rFonts w:ascii="Arial" w:hAnsi="Arial" w:cs="Arial"/>
          <w:lang w:val="en-GB"/>
        </w:rPr>
        <w:t xml:space="preserve">. Available at: </w:t>
      </w:r>
      <w:hyperlink r:id="rId23" w:history="1">
        <w:r w:rsidRPr="00487BD9">
          <w:rPr>
            <w:rStyle w:val="Hyperlink"/>
            <w:rFonts w:ascii="Arial" w:hAnsi="Arial" w:cs="Arial"/>
            <w:lang w:val="en-GB"/>
          </w:rPr>
          <w:t>https://www.annualreports.com/HostedData/AnnualReports/PDF/NASDAQ_TSLA_2024.pdf</w:t>
        </w:r>
      </w:hyperlink>
      <w:r w:rsidRPr="00487BD9">
        <w:rPr>
          <w:rFonts w:ascii="Arial" w:hAnsi="Arial" w:cs="Arial"/>
          <w:lang w:val="en-GB"/>
        </w:rPr>
        <w:t xml:space="preserve"> [Accessed on: 12 March 2026].</w:t>
      </w:r>
    </w:p>
    <w:p w14:paraId="32EE805B"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Asman, F.N., Fernandez, D., Jamaludin, N.A., Omar Zaki, H. and Ghazali, A.W., 2022. Cash conversion cycle and firm’s performance. </w:t>
      </w:r>
      <w:r w:rsidRPr="00487BD9">
        <w:rPr>
          <w:rFonts w:ascii="Arial" w:hAnsi="Arial" w:cs="Arial"/>
          <w:i/>
          <w:iCs/>
          <w:color w:val="222222"/>
          <w:shd w:val="clear" w:color="auto" w:fill="FFFFFF"/>
        </w:rPr>
        <w:t>International Journal of Academic Research in Business and Social Sciences</w:t>
      </w:r>
      <w:r w:rsidRPr="00487BD9">
        <w:rPr>
          <w:rFonts w:ascii="Arial" w:hAnsi="Arial" w:cs="Arial"/>
          <w:color w:val="222222"/>
          <w:shd w:val="clear" w:color="auto" w:fill="FFFFFF"/>
        </w:rPr>
        <w:t>, </w:t>
      </w:r>
      <w:r w:rsidRPr="00487BD9">
        <w:rPr>
          <w:rFonts w:ascii="Arial" w:hAnsi="Arial" w:cs="Arial"/>
          <w:i/>
          <w:iCs/>
          <w:color w:val="222222"/>
          <w:shd w:val="clear" w:color="auto" w:fill="FFFFFF"/>
        </w:rPr>
        <w:t>12</w:t>
      </w:r>
      <w:r w:rsidRPr="00487BD9">
        <w:rPr>
          <w:rFonts w:ascii="Arial" w:hAnsi="Arial" w:cs="Arial"/>
          <w:color w:val="222222"/>
          <w:shd w:val="clear" w:color="auto" w:fill="FFFFFF"/>
        </w:rPr>
        <w:t xml:space="preserve">(11), pp.2682-2692. </w:t>
      </w:r>
      <w:hyperlink r:id="rId24" w:history="1">
        <w:r w:rsidRPr="00487BD9">
          <w:rPr>
            <w:rStyle w:val="Hyperlink"/>
            <w:rFonts w:ascii="Arial" w:hAnsi="Arial" w:cs="Arial"/>
            <w:shd w:val="clear" w:color="auto" w:fill="FFFFFF"/>
          </w:rPr>
          <w:t>https://www.academia.edu/download/106769993/cash-conversion-cycle-and-firms-performance.pdf</w:t>
        </w:r>
      </w:hyperlink>
      <w:r w:rsidRPr="00487BD9">
        <w:rPr>
          <w:rFonts w:ascii="Arial" w:hAnsi="Arial" w:cs="Arial"/>
          <w:color w:val="222222"/>
          <w:shd w:val="clear" w:color="auto" w:fill="FFFFFF"/>
        </w:rPr>
        <w:t xml:space="preserve"> </w:t>
      </w:r>
    </w:p>
    <w:p w14:paraId="02BEF050"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 xml:space="preserve">Bravo, M., 2025. The Electric Revolution: A Quantitative Analysis of Tesla's Sales Growth. </w:t>
      </w:r>
      <w:hyperlink r:id="rId25" w:history="1">
        <w:r w:rsidRPr="00487BD9">
          <w:rPr>
            <w:rStyle w:val="Hyperlink"/>
            <w:rFonts w:ascii="Arial" w:hAnsi="Arial" w:cs="Arial"/>
            <w:shd w:val="clear" w:color="auto" w:fill="FFFFFF"/>
            <w:lang w:val="en-GB"/>
          </w:rPr>
          <w:t>https://scholarworks.uark.edu/acctuht/68/</w:t>
        </w:r>
      </w:hyperlink>
    </w:p>
    <w:p w14:paraId="7215EAF3"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lastRenderedPageBreak/>
        <w:t>Cao, S., 2025, August. TESLA Stock Prediction Using Machine Learning Models. In </w:t>
      </w:r>
      <w:r w:rsidRPr="00487BD9">
        <w:rPr>
          <w:rFonts w:ascii="Arial" w:hAnsi="Arial" w:cs="Arial"/>
          <w:i/>
          <w:iCs/>
          <w:color w:val="222222"/>
          <w:shd w:val="clear" w:color="auto" w:fill="FFFFFF"/>
          <w:lang w:val="en-GB"/>
        </w:rPr>
        <w:t>2025 3rd International Conference on Image, Algorithms, and Artificial Intelligence (ICIAAI 2025)</w:t>
      </w:r>
      <w:r w:rsidRPr="00487BD9">
        <w:rPr>
          <w:rFonts w:ascii="Arial" w:hAnsi="Arial" w:cs="Arial"/>
          <w:color w:val="222222"/>
          <w:shd w:val="clear" w:color="auto" w:fill="FFFFFF"/>
          <w:lang w:val="en-GB"/>
        </w:rPr>
        <w:t xml:space="preserve"> (pp. 695-700). Atlantis Press. </w:t>
      </w:r>
      <w:hyperlink r:id="rId26" w:history="1">
        <w:r w:rsidRPr="00487BD9">
          <w:rPr>
            <w:rStyle w:val="Hyperlink"/>
            <w:rFonts w:ascii="Arial" w:hAnsi="Arial" w:cs="Arial"/>
            <w:shd w:val="clear" w:color="auto" w:fill="FFFFFF"/>
            <w:lang w:val="en-GB"/>
          </w:rPr>
          <w:t>https://www.atlantis-press.com/proceedings/iciaai-25/126015243</w:t>
        </w:r>
      </w:hyperlink>
    </w:p>
    <w:p w14:paraId="4DE36DD5"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Chari, M. and Ferreira, V.F.M., 2025. Strategy as What a Business Should Do Over Time to Succeed: A Case Study of Tesla, Inc. </w:t>
      </w:r>
      <w:r w:rsidRPr="00487BD9">
        <w:rPr>
          <w:rFonts w:ascii="Arial" w:hAnsi="Arial" w:cs="Arial"/>
          <w:i/>
          <w:iCs/>
          <w:color w:val="222222"/>
          <w:shd w:val="clear" w:color="auto" w:fill="FFFFFF"/>
          <w:lang w:val="en-GB"/>
        </w:rPr>
        <w:t>American Business Review</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28</w:t>
      </w:r>
      <w:r w:rsidRPr="00487BD9">
        <w:rPr>
          <w:rFonts w:ascii="Arial" w:hAnsi="Arial" w:cs="Arial"/>
          <w:color w:val="222222"/>
          <w:shd w:val="clear" w:color="auto" w:fill="FFFFFF"/>
          <w:lang w:val="en-GB"/>
        </w:rPr>
        <w:t xml:space="preserve">(1), p.15. </w:t>
      </w:r>
      <w:hyperlink r:id="rId27" w:history="1">
        <w:r w:rsidRPr="00487BD9">
          <w:rPr>
            <w:rStyle w:val="Hyperlink"/>
            <w:rFonts w:ascii="Arial" w:hAnsi="Arial" w:cs="Arial"/>
            <w:shd w:val="clear" w:color="auto" w:fill="FFFFFF"/>
            <w:lang w:val="en-GB"/>
          </w:rPr>
          <w:t>https://digitalcommons.newhaven.edu/americanbusinessreview/vol28/iss1/15/</w:t>
        </w:r>
      </w:hyperlink>
    </w:p>
    <w:p w14:paraId="28F95108"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Cheng, Y., 2025, July. Research on the Development Countermeasures of New Energy Vehicles in the Context of Digital Transformation: Taking Tesla as an Example. In </w:t>
      </w:r>
      <w:r w:rsidRPr="00487BD9">
        <w:rPr>
          <w:rFonts w:ascii="Arial" w:hAnsi="Arial" w:cs="Arial"/>
          <w:i/>
          <w:iCs/>
          <w:color w:val="222222"/>
          <w:shd w:val="clear" w:color="auto" w:fill="FFFFFF"/>
          <w:lang w:val="en-GB"/>
        </w:rPr>
        <w:t>2025 International Conference on Financial Risk and Investment Management (ICFRIM 2025)</w:t>
      </w:r>
      <w:r w:rsidRPr="00487BD9">
        <w:rPr>
          <w:rFonts w:ascii="Arial" w:hAnsi="Arial" w:cs="Arial"/>
          <w:color w:val="222222"/>
          <w:shd w:val="clear" w:color="auto" w:fill="FFFFFF"/>
          <w:lang w:val="en-GB"/>
        </w:rPr>
        <w:t xml:space="preserve"> (pp. 525-532). Atlantis Press. </w:t>
      </w:r>
      <w:hyperlink r:id="rId28" w:history="1">
        <w:r w:rsidRPr="00487BD9">
          <w:rPr>
            <w:rStyle w:val="Hyperlink"/>
            <w:rFonts w:ascii="Arial" w:hAnsi="Arial" w:cs="Arial"/>
            <w:shd w:val="clear" w:color="auto" w:fill="FFFFFF"/>
            <w:lang w:val="en-GB"/>
          </w:rPr>
          <w:t>https://www.atlantis-press.com/proceedings/icfrim-25/126013095</w:t>
        </w:r>
      </w:hyperlink>
    </w:p>
    <w:p w14:paraId="7FA672C6"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Chinta, R. and Chinta, R., 2025. Tesla-Porter Five Forces Analysis &amp; Competitive Rivalry. </w:t>
      </w:r>
      <w:r w:rsidRPr="00487BD9">
        <w:rPr>
          <w:rFonts w:ascii="Arial" w:hAnsi="Arial" w:cs="Arial"/>
          <w:i/>
          <w:iCs/>
          <w:color w:val="222222"/>
          <w:shd w:val="clear" w:color="auto" w:fill="FFFFFF"/>
          <w:lang w:val="en-GB"/>
        </w:rPr>
        <w:t>Tesla-Porter Five Forces Analysis &amp; Competitive Rivalry (September 24, 2025)</w:t>
      </w:r>
      <w:r w:rsidRPr="00487BD9">
        <w:rPr>
          <w:rFonts w:ascii="Arial" w:hAnsi="Arial" w:cs="Arial"/>
          <w:color w:val="222222"/>
          <w:shd w:val="clear" w:color="auto" w:fill="FFFFFF"/>
          <w:lang w:val="en-GB"/>
        </w:rPr>
        <w:t xml:space="preserve">. </w:t>
      </w:r>
      <w:hyperlink r:id="rId29" w:history="1">
        <w:r w:rsidRPr="00487BD9">
          <w:rPr>
            <w:rStyle w:val="Hyperlink"/>
            <w:rFonts w:ascii="Arial" w:hAnsi="Arial" w:cs="Arial"/>
            <w:shd w:val="clear" w:color="auto" w:fill="FFFFFF"/>
            <w:lang w:val="en-GB"/>
          </w:rPr>
          <w:t>https://papers.ssrn.com/sol3/papers.cfm?abstract_id=5539159</w:t>
        </w:r>
      </w:hyperlink>
    </w:p>
    <w:p w14:paraId="2F8E1216"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 xml:space="preserve">Cotter, E., 2023. Net Present Value and Payback Period: An Analysis. </w:t>
      </w:r>
      <w:hyperlink r:id="rId30" w:history="1">
        <w:r w:rsidRPr="00487BD9">
          <w:rPr>
            <w:rStyle w:val="Hyperlink"/>
            <w:rFonts w:ascii="Arial" w:hAnsi="Arial" w:cs="Arial"/>
            <w:shd w:val="clear" w:color="auto" w:fill="FFFFFF"/>
          </w:rPr>
          <w:t>https://scholarworks.wmich.edu/cgi/viewcontent.cgi?article=4808&amp;context=honors_theses</w:t>
        </w:r>
      </w:hyperlink>
      <w:r w:rsidRPr="00487BD9">
        <w:rPr>
          <w:rFonts w:ascii="Arial" w:hAnsi="Arial" w:cs="Arial"/>
          <w:color w:val="222222"/>
          <w:shd w:val="clear" w:color="auto" w:fill="FFFFFF"/>
        </w:rPr>
        <w:t xml:space="preserve"> </w:t>
      </w:r>
    </w:p>
    <w:p w14:paraId="7858AF14"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Cui, X. and Chen, J., 2025. Green Bonds in the Automotive Sector: A Performance Analysis of Tesla, Volkswagen and General Motors. </w:t>
      </w:r>
      <w:r w:rsidRPr="00487BD9">
        <w:rPr>
          <w:rFonts w:ascii="Arial" w:hAnsi="Arial" w:cs="Arial"/>
          <w:i/>
          <w:iCs/>
          <w:color w:val="222222"/>
          <w:shd w:val="clear" w:color="auto" w:fill="FFFFFF"/>
          <w:lang w:val="en-GB"/>
        </w:rPr>
        <w:t>Sustainable Development Economics</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1</w:t>
      </w:r>
      <w:r w:rsidRPr="00487BD9">
        <w:rPr>
          <w:rFonts w:ascii="Arial" w:hAnsi="Arial" w:cs="Arial"/>
          <w:color w:val="222222"/>
          <w:shd w:val="clear" w:color="auto" w:fill="FFFFFF"/>
          <w:lang w:val="en-GB"/>
        </w:rPr>
        <w:t xml:space="preserve">(1), pp.44-51. </w:t>
      </w:r>
      <w:hyperlink r:id="rId31" w:history="1">
        <w:r w:rsidRPr="00487BD9">
          <w:rPr>
            <w:rStyle w:val="Hyperlink"/>
            <w:rFonts w:ascii="Arial" w:hAnsi="Arial" w:cs="Arial"/>
            <w:shd w:val="clear" w:color="auto" w:fill="FFFFFF"/>
            <w:lang w:val="en-GB"/>
          </w:rPr>
          <w:t>https://sde.cultechpub.com/index.php/sde/article/view/9</w:t>
        </w:r>
      </w:hyperlink>
    </w:p>
    <w:p w14:paraId="7D419157"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Ding, R., 2025, July. Value Investing in the EV Industry: A Case Study of Tesla. In </w:t>
      </w:r>
      <w:r w:rsidRPr="00487BD9">
        <w:rPr>
          <w:rFonts w:ascii="Arial" w:hAnsi="Arial" w:cs="Arial"/>
          <w:i/>
          <w:iCs/>
          <w:color w:val="222222"/>
          <w:shd w:val="clear" w:color="auto" w:fill="FFFFFF"/>
          <w:lang w:val="en-GB"/>
        </w:rPr>
        <w:t>2025 International Conference on Financial Risk and Investment Management (ICFRIM 2025)</w:t>
      </w:r>
      <w:r w:rsidRPr="00487BD9">
        <w:rPr>
          <w:rFonts w:ascii="Arial" w:hAnsi="Arial" w:cs="Arial"/>
          <w:color w:val="222222"/>
          <w:shd w:val="clear" w:color="auto" w:fill="FFFFFF"/>
          <w:lang w:val="en-GB"/>
        </w:rPr>
        <w:t xml:space="preserve"> (pp. 929-937). Atlantis Press. </w:t>
      </w:r>
      <w:hyperlink r:id="rId32" w:history="1">
        <w:r w:rsidRPr="00487BD9">
          <w:rPr>
            <w:rStyle w:val="Hyperlink"/>
            <w:rFonts w:ascii="Arial" w:hAnsi="Arial" w:cs="Arial"/>
            <w:shd w:val="clear" w:color="auto" w:fill="FFFFFF"/>
            <w:lang w:val="en-GB"/>
          </w:rPr>
          <w:t>https://www.atlantis-press.com/proceedings/icfrim-25/126013059</w:t>
        </w:r>
      </w:hyperlink>
    </w:p>
    <w:p w14:paraId="5771B934"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Filatova, H., Kulyk, V. and Kravchenko, O., 2024. Optimization of a company’s capital structure based on the criterion of minimizing the level of financial risk. </w:t>
      </w:r>
      <w:r w:rsidRPr="00487BD9">
        <w:rPr>
          <w:rFonts w:ascii="Arial" w:hAnsi="Arial" w:cs="Arial"/>
          <w:i/>
          <w:iCs/>
          <w:color w:val="222222"/>
          <w:shd w:val="clear" w:color="auto" w:fill="FFFFFF"/>
        </w:rPr>
        <w:t>Accounting and Financial Control</w:t>
      </w:r>
      <w:r w:rsidRPr="00487BD9">
        <w:rPr>
          <w:rFonts w:ascii="Arial" w:hAnsi="Arial" w:cs="Arial"/>
          <w:color w:val="222222"/>
          <w:shd w:val="clear" w:color="auto" w:fill="FFFFFF"/>
        </w:rPr>
        <w:t>, </w:t>
      </w:r>
      <w:r w:rsidRPr="00487BD9">
        <w:rPr>
          <w:rFonts w:ascii="Arial" w:hAnsi="Arial" w:cs="Arial"/>
          <w:i/>
          <w:iCs/>
          <w:color w:val="222222"/>
          <w:shd w:val="clear" w:color="auto" w:fill="FFFFFF"/>
        </w:rPr>
        <w:t>5</w:t>
      </w:r>
      <w:r w:rsidRPr="00487BD9">
        <w:rPr>
          <w:rFonts w:ascii="Arial" w:hAnsi="Arial" w:cs="Arial"/>
          <w:color w:val="222222"/>
          <w:shd w:val="clear" w:color="auto" w:fill="FFFFFF"/>
        </w:rPr>
        <w:t xml:space="preserve">(1), p.46. </w:t>
      </w:r>
      <w:hyperlink r:id="rId33" w:history="1">
        <w:r w:rsidRPr="00487BD9">
          <w:rPr>
            <w:rStyle w:val="Hyperlink"/>
            <w:rFonts w:ascii="Arial" w:hAnsi="Arial" w:cs="Arial"/>
            <w:shd w:val="clear" w:color="auto" w:fill="FFFFFF"/>
          </w:rPr>
          <w:t>https://search.proquest.com/openview/7a8a86616ddbecebbacdc815085929ed/1?pq-origsite=gscholar&amp;cbl=5240900</w:t>
        </w:r>
      </w:hyperlink>
      <w:r w:rsidRPr="00487BD9">
        <w:rPr>
          <w:rFonts w:ascii="Arial" w:hAnsi="Arial" w:cs="Arial"/>
          <w:color w:val="222222"/>
          <w:shd w:val="clear" w:color="auto" w:fill="FFFFFF"/>
        </w:rPr>
        <w:t xml:space="preserve"> </w:t>
      </w:r>
    </w:p>
    <w:p w14:paraId="40DAF0CF"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rPr>
        <w:t>Gunawan, E., 2023. Liquidity Ratio Analysis in Financing Short Term Liabilities. </w:t>
      </w:r>
      <w:r w:rsidRPr="00487BD9">
        <w:rPr>
          <w:rFonts w:ascii="Arial" w:hAnsi="Arial" w:cs="Arial"/>
          <w:i/>
          <w:iCs/>
          <w:color w:val="222222"/>
          <w:shd w:val="clear" w:color="auto" w:fill="FFFFFF"/>
        </w:rPr>
        <w:t>International Journal of Health, Economics, and Social Sciences (IJHESS)</w:t>
      </w:r>
      <w:r w:rsidRPr="00487BD9">
        <w:rPr>
          <w:rFonts w:ascii="Arial" w:hAnsi="Arial" w:cs="Arial"/>
          <w:color w:val="222222"/>
          <w:shd w:val="clear" w:color="auto" w:fill="FFFFFF"/>
        </w:rPr>
        <w:t>, </w:t>
      </w:r>
      <w:r w:rsidRPr="00487BD9">
        <w:rPr>
          <w:rFonts w:ascii="Arial" w:hAnsi="Arial" w:cs="Arial"/>
          <w:i/>
          <w:iCs/>
          <w:color w:val="222222"/>
          <w:shd w:val="clear" w:color="auto" w:fill="FFFFFF"/>
        </w:rPr>
        <w:t>5</w:t>
      </w:r>
      <w:r w:rsidRPr="00487BD9">
        <w:rPr>
          <w:rFonts w:ascii="Arial" w:hAnsi="Arial" w:cs="Arial"/>
          <w:color w:val="222222"/>
          <w:shd w:val="clear" w:color="auto" w:fill="FFFFFF"/>
        </w:rPr>
        <w:t xml:space="preserve">(2), pp.157-162. </w:t>
      </w:r>
      <w:hyperlink r:id="rId34" w:history="1">
        <w:r w:rsidRPr="00487BD9">
          <w:rPr>
            <w:rStyle w:val="Hyperlink"/>
            <w:rFonts w:ascii="Arial" w:hAnsi="Arial" w:cs="Arial"/>
            <w:shd w:val="clear" w:color="auto" w:fill="FFFFFF"/>
          </w:rPr>
          <w:t>https://jurnal.unismuhpalu.ac.id/index.php/IJHESS/article/download/3611/2789</w:t>
        </w:r>
      </w:hyperlink>
      <w:r w:rsidRPr="00487BD9">
        <w:rPr>
          <w:rFonts w:ascii="Arial" w:hAnsi="Arial" w:cs="Arial"/>
          <w:color w:val="222222"/>
          <w:shd w:val="clear" w:color="auto" w:fill="FFFFFF"/>
        </w:rPr>
        <w:t xml:space="preserve"> </w:t>
      </w:r>
    </w:p>
    <w:p w14:paraId="2A5504C6"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Iqbal, M. and Efendi, S., 2025. Investigating the Correlation Between Tesla Stock Prices and Cryptocurrency Prices Using Pearson and Spearman Correlation Analysis (2010-2024). </w:t>
      </w:r>
      <w:r w:rsidRPr="00487BD9">
        <w:rPr>
          <w:rFonts w:ascii="Arial" w:hAnsi="Arial" w:cs="Arial"/>
          <w:i/>
          <w:iCs/>
          <w:color w:val="222222"/>
          <w:shd w:val="clear" w:color="auto" w:fill="FFFFFF"/>
          <w:lang w:val="en-GB"/>
        </w:rPr>
        <w:t>Journal of Digital Market and Digital Currency</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2</w:t>
      </w:r>
      <w:r w:rsidRPr="00487BD9">
        <w:rPr>
          <w:rFonts w:ascii="Arial" w:hAnsi="Arial" w:cs="Arial"/>
          <w:color w:val="222222"/>
          <w:shd w:val="clear" w:color="auto" w:fill="FFFFFF"/>
          <w:lang w:val="en-GB"/>
        </w:rPr>
        <w:t xml:space="preserve">(3), pp.252-269. </w:t>
      </w:r>
      <w:hyperlink r:id="rId35" w:history="1">
        <w:r w:rsidRPr="00487BD9">
          <w:rPr>
            <w:rStyle w:val="Hyperlink"/>
            <w:rFonts w:ascii="Arial" w:hAnsi="Arial" w:cs="Arial"/>
            <w:shd w:val="clear" w:color="auto" w:fill="FFFFFF"/>
            <w:lang w:val="en-GB"/>
          </w:rPr>
          <w:t>http://jdmdc.com/index.php/JDMDC/article/view/36</w:t>
        </w:r>
      </w:hyperlink>
    </w:p>
    <w:p w14:paraId="1AA4F606"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 xml:space="preserve">Li, L., 2025. Deferred Revenue and Profitability in Tesla’s Software-Integrated Model: A Case Study under ASC 606. </w:t>
      </w:r>
      <w:hyperlink r:id="rId36" w:history="1">
        <w:r w:rsidRPr="00487BD9">
          <w:rPr>
            <w:rStyle w:val="Hyperlink"/>
            <w:rFonts w:ascii="Arial" w:hAnsi="Arial" w:cs="Arial"/>
            <w:shd w:val="clear" w:color="auto" w:fill="FFFFFF"/>
            <w:lang w:val="en-GB"/>
          </w:rPr>
          <w:t>https://gupea.ub.gu.se/items/b960f4a0-e3bb-45e3-b39d-9d6a7db02b83</w:t>
        </w:r>
      </w:hyperlink>
    </w:p>
    <w:p w14:paraId="457F12B4"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 X., 2025, November. Business Model Comparison between Tesla and BYD: From Supply Chain Integration to Core Technology Competition. In </w:t>
      </w:r>
      <w:r w:rsidRPr="00487BD9">
        <w:rPr>
          <w:rFonts w:ascii="Arial" w:hAnsi="Arial" w:cs="Arial"/>
          <w:i/>
          <w:iCs/>
          <w:color w:val="222222"/>
          <w:shd w:val="clear" w:color="auto" w:fill="FFFFFF"/>
          <w:lang w:val="en-GB"/>
        </w:rPr>
        <w:t>2025 International Conference on Financial Innovation and Marketing Management (FIMM 2025)</w:t>
      </w:r>
      <w:r w:rsidRPr="00487BD9">
        <w:rPr>
          <w:rFonts w:ascii="Arial" w:hAnsi="Arial" w:cs="Arial"/>
          <w:color w:val="222222"/>
          <w:shd w:val="clear" w:color="auto" w:fill="FFFFFF"/>
          <w:lang w:val="en-GB"/>
        </w:rPr>
        <w:t xml:space="preserve"> (pp. 642-650). Atlantis Press. </w:t>
      </w:r>
      <w:hyperlink r:id="rId37" w:history="1">
        <w:r w:rsidRPr="00487BD9">
          <w:rPr>
            <w:rStyle w:val="Hyperlink"/>
            <w:rFonts w:ascii="Arial" w:hAnsi="Arial" w:cs="Arial"/>
            <w:shd w:val="clear" w:color="auto" w:fill="FFFFFF"/>
            <w:lang w:val="en-GB"/>
          </w:rPr>
          <w:t>https://www.atlantis-press.com/proceedings/fimm-25/126017124</w:t>
        </w:r>
      </w:hyperlink>
    </w:p>
    <w:p w14:paraId="36FD6B04"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 Y., 2025, February. Financial Analysis of the Company Tesla. In </w:t>
      </w:r>
      <w:r w:rsidRPr="00487BD9">
        <w:rPr>
          <w:rFonts w:ascii="Arial" w:hAnsi="Arial" w:cs="Arial"/>
          <w:i/>
          <w:iCs/>
          <w:color w:val="222222"/>
          <w:shd w:val="clear" w:color="auto" w:fill="FFFFFF"/>
          <w:lang w:val="en-GB"/>
        </w:rPr>
        <w:t>International Workshop on Navigating the Digital Business Frontier for Sustainable Financial Innovation (ICDEBA 2024)</w:t>
      </w:r>
      <w:r w:rsidRPr="00487BD9">
        <w:rPr>
          <w:rFonts w:ascii="Arial" w:hAnsi="Arial" w:cs="Arial"/>
          <w:color w:val="222222"/>
          <w:shd w:val="clear" w:color="auto" w:fill="FFFFFF"/>
          <w:lang w:val="en-GB"/>
        </w:rPr>
        <w:t xml:space="preserve"> (pp. 566-575). Atlantis Press. </w:t>
      </w:r>
      <w:hyperlink r:id="rId38" w:history="1">
        <w:r w:rsidRPr="00487BD9">
          <w:rPr>
            <w:rStyle w:val="Hyperlink"/>
            <w:rFonts w:ascii="Arial" w:hAnsi="Arial" w:cs="Arial"/>
            <w:shd w:val="clear" w:color="auto" w:fill="FFFFFF"/>
            <w:lang w:val="en-GB"/>
          </w:rPr>
          <w:t>https://www.atlantis-press.com/proceedings/icdeba-24/126008536</w:t>
        </w:r>
      </w:hyperlink>
    </w:p>
    <w:p w14:paraId="32FF5A50"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 Y., 2025, November. Analysis of Company’s Financial Situation: Taking Tesla Company as an Example. In </w:t>
      </w:r>
      <w:r w:rsidRPr="00487BD9">
        <w:rPr>
          <w:rFonts w:ascii="Arial" w:hAnsi="Arial" w:cs="Arial"/>
          <w:i/>
          <w:iCs/>
          <w:color w:val="222222"/>
          <w:shd w:val="clear" w:color="auto" w:fill="FFFFFF"/>
          <w:lang w:val="en-GB"/>
        </w:rPr>
        <w:t>2025 International Conference on Financial Innovation and Marketing Management (FIMM 2025)</w:t>
      </w:r>
      <w:r w:rsidRPr="00487BD9">
        <w:rPr>
          <w:rFonts w:ascii="Arial" w:hAnsi="Arial" w:cs="Arial"/>
          <w:color w:val="222222"/>
          <w:shd w:val="clear" w:color="auto" w:fill="FFFFFF"/>
          <w:lang w:val="en-GB"/>
        </w:rPr>
        <w:t xml:space="preserve"> (pp. 845-852). Atlantis Press. </w:t>
      </w:r>
      <w:hyperlink r:id="rId39" w:history="1">
        <w:r w:rsidRPr="00487BD9">
          <w:rPr>
            <w:rStyle w:val="Hyperlink"/>
            <w:rFonts w:ascii="Arial" w:hAnsi="Arial" w:cs="Arial"/>
            <w:shd w:val="clear" w:color="auto" w:fill="FFFFFF"/>
            <w:lang w:val="en-GB"/>
          </w:rPr>
          <w:t>https://www.atlantis-press.com/proceedings/fimm-25/126017147</w:t>
        </w:r>
      </w:hyperlink>
    </w:p>
    <w:p w14:paraId="09386B15"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Liang, L.Y. and Yubin, Z., 2025. The Impacts of Digital Transformation on Firm Performance: A Case Study of Tesla Business Model. </w:t>
      </w:r>
      <w:r w:rsidRPr="00487BD9">
        <w:rPr>
          <w:rFonts w:ascii="Arial" w:hAnsi="Arial" w:cs="Arial"/>
          <w:i/>
          <w:iCs/>
          <w:color w:val="222222"/>
          <w:shd w:val="clear" w:color="auto" w:fill="FFFFFF"/>
          <w:lang w:val="en-GB"/>
        </w:rPr>
        <w:t>International Journal of Research and Scientific Innovation, XII (V)</w:t>
      </w:r>
      <w:r w:rsidRPr="00487BD9">
        <w:rPr>
          <w:rFonts w:ascii="Arial" w:hAnsi="Arial" w:cs="Arial"/>
          <w:color w:val="222222"/>
          <w:shd w:val="clear" w:color="auto" w:fill="FFFFFF"/>
          <w:lang w:val="en-GB"/>
        </w:rPr>
        <w:t xml:space="preserve">, pp.287-302. </w:t>
      </w:r>
      <w:hyperlink r:id="rId40" w:history="1">
        <w:r w:rsidRPr="00487BD9">
          <w:rPr>
            <w:rStyle w:val="Hyperlink"/>
            <w:rFonts w:ascii="Arial" w:hAnsi="Arial" w:cs="Arial"/>
            <w:shd w:val="clear" w:color="auto" w:fill="FFFFFF"/>
            <w:lang w:val="en-GB"/>
          </w:rPr>
          <w:t>https://www.researchgate.net/profile/Loo-Liang-2/publication/392248694_The_Impacts_of_Digital_Transformation_on_Firm_Performance_A_Case_Study_of_Tesla_Business_Model/links/683c6af8d1054b0207f8c428/The-Impacts-of-Digital-Transformation-on-Firm-Performance-A-Case-Study-of-Tesla-Business-Model.pdf</w:t>
        </w:r>
      </w:hyperlink>
    </w:p>
    <w:p w14:paraId="5470CB10"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Lin, P., Li, L., Zhao, Y., Liu, T., Cui, F., An, D. and Xi, H., 2026. Integrated performance analysis and Prediction for a Tesla turbine in advanced adiabatic compressed air energy storage systems. </w:t>
      </w:r>
      <w:r w:rsidRPr="00487BD9">
        <w:rPr>
          <w:rFonts w:ascii="Arial" w:hAnsi="Arial" w:cs="Arial"/>
          <w:i/>
          <w:iCs/>
          <w:color w:val="222222"/>
          <w:shd w:val="clear" w:color="auto" w:fill="FFFFFF"/>
          <w:lang w:val="en-GB"/>
        </w:rPr>
        <w:t>Energy</w:t>
      </w:r>
      <w:r w:rsidRPr="00487BD9">
        <w:rPr>
          <w:rFonts w:ascii="Arial" w:hAnsi="Arial" w:cs="Arial"/>
          <w:color w:val="222222"/>
          <w:shd w:val="clear" w:color="auto" w:fill="FFFFFF"/>
          <w:lang w:val="en-GB"/>
        </w:rPr>
        <w:t xml:space="preserve">, p.139861. </w:t>
      </w:r>
      <w:hyperlink r:id="rId41" w:history="1">
        <w:r w:rsidRPr="00487BD9">
          <w:rPr>
            <w:rStyle w:val="Hyperlink"/>
            <w:rFonts w:ascii="Arial" w:hAnsi="Arial" w:cs="Arial"/>
            <w:shd w:val="clear" w:color="auto" w:fill="FFFFFF"/>
            <w:lang w:val="en-GB"/>
          </w:rPr>
          <w:t>https://www.sciencedirect.com/science/article/pii/S0360544225055045</w:t>
        </w:r>
      </w:hyperlink>
    </w:p>
    <w:p w14:paraId="062AF4C4"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Liu, X. and Zhou, Y., 2025. The Impact of Strategic Corporate Social Responsibility on Organizational Resilience—An Exploratory Case Study Based on Tesla. </w:t>
      </w:r>
      <w:r w:rsidRPr="00487BD9">
        <w:rPr>
          <w:rFonts w:ascii="Arial" w:hAnsi="Arial" w:cs="Arial"/>
          <w:i/>
          <w:iCs/>
          <w:color w:val="222222"/>
          <w:shd w:val="clear" w:color="auto" w:fill="FFFFFF"/>
          <w:lang w:val="en-GB"/>
        </w:rPr>
        <w:t>Administrative Sciences</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15</w:t>
      </w:r>
      <w:r w:rsidRPr="00487BD9">
        <w:rPr>
          <w:rFonts w:ascii="Arial" w:hAnsi="Arial" w:cs="Arial"/>
          <w:color w:val="222222"/>
          <w:shd w:val="clear" w:color="auto" w:fill="FFFFFF"/>
          <w:lang w:val="en-GB"/>
        </w:rPr>
        <w:t xml:space="preserve">(6), p.212. </w:t>
      </w:r>
      <w:hyperlink r:id="rId42" w:history="1">
        <w:r w:rsidRPr="00487BD9">
          <w:rPr>
            <w:rStyle w:val="Hyperlink"/>
            <w:rFonts w:ascii="Arial" w:hAnsi="Arial" w:cs="Arial"/>
            <w:shd w:val="clear" w:color="auto" w:fill="FFFFFF"/>
            <w:lang w:val="en-GB"/>
          </w:rPr>
          <w:t>https://www.mdpi.com/2076-3387/15/6/212</w:t>
        </w:r>
      </w:hyperlink>
    </w:p>
    <w:p w14:paraId="38FCAF69"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Liu, X., 2025, August. Tesla Stock Prediction Based on LSTM and News Sentiment Analysis. In </w:t>
      </w:r>
      <w:r w:rsidRPr="00487BD9">
        <w:rPr>
          <w:rFonts w:ascii="Arial" w:hAnsi="Arial" w:cs="Arial"/>
          <w:i/>
          <w:iCs/>
          <w:color w:val="222222"/>
          <w:shd w:val="clear" w:color="auto" w:fill="FFFFFF"/>
          <w:lang w:val="en-GB"/>
        </w:rPr>
        <w:t>2025 3rd International Conference on Image, Algorithms, and Artificial Intelligence (ICIAAI 2025)</w:t>
      </w:r>
      <w:r w:rsidRPr="00487BD9">
        <w:rPr>
          <w:rFonts w:ascii="Arial" w:hAnsi="Arial" w:cs="Arial"/>
          <w:color w:val="222222"/>
          <w:shd w:val="clear" w:color="auto" w:fill="FFFFFF"/>
          <w:lang w:val="en-GB"/>
        </w:rPr>
        <w:t xml:space="preserve"> (pp. 734-742). Atlantis Press. </w:t>
      </w:r>
      <w:hyperlink r:id="rId43" w:history="1">
        <w:r w:rsidRPr="00487BD9">
          <w:rPr>
            <w:rStyle w:val="Hyperlink"/>
            <w:rFonts w:ascii="Arial" w:hAnsi="Arial" w:cs="Arial"/>
            <w:shd w:val="clear" w:color="auto" w:fill="FFFFFF"/>
            <w:lang w:val="en-GB"/>
          </w:rPr>
          <w:t>https://www.atlantis-press.com/proceedings/iciaai-25/126015305</w:t>
        </w:r>
      </w:hyperlink>
    </w:p>
    <w:p w14:paraId="50E22F6D"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Luo, Y., 2025. When Green Mission Meets ESG Ratings: An Event Study of Tesla’s Market Reaction. </w:t>
      </w:r>
      <w:r w:rsidRPr="00487BD9">
        <w:rPr>
          <w:rFonts w:ascii="Arial" w:hAnsi="Arial" w:cs="Arial"/>
          <w:i/>
          <w:iCs/>
          <w:color w:val="222222"/>
          <w:shd w:val="clear" w:color="auto" w:fill="FFFFFF"/>
          <w:lang w:val="en-GB"/>
        </w:rPr>
        <w:t>Finance &amp; Economics</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1</w:t>
      </w:r>
      <w:r w:rsidRPr="00487BD9">
        <w:rPr>
          <w:rFonts w:ascii="Arial" w:hAnsi="Arial" w:cs="Arial"/>
          <w:color w:val="222222"/>
          <w:shd w:val="clear" w:color="auto" w:fill="FFFFFF"/>
          <w:lang w:val="en-GB"/>
        </w:rPr>
        <w:t xml:space="preserve">(6). </w:t>
      </w:r>
      <w:hyperlink r:id="rId44" w:history="1">
        <w:r w:rsidRPr="00487BD9">
          <w:rPr>
            <w:rStyle w:val="Hyperlink"/>
            <w:rFonts w:ascii="Arial" w:hAnsi="Arial" w:cs="Arial"/>
            <w:shd w:val="clear" w:color="auto" w:fill="FFFFFF"/>
            <w:lang w:val="en-GB"/>
          </w:rPr>
          <w:t>https://lseee.net/index.php/fe/article/view/1859</w:t>
        </w:r>
      </w:hyperlink>
    </w:p>
    <w:p w14:paraId="1042521A"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Ma, Z., 2025, August. Analysing the Challenges and Opportunities of Tesla: a SWOT Approach. In </w:t>
      </w:r>
      <w:r w:rsidRPr="00487BD9">
        <w:rPr>
          <w:rFonts w:ascii="Arial" w:hAnsi="Arial" w:cs="Arial"/>
          <w:i/>
          <w:iCs/>
          <w:color w:val="222222"/>
          <w:shd w:val="clear" w:color="auto" w:fill="FFFFFF"/>
          <w:lang w:val="en-GB"/>
        </w:rPr>
        <w:t>2025 5th International Conference on Enterprise Management and Economic Development (ICEMED 2025)</w:t>
      </w:r>
      <w:r w:rsidRPr="00487BD9">
        <w:rPr>
          <w:rFonts w:ascii="Arial" w:hAnsi="Arial" w:cs="Arial"/>
          <w:color w:val="222222"/>
          <w:shd w:val="clear" w:color="auto" w:fill="FFFFFF"/>
          <w:lang w:val="en-GB"/>
        </w:rPr>
        <w:t xml:space="preserve"> (pp. 670-675). Atlantis Press. </w:t>
      </w:r>
      <w:hyperlink r:id="rId45" w:history="1">
        <w:r w:rsidRPr="00487BD9">
          <w:rPr>
            <w:rStyle w:val="Hyperlink"/>
            <w:rFonts w:ascii="Arial" w:hAnsi="Arial" w:cs="Arial"/>
            <w:shd w:val="clear" w:color="auto" w:fill="FFFFFF"/>
            <w:lang w:val="en-GB"/>
          </w:rPr>
          <w:t>https://www.atlantis-press.com/proceedings/icemed-25/126014965</w:t>
        </w:r>
      </w:hyperlink>
    </w:p>
    <w:p w14:paraId="5B545954"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 xml:space="preserve">Majka, M., 2024. Understanding Efficiency Ratios. </w:t>
      </w:r>
      <w:hyperlink r:id="rId46" w:history="1">
        <w:r w:rsidRPr="00487BD9">
          <w:rPr>
            <w:rStyle w:val="Hyperlink"/>
            <w:rFonts w:ascii="Arial" w:hAnsi="Arial" w:cs="Arial"/>
            <w:shd w:val="clear" w:color="auto" w:fill="FFFFFF"/>
          </w:rPr>
          <w:t>https://www.researchgate.net/profile/Marcin-Majka-2/publication/381402363_Understanding_Efficiency_Ratios/links/666b64b9de777205a32c2aa5/Understanding-Efficiency-Ratios.pdf</w:t>
        </w:r>
      </w:hyperlink>
      <w:r w:rsidRPr="00487BD9">
        <w:rPr>
          <w:rFonts w:ascii="Arial" w:hAnsi="Arial" w:cs="Arial"/>
          <w:color w:val="222222"/>
          <w:shd w:val="clear" w:color="auto" w:fill="FFFFFF"/>
        </w:rPr>
        <w:t xml:space="preserve"> </w:t>
      </w:r>
    </w:p>
    <w:p w14:paraId="4DF3D9F6"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lastRenderedPageBreak/>
        <w:t xml:space="preserve">Nasution, Y.A. and </w:t>
      </w:r>
      <w:proofErr w:type="spellStart"/>
      <w:r w:rsidRPr="00487BD9">
        <w:rPr>
          <w:rFonts w:ascii="Arial" w:hAnsi="Arial" w:cs="Arial"/>
          <w:color w:val="222222"/>
          <w:shd w:val="clear" w:color="auto" w:fill="FFFFFF"/>
        </w:rPr>
        <w:t>Yusleny</w:t>
      </w:r>
      <w:proofErr w:type="spellEnd"/>
      <w:r w:rsidRPr="00487BD9">
        <w:rPr>
          <w:rFonts w:ascii="Arial" w:hAnsi="Arial" w:cs="Arial"/>
          <w:color w:val="222222"/>
          <w:shd w:val="clear" w:color="auto" w:fill="FFFFFF"/>
        </w:rPr>
        <w:t xml:space="preserve">, Y., 2023, February. Financial Performance Measurement Using Profitability Ratios </w:t>
      </w:r>
      <w:proofErr w:type="gramStart"/>
      <w:r w:rsidRPr="00487BD9">
        <w:rPr>
          <w:rFonts w:ascii="Arial" w:hAnsi="Arial" w:cs="Arial"/>
          <w:color w:val="222222"/>
          <w:shd w:val="clear" w:color="auto" w:fill="FFFFFF"/>
        </w:rPr>
        <w:t>And</w:t>
      </w:r>
      <w:proofErr w:type="gramEnd"/>
      <w:r w:rsidRPr="00487BD9">
        <w:rPr>
          <w:rFonts w:ascii="Arial" w:hAnsi="Arial" w:cs="Arial"/>
          <w:color w:val="222222"/>
          <w:shd w:val="clear" w:color="auto" w:fill="FFFFFF"/>
        </w:rPr>
        <w:t xml:space="preserve"> Liquidity Ratios. In </w:t>
      </w:r>
      <w:r w:rsidRPr="00487BD9">
        <w:rPr>
          <w:rFonts w:ascii="Arial" w:hAnsi="Arial" w:cs="Arial"/>
          <w:i/>
          <w:iCs/>
          <w:color w:val="222222"/>
          <w:shd w:val="clear" w:color="auto" w:fill="FFFFFF"/>
        </w:rPr>
        <w:t>Proceeding Medan International Conference on Economic and Business</w:t>
      </w:r>
      <w:r w:rsidRPr="00487BD9">
        <w:rPr>
          <w:rFonts w:ascii="Arial" w:hAnsi="Arial" w:cs="Arial"/>
          <w:color w:val="222222"/>
          <w:shd w:val="clear" w:color="auto" w:fill="FFFFFF"/>
        </w:rPr>
        <w:t xml:space="preserve"> (Vol. 1, pp. 1730-1741). </w:t>
      </w:r>
      <w:hyperlink r:id="rId47" w:history="1">
        <w:r w:rsidRPr="00487BD9">
          <w:rPr>
            <w:rStyle w:val="Hyperlink"/>
            <w:rFonts w:ascii="Arial" w:hAnsi="Arial" w:cs="Arial"/>
            <w:shd w:val="clear" w:color="auto" w:fill="FFFFFF"/>
          </w:rPr>
          <w:t>https://proceeding.umsu.ac.id/index.php/Miceb/article/download/282/303</w:t>
        </w:r>
      </w:hyperlink>
      <w:r w:rsidRPr="00487BD9">
        <w:rPr>
          <w:rFonts w:ascii="Arial" w:hAnsi="Arial" w:cs="Arial"/>
          <w:color w:val="222222"/>
          <w:shd w:val="clear" w:color="auto" w:fill="FFFFFF"/>
        </w:rPr>
        <w:t xml:space="preserve"> </w:t>
      </w:r>
    </w:p>
    <w:p w14:paraId="1EFD822B"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Peng, X., 2025. A Study of Major Economic Groups on Tesla Stock Based on Psychological Accounts. </w:t>
      </w:r>
      <w:r w:rsidRPr="00487BD9">
        <w:rPr>
          <w:rFonts w:ascii="Arial" w:hAnsi="Arial" w:cs="Arial"/>
          <w:i/>
          <w:iCs/>
          <w:color w:val="222222"/>
          <w:shd w:val="clear" w:color="auto" w:fill="FFFFFF"/>
          <w:lang w:val="en-GB"/>
        </w:rPr>
        <w:t>Advances in Economics, Management and Political Sciences</w:t>
      </w:r>
      <w:r w:rsidRPr="00487BD9">
        <w:rPr>
          <w:rFonts w:ascii="Arial" w:hAnsi="Arial" w:cs="Arial"/>
          <w:color w:val="222222"/>
          <w:shd w:val="clear" w:color="auto" w:fill="FFFFFF"/>
          <w:lang w:val="en-GB"/>
        </w:rPr>
        <w:t>, </w:t>
      </w:r>
      <w:r w:rsidRPr="00487BD9">
        <w:rPr>
          <w:rFonts w:ascii="Arial" w:hAnsi="Arial" w:cs="Arial"/>
          <w:i/>
          <w:iCs/>
          <w:color w:val="222222"/>
          <w:shd w:val="clear" w:color="auto" w:fill="FFFFFF"/>
          <w:lang w:val="en-GB"/>
        </w:rPr>
        <w:t>247</w:t>
      </w:r>
      <w:r w:rsidRPr="00487BD9">
        <w:rPr>
          <w:rFonts w:ascii="Arial" w:hAnsi="Arial" w:cs="Arial"/>
          <w:color w:val="222222"/>
          <w:shd w:val="clear" w:color="auto" w:fill="FFFFFF"/>
          <w:lang w:val="en-GB"/>
        </w:rPr>
        <w:t xml:space="preserve">, pp.44-49. </w:t>
      </w:r>
      <w:hyperlink r:id="rId48" w:history="1">
        <w:r w:rsidRPr="00487BD9">
          <w:rPr>
            <w:rStyle w:val="Hyperlink"/>
            <w:rFonts w:ascii="Arial" w:hAnsi="Arial" w:cs="Arial"/>
            <w:shd w:val="clear" w:color="auto" w:fill="FFFFFF"/>
            <w:lang w:val="en-GB"/>
          </w:rPr>
          <w:t>https://aemps.ewapub.com/article/view/30336</w:t>
        </w:r>
      </w:hyperlink>
    </w:p>
    <w:p w14:paraId="7E777040"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Shou, T., 2022, July. A literature review on the net present value (NPV) valuation method. In </w:t>
      </w:r>
      <w:r w:rsidRPr="00487BD9">
        <w:rPr>
          <w:rFonts w:ascii="Arial" w:hAnsi="Arial" w:cs="Arial"/>
          <w:i/>
          <w:iCs/>
          <w:color w:val="222222"/>
          <w:shd w:val="clear" w:color="auto" w:fill="FFFFFF"/>
        </w:rPr>
        <w:t>2022 2nd International Conference on Enterprise Management and Economic Development (ICEMED 2022)</w:t>
      </w:r>
      <w:r w:rsidRPr="00487BD9">
        <w:rPr>
          <w:rFonts w:ascii="Arial" w:hAnsi="Arial" w:cs="Arial"/>
          <w:color w:val="222222"/>
          <w:shd w:val="clear" w:color="auto" w:fill="FFFFFF"/>
        </w:rPr>
        <w:t xml:space="preserve"> (pp. 826-830). Atlantis Press. </w:t>
      </w:r>
      <w:hyperlink r:id="rId49" w:history="1">
        <w:r w:rsidRPr="00487BD9">
          <w:rPr>
            <w:rStyle w:val="Hyperlink"/>
            <w:rFonts w:ascii="Arial" w:hAnsi="Arial" w:cs="Arial"/>
            <w:shd w:val="clear" w:color="auto" w:fill="FFFFFF"/>
          </w:rPr>
          <w:t>https://www.atlantis-press.com/article/125975449.pdf</w:t>
        </w:r>
      </w:hyperlink>
      <w:r w:rsidRPr="00487BD9">
        <w:rPr>
          <w:rFonts w:ascii="Arial" w:hAnsi="Arial" w:cs="Arial"/>
          <w:color w:val="222222"/>
          <w:shd w:val="clear" w:color="auto" w:fill="FFFFFF"/>
        </w:rPr>
        <w:t xml:space="preserve"> </w:t>
      </w:r>
    </w:p>
    <w:p w14:paraId="471A5623"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rPr>
        <w:t>Siddiqa, A., 2023. Corporate Financial Restructuring: Strategies and Impacts. </w:t>
      </w:r>
      <w:r w:rsidRPr="00487BD9">
        <w:rPr>
          <w:rFonts w:ascii="Arial" w:hAnsi="Arial" w:cs="Arial"/>
          <w:i/>
          <w:iCs/>
          <w:color w:val="222222"/>
          <w:shd w:val="clear" w:color="auto" w:fill="FFFFFF"/>
        </w:rPr>
        <w:t>Pakistan Journal of Management &amp; Social Science</w:t>
      </w:r>
      <w:r w:rsidRPr="00487BD9">
        <w:rPr>
          <w:rFonts w:ascii="Arial" w:hAnsi="Arial" w:cs="Arial"/>
          <w:color w:val="222222"/>
          <w:shd w:val="clear" w:color="auto" w:fill="FFFFFF"/>
        </w:rPr>
        <w:t>, </w:t>
      </w:r>
      <w:r w:rsidRPr="00487BD9">
        <w:rPr>
          <w:rFonts w:ascii="Arial" w:hAnsi="Arial" w:cs="Arial"/>
          <w:i/>
          <w:iCs/>
          <w:color w:val="222222"/>
          <w:shd w:val="clear" w:color="auto" w:fill="FFFFFF"/>
        </w:rPr>
        <w:t>2</w:t>
      </w:r>
      <w:r w:rsidRPr="00487BD9">
        <w:rPr>
          <w:rFonts w:ascii="Arial" w:hAnsi="Arial" w:cs="Arial"/>
          <w:color w:val="222222"/>
          <w:shd w:val="clear" w:color="auto" w:fill="FFFFFF"/>
        </w:rPr>
        <w:t xml:space="preserve">(02), pp.112-125. </w:t>
      </w:r>
      <w:hyperlink r:id="rId50" w:history="1">
        <w:r w:rsidRPr="00487BD9">
          <w:rPr>
            <w:rStyle w:val="Hyperlink"/>
            <w:rFonts w:ascii="Arial" w:hAnsi="Arial" w:cs="Arial"/>
            <w:shd w:val="clear" w:color="auto" w:fill="FFFFFF"/>
          </w:rPr>
          <w:t>https://www.pakistanjournalofmanagement.com/index.php/Journal/article/download/28/57</w:t>
        </w:r>
      </w:hyperlink>
      <w:r w:rsidRPr="00487BD9">
        <w:rPr>
          <w:rFonts w:ascii="Arial" w:hAnsi="Arial" w:cs="Arial"/>
          <w:color w:val="222222"/>
          <w:shd w:val="clear" w:color="auto" w:fill="FFFFFF"/>
        </w:rPr>
        <w:t xml:space="preserve"> </w:t>
      </w:r>
    </w:p>
    <w:p w14:paraId="5867658A"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Singh, R., Gupta, C.P. and Chaudhary, P., 2024. Defining Return on Assets (ROA) in empirical corporate finance research: a critical review. </w:t>
      </w:r>
      <w:r w:rsidRPr="00487BD9">
        <w:rPr>
          <w:rFonts w:ascii="Arial" w:hAnsi="Arial" w:cs="Arial"/>
          <w:i/>
          <w:iCs/>
          <w:color w:val="222222"/>
          <w:shd w:val="clear" w:color="auto" w:fill="FFFFFF"/>
        </w:rPr>
        <w:t>Empirical Economics Letters</w:t>
      </w:r>
      <w:r w:rsidRPr="00487BD9">
        <w:rPr>
          <w:rFonts w:ascii="Arial" w:hAnsi="Arial" w:cs="Arial"/>
          <w:color w:val="222222"/>
          <w:shd w:val="clear" w:color="auto" w:fill="FFFFFF"/>
        </w:rPr>
        <w:t xml:space="preserve">. </w:t>
      </w:r>
      <w:hyperlink r:id="rId51" w:history="1">
        <w:r w:rsidRPr="00487BD9">
          <w:rPr>
            <w:rStyle w:val="Hyperlink"/>
            <w:rFonts w:ascii="Arial" w:hAnsi="Arial" w:cs="Arial"/>
            <w:shd w:val="clear" w:color="auto" w:fill="FFFFFF"/>
          </w:rPr>
          <w:t>https://papers.ssrn.com/sol3/Delivery.cfm?abstractid=4638078</w:t>
        </w:r>
      </w:hyperlink>
      <w:r w:rsidRPr="00487BD9">
        <w:rPr>
          <w:rFonts w:ascii="Arial" w:hAnsi="Arial" w:cs="Arial"/>
          <w:color w:val="222222"/>
          <w:shd w:val="clear" w:color="auto" w:fill="FFFFFF"/>
        </w:rPr>
        <w:t xml:space="preserve"> </w:t>
      </w:r>
    </w:p>
    <w:p w14:paraId="11AF3D65"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Soliman, M.H.A., 2025. </w:t>
      </w:r>
      <w:r w:rsidRPr="00487BD9">
        <w:rPr>
          <w:rFonts w:ascii="Arial" w:hAnsi="Arial" w:cs="Arial"/>
          <w:i/>
          <w:iCs/>
          <w:color w:val="222222"/>
          <w:shd w:val="clear" w:color="auto" w:fill="FFFFFF"/>
          <w:lang w:val="en-GB"/>
        </w:rPr>
        <w:t>Why Tesla Still Can’t Build Like Toyota: A Chapter-by-Chapter Analysis of Lean Thinking vs. Tech Hype</w:t>
      </w:r>
      <w:r w:rsidRPr="00487BD9">
        <w:rPr>
          <w:rFonts w:ascii="Arial" w:hAnsi="Arial" w:cs="Arial"/>
          <w:color w:val="222222"/>
          <w:shd w:val="clear" w:color="auto" w:fill="FFFFFF"/>
          <w:lang w:val="en-GB"/>
        </w:rPr>
        <w:t xml:space="preserve">. Personal Lean Publications. </w:t>
      </w:r>
      <w:hyperlink r:id="rId52" w:history="1">
        <w:r w:rsidRPr="00487BD9">
          <w:rPr>
            <w:rStyle w:val="Hyperlink"/>
            <w:rFonts w:ascii="Arial" w:hAnsi="Arial" w:cs="Arial"/>
            <w:shd w:val="clear" w:color="auto" w:fill="FFFFFF"/>
            <w:lang w:val="en-GB"/>
          </w:rPr>
          <w:t>https://books.google.com/books?hl=en&amp;lr=&amp;id=khVxEQAAQBAJ&amp;oi=fnd&amp;pg=PP8&amp;dq=Tesla+financial+performance+analysis&amp;ots=gA-BSYhg5l&amp;sig=aW84XEInUyl1apNDy_8wNng32I0</w:t>
        </w:r>
      </w:hyperlink>
    </w:p>
    <w:p w14:paraId="0AD31281" w14:textId="7A28D226" w:rsidR="00F81DD3" w:rsidRPr="00487BD9" w:rsidRDefault="00F81DD3" w:rsidP="00487BD9">
      <w:pPr>
        <w:spacing w:before="240"/>
        <w:rPr>
          <w:rFonts w:ascii="Arial" w:hAnsi="Arial" w:cs="Arial"/>
          <w:lang w:val="en-GB"/>
        </w:rPr>
      </w:pPr>
      <w:r w:rsidRPr="00487BD9">
        <w:rPr>
          <w:rFonts w:ascii="Arial" w:hAnsi="Arial" w:cs="Arial"/>
          <w:lang w:val="en-GB"/>
        </w:rPr>
        <w:t xml:space="preserve">Tesla, 2025. </w:t>
      </w:r>
      <w:r w:rsidRPr="00487BD9">
        <w:rPr>
          <w:rFonts w:ascii="Arial" w:hAnsi="Arial" w:cs="Arial"/>
          <w:i/>
          <w:iCs/>
          <w:lang w:val="en-GB"/>
        </w:rPr>
        <w:t>About Us</w:t>
      </w:r>
      <w:r w:rsidRPr="00487BD9">
        <w:rPr>
          <w:rFonts w:ascii="Arial" w:hAnsi="Arial" w:cs="Arial"/>
          <w:lang w:val="en-GB"/>
        </w:rPr>
        <w:t xml:space="preserve">. Available at: </w:t>
      </w:r>
      <w:hyperlink r:id="rId53" w:history="1">
        <w:r w:rsidRPr="00487BD9">
          <w:rPr>
            <w:rStyle w:val="Hyperlink"/>
            <w:rFonts w:ascii="Arial" w:hAnsi="Arial" w:cs="Arial"/>
            <w:lang w:val="en-GB"/>
          </w:rPr>
          <w:t>https://www.tesla.com/about</w:t>
        </w:r>
      </w:hyperlink>
      <w:r w:rsidRPr="00487BD9">
        <w:rPr>
          <w:rFonts w:ascii="Arial" w:hAnsi="Arial" w:cs="Arial"/>
          <w:lang w:val="en-GB"/>
        </w:rPr>
        <w:t xml:space="preserve"> [Accessed on: </w:t>
      </w:r>
      <w:r w:rsidR="0016461A">
        <w:rPr>
          <w:rFonts w:ascii="Arial" w:hAnsi="Arial" w:cs="Arial"/>
          <w:lang w:val="en-GB"/>
        </w:rPr>
        <w:t>01</w:t>
      </w:r>
      <w:r w:rsidRPr="00487BD9">
        <w:rPr>
          <w:rFonts w:ascii="Arial" w:hAnsi="Arial" w:cs="Arial"/>
          <w:lang w:val="en-GB"/>
        </w:rPr>
        <w:t xml:space="preserve"> March 2026].</w:t>
      </w:r>
    </w:p>
    <w:p w14:paraId="5E7984ED" w14:textId="77777777" w:rsidR="00F81DD3" w:rsidRPr="00487BD9" w:rsidRDefault="00F81DD3" w:rsidP="00487BD9">
      <w:pPr>
        <w:spacing w:before="240"/>
        <w:rPr>
          <w:rFonts w:ascii="Arial" w:hAnsi="Arial" w:cs="Arial"/>
          <w:color w:val="222222"/>
          <w:shd w:val="clear" w:color="auto" w:fill="FFFFFF"/>
        </w:rPr>
      </w:pPr>
      <w:r w:rsidRPr="00487BD9">
        <w:rPr>
          <w:rFonts w:ascii="Arial" w:hAnsi="Arial" w:cs="Arial"/>
          <w:color w:val="222222"/>
          <w:shd w:val="clear" w:color="auto" w:fill="FFFFFF"/>
        </w:rPr>
        <w:t>Wangchuk, P., 2022. Application of depreciation net present value and internal rate of return in engineering projects a brief literature review. </w:t>
      </w:r>
      <w:r w:rsidRPr="00487BD9">
        <w:rPr>
          <w:rFonts w:ascii="Arial" w:hAnsi="Arial" w:cs="Arial"/>
          <w:i/>
          <w:iCs/>
          <w:color w:val="222222"/>
          <w:shd w:val="clear" w:color="auto" w:fill="FFFFFF"/>
        </w:rPr>
        <w:t>Journal of Applied Engineering, Technology and Management</w:t>
      </w:r>
      <w:r w:rsidRPr="00487BD9">
        <w:rPr>
          <w:rFonts w:ascii="Arial" w:hAnsi="Arial" w:cs="Arial"/>
          <w:color w:val="222222"/>
          <w:shd w:val="clear" w:color="auto" w:fill="FFFFFF"/>
        </w:rPr>
        <w:t>, </w:t>
      </w:r>
      <w:r w:rsidRPr="00487BD9">
        <w:rPr>
          <w:rFonts w:ascii="Arial" w:hAnsi="Arial" w:cs="Arial"/>
          <w:i/>
          <w:iCs/>
          <w:color w:val="222222"/>
          <w:shd w:val="clear" w:color="auto" w:fill="FFFFFF"/>
        </w:rPr>
        <w:t>2</w:t>
      </w:r>
      <w:r w:rsidRPr="00487BD9">
        <w:rPr>
          <w:rFonts w:ascii="Arial" w:hAnsi="Arial" w:cs="Arial"/>
          <w:color w:val="222222"/>
          <w:shd w:val="clear" w:color="auto" w:fill="FFFFFF"/>
        </w:rPr>
        <w:t xml:space="preserve">(1), pp.25-30. </w:t>
      </w:r>
      <w:hyperlink r:id="rId54" w:history="1">
        <w:r w:rsidRPr="00487BD9">
          <w:rPr>
            <w:rStyle w:val="Hyperlink"/>
            <w:rFonts w:ascii="Arial" w:hAnsi="Arial" w:cs="Arial"/>
            <w:shd w:val="clear" w:color="auto" w:fill="FFFFFF"/>
          </w:rPr>
          <w:t>https://journal.jnec.edu.bt/index.php/jaetm/article/download/55/26</w:t>
        </w:r>
      </w:hyperlink>
      <w:r w:rsidRPr="00487BD9">
        <w:rPr>
          <w:rFonts w:ascii="Arial" w:hAnsi="Arial" w:cs="Arial"/>
          <w:color w:val="222222"/>
          <w:shd w:val="clear" w:color="auto" w:fill="FFFFFF"/>
        </w:rPr>
        <w:t xml:space="preserve"> </w:t>
      </w:r>
    </w:p>
    <w:p w14:paraId="76ED5C6C"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lastRenderedPageBreak/>
        <w:t>Yang, H., 2025. Analysis of Tesla’s Sustainable Development Strategy from the Perspective of ESG. In </w:t>
      </w:r>
      <w:r w:rsidRPr="00487BD9">
        <w:rPr>
          <w:rFonts w:ascii="Arial" w:hAnsi="Arial" w:cs="Arial"/>
          <w:i/>
          <w:iCs/>
          <w:color w:val="222222"/>
          <w:shd w:val="clear" w:color="auto" w:fill="FFFFFF"/>
          <w:lang w:val="en-GB"/>
        </w:rPr>
        <w:t>SHS Web of Conferences</w:t>
      </w:r>
      <w:r w:rsidRPr="00487BD9">
        <w:rPr>
          <w:rFonts w:ascii="Arial" w:hAnsi="Arial" w:cs="Arial"/>
          <w:color w:val="222222"/>
          <w:shd w:val="clear" w:color="auto" w:fill="FFFFFF"/>
          <w:lang w:val="en-GB"/>
        </w:rPr>
        <w:t xml:space="preserve"> (Vol. 225, p. 03029). EDP Sciences. </w:t>
      </w:r>
      <w:hyperlink r:id="rId55" w:history="1">
        <w:r w:rsidRPr="00487BD9">
          <w:rPr>
            <w:rStyle w:val="Hyperlink"/>
            <w:rFonts w:ascii="Arial" w:hAnsi="Arial" w:cs="Arial"/>
            <w:shd w:val="clear" w:color="auto" w:fill="FFFFFF"/>
            <w:lang w:val="en-GB"/>
          </w:rPr>
          <w:t>https://www.shs-conferences.org/articles/shsconf/abs/2025/16/shsconf_icfmde2025_03029/shsconf_icfmde2025_03029.html</w:t>
        </w:r>
      </w:hyperlink>
    </w:p>
    <w:p w14:paraId="0AFFA3C2"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Yin, Y., Zhu, Y., Zhang, D., Li, Y. and Gong, L., 2026. A comprehensive analysis of flow and heat transfer performance in a novel Tesla valve microchannel. </w:t>
      </w:r>
      <w:r w:rsidRPr="00487BD9">
        <w:rPr>
          <w:rFonts w:ascii="Arial" w:hAnsi="Arial" w:cs="Arial"/>
          <w:i/>
          <w:iCs/>
          <w:color w:val="222222"/>
          <w:shd w:val="clear" w:color="auto" w:fill="FFFFFF"/>
          <w:lang w:val="en-GB"/>
        </w:rPr>
        <w:t>Case Studies in Thermal Engineering</w:t>
      </w:r>
      <w:r w:rsidRPr="00487BD9">
        <w:rPr>
          <w:rFonts w:ascii="Arial" w:hAnsi="Arial" w:cs="Arial"/>
          <w:color w:val="222222"/>
          <w:shd w:val="clear" w:color="auto" w:fill="FFFFFF"/>
          <w:lang w:val="en-GB"/>
        </w:rPr>
        <w:t xml:space="preserve">, p.107670. </w:t>
      </w:r>
      <w:hyperlink r:id="rId56" w:history="1">
        <w:r w:rsidRPr="00487BD9">
          <w:rPr>
            <w:rStyle w:val="Hyperlink"/>
            <w:rFonts w:ascii="Arial" w:hAnsi="Arial" w:cs="Arial"/>
            <w:shd w:val="clear" w:color="auto" w:fill="FFFFFF"/>
            <w:lang w:val="en-GB"/>
          </w:rPr>
          <w:t>https://www.sciencedirect.com/science/article/pii/S2214157X26000328</w:t>
        </w:r>
      </w:hyperlink>
    </w:p>
    <w:p w14:paraId="0C39FB28"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Zhang, R., 2025, February. Optimizing Investment in the Automotive Industry: A Modern Portfolio Theory Approach with Tesla, GM, and Hyundai. In </w:t>
      </w:r>
      <w:r w:rsidRPr="00487BD9">
        <w:rPr>
          <w:rFonts w:ascii="Arial" w:hAnsi="Arial" w:cs="Arial"/>
          <w:i/>
          <w:iCs/>
          <w:color w:val="222222"/>
          <w:shd w:val="clear" w:color="auto" w:fill="FFFFFF"/>
          <w:lang w:val="en-GB"/>
        </w:rPr>
        <w:t>International Workshop on Navigating the Digital Business Frontier for Sustainable Financial Innovation (ICDEBA 2024)</w:t>
      </w:r>
      <w:r w:rsidRPr="00487BD9">
        <w:rPr>
          <w:rFonts w:ascii="Arial" w:hAnsi="Arial" w:cs="Arial"/>
          <w:color w:val="222222"/>
          <w:shd w:val="clear" w:color="auto" w:fill="FFFFFF"/>
          <w:lang w:val="en-GB"/>
        </w:rPr>
        <w:t xml:space="preserve"> (pp. 303-316). Atlantis Press. </w:t>
      </w:r>
      <w:hyperlink r:id="rId57" w:history="1">
        <w:r w:rsidRPr="00487BD9">
          <w:rPr>
            <w:rStyle w:val="Hyperlink"/>
            <w:rFonts w:ascii="Arial" w:hAnsi="Arial" w:cs="Arial"/>
            <w:shd w:val="clear" w:color="auto" w:fill="FFFFFF"/>
            <w:lang w:val="en-GB"/>
          </w:rPr>
          <w:t>https://www.atlantis-press.com/proceedings/icdeba-24/126008527</w:t>
        </w:r>
      </w:hyperlink>
    </w:p>
    <w:p w14:paraId="2764F16B" w14:textId="77777777" w:rsidR="00F81DD3" w:rsidRPr="00487BD9" w:rsidRDefault="00F81DD3" w:rsidP="00487BD9">
      <w:pPr>
        <w:spacing w:before="240"/>
        <w:rPr>
          <w:rFonts w:ascii="Arial" w:hAnsi="Arial" w:cs="Arial"/>
          <w:lang w:val="en-GB"/>
        </w:rPr>
      </w:pPr>
      <w:r w:rsidRPr="00487BD9">
        <w:rPr>
          <w:rFonts w:ascii="Arial" w:hAnsi="Arial" w:cs="Arial"/>
          <w:color w:val="222222"/>
          <w:shd w:val="clear" w:color="auto" w:fill="FFFFFF"/>
          <w:lang w:val="en-GB"/>
        </w:rPr>
        <w:t>Zhang, W., 2025, November. Research on Valuation Heterogeneity in the New Energy Vehicle Industry: An Integrated Financial-Market Analysis of BYD, Tesla, and NIO. In </w:t>
      </w:r>
      <w:r w:rsidRPr="00487BD9">
        <w:rPr>
          <w:rFonts w:ascii="Arial" w:hAnsi="Arial" w:cs="Arial"/>
          <w:i/>
          <w:iCs/>
          <w:color w:val="222222"/>
          <w:shd w:val="clear" w:color="auto" w:fill="FFFFFF"/>
          <w:lang w:val="en-GB"/>
        </w:rPr>
        <w:t>2025 10th International Conference on Modern Management, Education and Social Sciences (MMET 2025)</w:t>
      </w:r>
      <w:r w:rsidRPr="00487BD9">
        <w:rPr>
          <w:rFonts w:ascii="Arial" w:hAnsi="Arial" w:cs="Arial"/>
          <w:color w:val="222222"/>
          <w:shd w:val="clear" w:color="auto" w:fill="FFFFFF"/>
          <w:lang w:val="en-GB"/>
        </w:rPr>
        <w:t xml:space="preserve"> (pp. 1080-1086). Atlantis Press. </w:t>
      </w:r>
      <w:hyperlink r:id="rId58" w:history="1">
        <w:r w:rsidRPr="00487BD9">
          <w:rPr>
            <w:rStyle w:val="Hyperlink"/>
            <w:rFonts w:ascii="Arial" w:hAnsi="Arial" w:cs="Arial"/>
            <w:shd w:val="clear" w:color="auto" w:fill="FFFFFF"/>
            <w:lang w:val="en-GB"/>
          </w:rPr>
          <w:t>https://www.atlantis-press.com/proceedings/mmet-25/126017900</w:t>
        </w:r>
      </w:hyperlink>
      <w:r w:rsidRPr="00487BD9">
        <w:rPr>
          <w:rFonts w:ascii="Arial" w:hAnsi="Arial" w:cs="Arial"/>
          <w:lang w:val="en-GB"/>
        </w:rPr>
        <w:br w:type="page"/>
      </w:r>
    </w:p>
    <w:p w14:paraId="392289B8" w14:textId="77777777" w:rsidR="00402CED" w:rsidRPr="00487BD9" w:rsidRDefault="00D045BC" w:rsidP="00487BD9">
      <w:pPr>
        <w:pStyle w:val="Heading1"/>
        <w:rPr>
          <w:rFonts w:ascii="Arial" w:hAnsi="Arial" w:cs="Arial"/>
          <w:lang w:val="en-GB"/>
        </w:rPr>
      </w:pPr>
      <w:bookmarkStart w:id="66" w:name="_li9a7nvfbswj" w:colFirst="0" w:colLast="0"/>
      <w:bookmarkStart w:id="67" w:name="_Toc224288381"/>
      <w:bookmarkEnd w:id="66"/>
      <w:r w:rsidRPr="00487BD9">
        <w:rPr>
          <w:rFonts w:ascii="Arial" w:hAnsi="Arial" w:cs="Arial"/>
          <w:lang w:val="en-GB"/>
        </w:rPr>
        <w:lastRenderedPageBreak/>
        <w:t>Appendices</w:t>
      </w:r>
      <w:bookmarkEnd w:id="67"/>
    </w:p>
    <w:p w14:paraId="7D0A2B4F" w14:textId="77777777" w:rsidR="00402CED" w:rsidRPr="00487BD9" w:rsidRDefault="00D045BC" w:rsidP="00487BD9">
      <w:pPr>
        <w:pStyle w:val="Heading2"/>
        <w:rPr>
          <w:rFonts w:ascii="Arial" w:hAnsi="Arial" w:cs="Arial"/>
          <w:lang w:val="en-GB"/>
        </w:rPr>
      </w:pPr>
      <w:bookmarkStart w:id="68" w:name="_f0mqm8ttrnf9" w:colFirst="0" w:colLast="0"/>
      <w:bookmarkStart w:id="69" w:name="_Toc224288382"/>
      <w:bookmarkEnd w:id="68"/>
      <w:r w:rsidRPr="00487BD9">
        <w:rPr>
          <w:rFonts w:ascii="Arial" w:hAnsi="Arial" w:cs="Arial"/>
          <w:lang w:val="en-GB"/>
        </w:rPr>
        <w:t>Appendix A: Income Statement of Tesla</w:t>
      </w:r>
      <w:bookmarkEnd w:id="69"/>
    </w:p>
    <w:p w14:paraId="0A2C833E" w14:textId="77777777" w:rsidR="00402CED" w:rsidRPr="00487BD9" w:rsidRDefault="00D045BC" w:rsidP="00487BD9">
      <w:pPr>
        <w:jc w:val="center"/>
        <w:rPr>
          <w:rFonts w:ascii="Arial" w:hAnsi="Arial" w:cs="Arial"/>
          <w:lang w:val="en-GB"/>
        </w:rPr>
      </w:pPr>
      <w:r w:rsidRPr="00487BD9">
        <w:rPr>
          <w:rFonts w:ascii="Arial" w:hAnsi="Arial" w:cs="Arial"/>
          <w:noProof/>
          <w:lang w:val="en-GB"/>
        </w:rPr>
        <w:drawing>
          <wp:inline distT="114300" distB="114300" distL="114300" distR="114300" wp14:anchorId="762F2404" wp14:editId="09859DB3">
            <wp:extent cx="5731200" cy="627380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9"/>
                    <a:srcRect/>
                    <a:stretch>
                      <a:fillRect/>
                    </a:stretch>
                  </pic:blipFill>
                  <pic:spPr>
                    <a:xfrm>
                      <a:off x="0" y="0"/>
                      <a:ext cx="5731200" cy="6273800"/>
                    </a:xfrm>
                    <a:prstGeom prst="rect">
                      <a:avLst/>
                    </a:prstGeom>
                    <a:ln w="12700">
                      <a:solidFill>
                        <a:srgbClr val="000000"/>
                      </a:solidFill>
                      <a:prstDash val="solid"/>
                    </a:ln>
                  </pic:spPr>
                </pic:pic>
              </a:graphicData>
            </a:graphic>
          </wp:inline>
        </w:drawing>
      </w:r>
    </w:p>
    <w:p w14:paraId="68B399A4" w14:textId="77777777" w:rsidR="00402CED" w:rsidRPr="00487BD9" w:rsidRDefault="00D045BC" w:rsidP="00487BD9">
      <w:pPr>
        <w:jc w:val="center"/>
        <w:rPr>
          <w:rFonts w:ascii="Arial" w:hAnsi="Arial" w:cs="Arial"/>
          <w:lang w:val="en-GB"/>
        </w:rPr>
      </w:pPr>
      <w:r w:rsidRPr="00487BD9">
        <w:rPr>
          <w:rFonts w:ascii="Arial" w:hAnsi="Arial" w:cs="Arial"/>
          <w:noProof/>
          <w:lang w:val="en-GB"/>
        </w:rPr>
        <w:lastRenderedPageBreak/>
        <w:drawing>
          <wp:inline distT="114300" distB="114300" distL="114300" distR="114300" wp14:anchorId="65FF9366" wp14:editId="18C692D0">
            <wp:extent cx="5731200" cy="6451600"/>
            <wp:effectExtent l="12700" t="12700" r="12700" b="1270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60"/>
                    <a:srcRect/>
                    <a:stretch>
                      <a:fillRect/>
                    </a:stretch>
                  </pic:blipFill>
                  <pic:spPr>
                    <a:xfrm>
                      <a:off x="0" y="0"/>
                      <a:ext cx="5731200" cy="6451600"/>
                    </a:xfrm>
                    <a:prstGeom prst="rect">
                      <a:avLst/>
                    </a:prstGeom>
                    <a:ln w="12700">
                      <a:solidFill>
                        <a:srgbClr val="000000"/>
                      </a:solidFill>
                      <a:prstDash val="solid"/>
                    </a:ln>
                  </pic:spPr>
                </pic:pic>
              </a:graphicData>
            </a:graphic>
          </wp:inline>
        </w:drawing>
      </w:r>
    </w:p>
    <w:p w14:paraId="4D1A2AA7" w14:textId="77777777" w:rsidR="00402CED" w:rsidRPr="00487BD9" w:rsidRDefault="00D045BC" w:rsidP="00487BD9">
      <w:pPr>
        <w:jc w:val="center"/>
        <w:rPr>
          <w:rFonts w:ascii="Arial" w:hAnsi="Arial" w:cs="Arial"/>
          <w:lang w:val="en-GB"/>
        </w:rPr>
      </w:pPr>
      <w:r w:rsidRPr="00487BD9">
        <w:rPr>
          <w:rFonts w:ascii="Arial" w:hAnsi="Arial" w:cs="Arial"/>
          <w:lang w:val="en-GB"/>
        </w:rPr>
        <w:t>(Source: https://in.investing.com/equities/tesla-motors-income-statement)</w:t>
      </w:r>
    </w:p>
    <w:p w14:paraId="7FE32F17" w14:textId="77777777" w:rsidR="00402CED" w:rsidRPr="00487BD9" w:rsidRDefault="00D045BC" w:rsidP="00487BD9">
      <w:pPr>
        <w:pStyle w:val="Heading2"/>
        <w:rPr>
          <w:rFonts w:ascii="Arial" w:hAnsi="Arial" w:cs="Arial"/>
          <w:lang w:val="en-GB"/>
        </w:rPr>
      </w:pPr>
      <w:bookmarkStart w:id="70" w:name="_aww1rutx76m4" w:colFirst="0" w:colLast="0"/>
      <w:bookmarkStart w:id="71" w:name="_Toc224288383"/>
      <w:bookmarkEnd w:id="70"/>
      <w:r w:rsidRPr="00487BD9">
        <w:rPr>
          <w:rFonts w:ascii="Arial" w:hAnsi="Arial" w:cs="Arial"/>
          <w:lang w:val="en-GB"/>
        </w:rPr>
        <w:lastRenderedPageBreak/>
        <w:t>Appendix B: Balance Sheet of Tesla</w:t>
      </w:r>
      <w:bookmarkEnd w:id="71"/>
    </w:p>
    <w:p w14:paraId="4992912C" w14:textId="77777777" w:rsidR="00402CED" w:rsidRPr="00487BD9" w:rsidRDefault="00D045BC" w:rsidP="00487BD9">
      <w:pPr>
        <w:jc w:val="center"/>
        <w:rPr>
          <w:rFonts w:ascii="Arial" w:hAnsi="Arial" w:cs="Arial"/>
          <w:lang w:val="en-GB"/>
        </w:rPr>
      </w:pPr>
      <w:r w:rsidRPr="00487BD9">
        <w:rPr>
          <w:rFonts w:ascii="Arial" w:hAnsi="Arial" w:cs="Arial"/>
          <w:noProof/>
          <w:lang w:val="en-GB"/>
        </w:rPr>
        <w:drawing>
          <wp:inline distT="114300" distB="114300" distL="114300" distR="114300" wp14:anchorId="14FAF87A" wp14:editId="7B1B1BA9">
            <wp:extent cx="5731200" cy="6159500"/>
            <wp:effectExtent l="12700" t="12700" r="12700" b="127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1"/>
                    <a:srcRect/>
                    <a:stretch>
                      <a:fillRect/>
                    </a:stretch>
                  </pic:blipFill>
                  <pic:spPr>
                    <a:xfrm>
                      <a:off x="0" y="0"/>
                      <a:ext cx="5731200" cy="6159500"/>
                    </a:xfrm>
                    <a:prstGeom prst="rect">
                      <a:avLst/>
                    </a:prstGeom>
                    <a:ln w="12700">
                      <a:solidFill>
                        <a:srgbClr val="000000"/>
                      </a:solidFill>
                      <a:prstDash val="solid"/>
                    </a:ln>
                  </pic:spPr>
                </pic:pic>
              </a:graphicData>
            </a:graphic>
          </wp:inline>
        </w:drawing>
      </w:r>
    </w:p>
    <w:p w14:paraId="16D81CBA" w14:textId="77777777" w:rsidR="00402CED" w:rsidRPr="00487BD9" w:rsidRDefault="00D045BC" w:rsidP="00487BD9">
      <w:pPr>
        <w:jc w:val="center"/>
        <w:rPr>
          <w:rFonts w:ascii="Arial" w:hAnsi="Arial" w:cs="Arial"/>
          <w:lang w:val="en-GB"/>
        </w:rPr>
      </w:pPr>
      <w:r w:rsidRPr="00487BD9">
        <w:rPr>
          <w:rFonts w:ascii="Arial" w:hAnsi="Arial" w:cs="Arial"/>
          <w:noProof/>
          <w:lang w:val="en-GB"/>
        </w:rPr>
        <w:lastRenderedPageBreak/>
        <w:drawing>
          <wp:inline distT="114300" distB="114300" distL="114300" distR="114300" wp14:anchorId="5A011D33" wp14:editId="77CA22A3">
            <wp:extent cx="5731200" cy="6121400"/>
            <wp:effectExtent l="12700" t="12700" r="12700" b="1270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2"/>
                    <a:srcRect/>
                    <a:stretch>
                      <a:fillRect/>
                    </a:stretch>
                  </pic:blipFill>
                  <pic:spPr>
                    <a:xfrm>
                      <a:off x="0" y="0"/>
                      <a:ext cx="5731200" cy="6121400"/>
                    </a:xfrm>
                    <a:prstGeom prst="rect">
                      <a:avLst/>
                    </a:prstGeom>
                    <a:ln w="12700">
                      <a:solidFill>
                        <a:srgbClr val="000000"/>
                      </a:solidFill>
                      <a:prstDash val="solid"/>
                    </a:ln>
                  </pic:spPr>
                </pic:pic>
              </a:graphicData>
            </a:graphic>
          </wp:inline>
        </w:drawing>
      </w:r>
    </w:p>
    <w:p w14:paraId="7BD2D9F1" w14:textId="77777777" w:rsidR="00402CED" w:rsidRPr="00487BD9" w:rsidRDefault="00D045BC" w:rsidP="00487BD9">
      <w:pPr>
        <w:jc w:val="center"/>
        <w:rPr>
          <w:rFonts w:ascii="Arial" w:hAnsi="Arial" w:cs="Arial"/>
          <w:lang w:val="en-GB"/>
        </w:rPr>
      </w:pPr>
      <w:r w:rsidRPr="00487BD9">
        <w:rPr>
          <w:rFonts w:ascii="Arial" w:hAnsi="Arial" w:cs="Arial"/>
          <w:noProof/>
          <w:lang w:val="en-GB"/>
        </w:rPr>
        <w:lastRenderedPageBreak/>
        <w:drawing>
          <wp:inline distT="114300" distB="114300" distL="114300" distR="114300" wp14:anchorId="209FC3BF" wp14:editId="2C254C08">
            <wp:extent cx="5731200" cy="5905500"/>
            <wp:effectExtent l="12700" t="12700" r="12700" b="1270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3"/>
                    <a:srcRect/>
                    <a:stretch>
                      <a:fillRect/>
                    </a:stretch>
                  </pic:blipFill>
                  <pic:spPr>
                    <a:xfrm>
                      <a:off x="0" y="0"/>
                      <a:ext cx="5731200" cy="5905500"/>
                    </a:xfrm>
                    <a:prstGeom prst="rect">
                      <a:avLst/>
                    </a:prstGeom>
                    <a:ln w="12700">
                      <a:solidFill>
                        <a:srgbClr val="000000"/>
                      </a:solidFill>
                      <a:prstDash val="solid"/>
                    </a:ln>
                  </pic:spPr>
                </pic:pic>
              </a:graphicData>
            </a:graphic>
          </wp:inline>
        </w:drawing>
      </w:r>
    </w:p>
    <w:p w14:paraId="62FFF29A" w14:textId="77777777" w:rsidR="00402CED" w:rsidRPr="00487BD9" w:rsidRDefault="00D045BC" w:rsidP="00487BD9">
      <w:pPr>
        <w:jc w:val="center"/>
        <w:rPr>
          <w:rFonts w:ascii="Arial" w:hAnsi="Arial" w:cs="Arial"/>
          <w:lang w:val="en-GB"/>
        </w:rPr>
      </w:pPr>
      <w:r w:rsidRPr="00487BD9">
        <w:rPr>
          <w:rFonts w:ascii="Arial" w:hAnsi="Arial" w:cs="Arial"/>
          <w:lang w:val="en-GB"/>
        </w:rPr>
        <w:t>(Source: https://in.investing.com/equities/tesla-motors-balance-sheet)</w:t>
      </w:r>
    </w:p>
    <w:p w14:paraId="100AE81F" w14:textId="77777777" w:rsidR="00402CED" w:rsidRPr="00487BD9" w:rsidRDefault="00D045BC" w:rsidP="00487BD9">
      <w:pPr>
        <w:pStyle w:val="Heading2"/>
        <w:rPr>
          <w:rFonts w:ascii="Arial" w:hAnsi="Arial" w:cs="Arial"/>
          <w:lang w:val="en-GB"/>
        </w:rPr>
      </w:pPr>
      <w:bookmarkStart w:id="72" w:name="_p2kmrxw717cd" w:colFirst="0" w:colLast="0"/>
      <w:bookmarkStart w:id="73" w:name="_Toc224288384"/>
      <w:bookmarkEnd w:id="72"/>
      <w:r w:rsidRPr="00487BD9">
        <w:rPr>
          <w:rFonts w:ascii="Arial" w:hAnsi="Arial" w:cs="Arial"/>
          <w:lang w:val="en-GB"/>
        </w:rPr>
        <w:lastRenderedPageBreak/>
        <w:t>Appendix C: Cashflow Statement of Tesla</w:t>
      </w:r>
      <w:bookmarkEnd w:id="73"/>
    </w:p>
    <w:p w14:paraId="0D77AF80" w14:textId="77777777" w:rsidR="00402CED" w:rsidRPr="00487BD9" w:rsidRDefault="00D045BC" w:rsidP="00487BD9">
      <w:pPr>
        <w:jc w:val="center"/>
        <w:rPr>
          <w:rFonts w:ascii="Arial" w:hAnsi="Arial" w:cs="Arial"/>
          <w:lang w:val="en-GB"/>
        </w:rPr>
      </w:pPr>
      <w:r w:rsidRPr="00487BD9">
        <w:rPr>
          <w:rFonts w:ascii="Arial" w:hAnsi="Arial" w:cs="Arial"/>
          <w:noProof/>
          <w:lang w:val="en-GB"/>
        </w:rPr>
        <w:drawing>
          <wp:inline distT="114300" distB="114300" distL="114300" distR="114300" wp14:anchorId="2DE299FC" wp14:editId="693A3289">
            <wp:extent cx="5731200" cy="6286500"/>
            <wp:effectExtent l="12700" t="12700" r="12700" b="127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4"/>
                    <a:srcRect/>
                    <a:stretch>
                      <a:fillRect/>
                    </a:stretch>
                  </pic:blipFill>
                  <pic:spPr>
                    <a:xfrm>
                      <a:off x="0" y="0"/>
                      <a:ext cx="5731200" cy="6286500"/>
                    </a:xfrm>
                    <a:prstGeom prst="rect">
                      <a:avLst/>
                    </a:prstGeom>
                    <a:ln w="12700">
                      <a:solidFill>
                        <a:srgbClr val="000000"/>
                      </a:solidFill>
                      <a:prstDash val="solid"/>
                    </a:ln>
                  </pic:spPr>
                </pic:pic>
              </a:graphicData>
            </a:graphic>
          </wp:inline>
        </w:drawing>
      </w:r>
    </w:p>
    <w:p w14:paraId="43948ADB" w14:textId="77777777" w:rsidR="00402CED" w:rsidRPr="00487BD9" w:rsidRDefault="00D045BC" w:rsidP="00487BD9">
      <w:pPr>
        <w:jc w:val="center"/>
        <w:rPr>
          <w:rFonts w:ascii="Arial" w:hAnsi="Arial" w:cs="Arial"/>
          <w:lang w:val="en-GB"/>
        </w:rPr>
      </w:pPr>
      <w:r w:rsidRPr="00487BD9">
        <w:rPr>
          <w:rFonts w:ascii="Arial" w:hAnsi="Arial" w:cs="Arial"/>
          <w:noProof/>
          <w:lang w:val="en-GB"/>
        </w:rPr>
        <w:lastRenderedPageBreak/>
        <w:drawing>
          <wp:inline distT="114300" distB="114300" distL="114300" distR="114300" wp14:anchorId="78B19160" wp14:editId="4F230763">
            <wp:extent cx="5731200" cy="4546600"/>
            <wp:effectExtent l="12700" t="12700" r="12700" b="12700"/>
            <wp:docPr id="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5"/>
                    <a:srcRect/>
                    <a:stretch>
                      <a:fillRect/>
                    </a:stretch>
                  </pic:blipFill>
                  <pic:spPr>
                    <a:xfrm>
                      <a:off x="0" y="0"/>
                      <a:ext cx="5731200" cy="4546600"/>
                    </a:xfrm>
                    <a:prstGeom prst="rect">
                      <a:avLst/>
                    </a:prstGeom>
                    <a:ln w="12700">
                      <a:solidFill>
                        <a:srgbClr val="000000"/>
                      </a:solidFill>
                      <a:prstDash val="solid"/>
                    </a:ln>
                  </pic:spPr>
                </pic:pic>
              </a:graphicData>
            </a:graphic>
          </wp:inline>
        </w:drawing>
      </w:r>
    </w:p>
    <w:p w14:paraId="349FC6BB" w14:textId="77777777" w:rsidR="00402CED" w:rsidRPr="00487BD9" w:rsidRDefault="00D045BC" w:rsidP="00487BD9">
      <w:pPr>
        <w:jc w:val="center"/>
        <w:rPr>
          <w:rFonts w:ascii="Arial" w:hAnsi="Arial" w:cs="Arial"/>
          <w:lang w:val="en-GB"/>
        </w:rPr>
      </w:pPr>
      <w:r w:rsidRPr="00487BD9">
        <w:rPr>
          <w:rFonts w:ascii="Arial" w:hAnsi="Arial" w:cs="Arial"/>
          <w:lang w:val="en-GB"/>
        </w:rPr>
        <w:t>(Source: https://in.investing.com/equities/tesla-motors-cash-flow)</w:t>
      </w:r>
    </w:p>
    <w:p w14:paraId="148B4370" w14:textId="77777777" w:rsidR="00651092" w:rsidRPr="00487BD9" w:rsidRDefault="00651092" w:rsidP="00487BD9">
      <w:pPr>
        <w:rPr>
          <w:rFonts w:ascii="Arial" w:hAnsi="Arial" w:cs="Arial"/>
          <w:b/>
          <w:bCs/>
          <w:lang w:val="en-GB"/>
        </w:rPr>
      </w:pPr>
      <w:bookmarkStart w:id="74" w:name="_mdab7gat3m0s" w:colFirst="0" w:colLast="0"/>
      <w:bookmarkEnd w:id="74"/>
      <w:r w:rsidRPr="00487BD9">
        <w:rPr>
          <w:rFonts w:ascii="Arial" w:hAnsi="Arial" w:cs="Arial"/>
          <w:lang w:val="en-GB"/>
        </w:rPr>
        <w:br w:type="page"/>
      </w:r>
    </w:p>
    <w:p w14:paraId="7097BF3C" w14:textId="63F6F7BF" w:rsidR="00402CED" w:rsidRPr="00487BD9" w:rsidRDefault="00D045BC" w:rsidP="00487BD9">
      <w:pPr>
        <w:pStyle w:val="Heading2"/>
        <w:rPr>
          <w:rFonts w:ascii="Arial" w:hAnsi="Arial" w:cs="Arial"/>
          <w:lang w:val="en-GB"/>
        </w:rPr>
      </w:pPr>
      <w:bookmarkStart w:id="75" w:name="_Toc224288385"/>
      <w:r w:rsidRPr="00487BD9">
        <w:rPr>
          <w:rFonts w:ascii="Arial" w:hAnsi="Arial" w:cs="Arial"/>
          <w:lang w:val="en-GB"/>
        </w:rPr>
        <w:lastRenderedPageBreak/>
        <w:t>Appendix D: Ratio Analysis</w:t>
      </w:r>
      <w:bookmarkEnd w:id="7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6"/>
        <w:gridCol w:w="4000"/>
        <w:gridCol w:w="632"/>
        <w:gridCol w:w="632"/>
        <w:gridCol w:w="632"/>
        <w:gridCol w:w="632"/>
        <w:gridCol w:w="632"/>
      </w:tblGrid>
      <w:tr w:rsidR="00F81DD3" w:rsidRPr="00487BD9" w14:paraId="70253D4F" w14:textId="77777777" w:rsidTr="00F81DD3">
        <w:trPr>
          <w:trHeight w:val="300"/>
        </w:trPr>
        <w:tc>
          <w:tcPr>
            <w:tcW w:w="1029" w:type="pct"/>
            <w:noWrap/>
            <w:vAlign w:val="bottom"/>
            <w:hideMark/>
          </w:tcPr>
          <w:p w14:paraId="27F64447" w14:textId="77777777" w:rsidR="00F81DD3" w:rsidRPr="00487BD9" w:rsidRDefault="00F81DD3" w:rsidP="00487BD9">
            <w:pPr>
              <w:jc w:val="left"/>
              <w:rPr>
                <w:rFonts w:ascii="Arial" w:hAnsi="Arial" w:cs="Arial"/>
                <w:lang w:val="en-IN" w:eastAsia="en-IN"/>
              </w:rPr>
            </w:pPr>
          </w:p>
        </w:tc>
        <w:tc>
          <w:tcPr>
            <w:tcW w:w="2034" w:type="pct"/>
            <w:noWrap/>
            <w:vAlign w:val="bottom"/>
            <w:hideMark/>
          </w:tcPr>
          <w:p w14:paraId="2DA610E4" w14:textId="77777777" w:rsidR="00F81DD3" w:rsidRPr="00487BD9" w:rsidRDefault="00F81DD3" w:rsidP="00487BD9">
            <w:pPr>
              <w:jc w:val="left"/>
              <w:rPr>
                <w:rFonts w:ascii="Arial" w:hAnsi="Arial" w:cs="Arial"/>
                <w:lang w:val="en-IN" w:eastAsia="en-IN"/>
              </w:rPr>
            </w:pPr>
          </w:p>
        </w:tc>
        <w:tc>
          <w:tcPr>
            <w:tcW w:w="1937" w:type="pct"/>
            <w:gridSpan w:val="5"/>
            <w:noWrap/>
            <w:vAlign w:val="bottom"/>
            <w:hideMark/>
          </w:tcPr>
          <w:p w14:paraId="7436AA03" w14:textId="4B4A7CDC" w:rsidR="00F81DD3" w:rsidRPr="00487BD9" w:rsidRDefault="00F81DD3" w:rsidP="00487BD9">
            <w:pPr>
              <w:jc w:val="center"/>
              <w:rPr>
                <w:rFonts w:ascii="Arial" w:hAnsi="Arial" w:cs="Arial"/>
                <w:lang w:val="en-IN" w:eastAsia="en-IN"/>
              </w:rPr>
            </w:pPr>
            <w:r w:rsidRPr="00487BD9">
              <w:rPr>
                <w:rFonts w:ascii="Arial" w:hAnsi="Arial" w:cs="Arial"/>
                <w:b/>
                <w:bCs/>
                <w:color w:val="000000"/>
                <w:lang w:val="en-IN" w:eastAsia="en-IN"/>
              </w:rPr>
              <w:t>Year</w:t>
            </w:r>
          </w:p>
        </w:tc>
      </w:tr>
      <w:tr w:rsidR="00F81DD3" w:rsidRPr="00487BD9" w14:paraId="3683B6F6" w14:textId="77777777" w:rsidTr="00F81DD3">
        <w:trPr>
          <w:trHeight w:val="300"/>
        </w:trPr>
        <w:tc>
          <w:tcPr>
            <w:tcW w:w="1029" w:type="pct"/>
            <w:noWrap/>
            <w:vAlign w:val="bottom"/>
            <w:hideMark/>
          </w:tcPr>
          <w:p w14:paraId="5FADE23A"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Ratio</w:t>
            </w:r>
          </w:p>
        </w:tc>
        <w:tc>
          <w:tcPr>
            <w:tcW w:w="2034" w:type="pct"/>
            <w:noWrap/>
            <w:vAlign w:val="bottom"/>
            <w:hideMark/>
          </w:tcPr>
          <w:p w14:paraId="2CCCC5E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Formula</w:t>
            </w:r>
          </w:p>
        </w:tc>
        <w:tc>
          <w:tcPr>
            <w:tcW w:w="535" w:type="pct"/>
            <w:noWrap/>
            <w:vAlign w:val="bottom"/>
            <w:hideMark/>
          </w:tcPr>
          <w:p w14:paraId="46D0176A" w14:textId="77777777" w:rsidR="00487BD9" w:rsidRPr="00487BD9" w:rsidRDefault="00487BD9" w:rsidP="00487BD9">
            <w:pPr>
              <w:jc w:val="right"/>
              <w:rPr>
                <w:rFonts w:ascii="Arial" w:hAnsi="Arial" w:cs="Arial"/>
                <w:b/>
                <w:bCs/>
                <w:color w:val="000000"/>
                <w:lang w:val="en-IN" w:eastAsia="en-IN"/>
              </w:rPr>
            </w:pPr>
            <w:r w:rsidRPr="00487BD9">
              <w:rPr>
                <w:rFonts w:ascii="Arial" w:hAnsi="Arial" w:cs="Arial"/>
                <w:b/>
                <w:bCs/>
                <w:color w:val="000000"/>
                <w:lang w:val="en-IN" w:eastAsia="en-IN"/>
              </w:rPr>
              <w:t>2021</w:t>
            </w:r>
          </w:p>
        </w:tc>
        <w:tc>
          <w:tcPr>
            <w:tcW w:w="350" w:type="pct"/>
            <w:noWrap/>
            <w:vAlign w:val="bottom"/>
            <w:hideMark/>
          </w:tcPr>
          <w:p w14:paraId="381F0CB5" w14:textId="77777777" w:rsidR="00487BD9" w:rsidRPr="00487BD9" w:rsidRDefault="00487BD9" w:rsidP="00487BD9">
            <w:pPr>
              <w:jc w:val="right"/>
              <w:rPr>
                <w:rFonts w:ascii="Arial" w:hAnsi="Arial" w:cs="Arial"/>
                <w:b/>
                <w:bCs/>
                <w:color w:val="000000"/>
                <w:lang w:val="en-IN" w:eastAsia="en-IN"/>
              </w:rPr>
            </w:pPr>
            <w:r w:rsidRPr="00487BD9">
              <w:rPr>
                <w:rFonts w:ascii="Arial" w:hAnsi="Arial" w:cs="Arial"/>
                <w:b/>
                <w:bCs/>
                <w:color w:val="000000"/>
                <w:lang w:val="en-IN" w:eastAsia="en-IN"/>
              </w:rPr>
              <w:t>2022</w:t>
            </w:r>
          </w:p>
        </w:tc>
        <w:tc>
          <w:tcPr>
            <w:tcW w:w="350" w:type="pct"/>
            <w:noWrap/>
            <w:vAlign w:val="bottom"/>
            <w:hideMark/>
          </w:tcPr>
          <w:p w14:paraId="1A37555F" w14:textId="77777777" w:rsidR="00487BD9" w:rsidRPr="00487BD9" w:rsidRDefault="00487BD9" w:rsidP="00487BD9">
            <w:pPr>
              <w:jc w:val="right"/>
              <w:rPr>
                <w:rFonts w:ascii="Arial" w:hAnsi="Arial" w:cs="Arial"/>
                <w:b/>
                <w:bCs/>
                <w:color w:val="000000"/>
                <w:lang w:val="en-IN" w:eastAsia="en-IN"/>
              </w:rPr>
            </w:pPr>
            <w:r w:rsidRPr="00487BD9">
              <w:rPr>
                <w:rFonts w:ascii="Arial" w:hAnsi="Arial" w:cs="Arial"/>
                <w:b/>
                <w:bCs/>
                <w:color w:val="000000"/>
                <w:lang w:val="en-IN" w:eastAsia="en-IN"/>
              </w:rPr>
              <w:t>2023</w:t>
            </w:r>
          </w:p>
        </w:tc>
        <w:tc>
          <w:tcPr>
            <w:tcW w:w="350" w:type="pct"/>
            <w:noWrap/>
            <w:vAlign w:val="bottom"/>
            <w:hideMark/>
          </w:tcPr>
          <w:p w14:paraId="57D2DA47" w14:textId="77777777" w:rsidR="00487BD9" w:rsidRPr="00487BD9" w:rsidRDefault="00487BD9" w:rsidP="00487BD9">
            <w:pPr>
              <w:jc w:val="right"/>
              <w:rPr>
                <w:rFonts w:ascii="Arial" w:hAnsi="Arial" w:cs="Arial"/>
                <w:b/>
                <w:bCs/>
                <w:color w:val="000000"/>
                <w:lang w:val="en-IN" w:eastAsia="en-IN"/>
              </w:rPr>
            </w:pPr>
            <w:r w:rsidRPr="00487BD9">
              <w:rPr>
                <w:rFonts w:ascii="Arial" w:hAnsi="Arial" w:cs="Arial"/>
                <w:b/>
                <w:bCs/>
                <w:color w:val="000000"/>
                <w:lang w:val="en-IN" w:eastAsia="en-IN"/>
              </w:rPr>
              <w:t>2024</w:t>
            </w:r>
          </w:p>
        </w:tc>
        <w:tc>
          <w:tcPr>
            <w:tcW w:w="350" w:type="pct"/>
            <w:noWrap/>
            <w:vAlign w:val="bottom"/>
            <w:hideMark/>
          </w:tcPr>
          <w:p w14:paraId="4F0CBB8C" w14:textId="77777777" w:rsidR="00487BD9" w:rsidRPr="00487BD9" w:rsidRDefault="00487BD9" w:rsidP="00487BD9">
            <w:pPr>
              <w:jc w:val="right"/>
              <w:rPr>
                <w:rFonts w:ascii="Arial" w:hAnsi="Arial" w:cs="Arial"/>
                <w:b/>
                <w:bCs/>
                <w:color w:val="000000"/>
                <w:lang w:val="en-IN" w:eastAsia="en-IN"/>
              </w:rPr>
            </w:pPr>
            <w:r w:rsidRPr="00487BD9">
              <w:rPr>
                <w:rFonts w:ascii="Arial" w:hAnsi="Arial" w:cs="Arial"/>
                <w:b/>
                <w:bCs/>
                <w:color w:val="000000"/>
                <w:lang w:val="en-IN" w:eastAsia="en-IN"/>
              </w:rPr>
              <w:t>2025</w:t>
            </w:r>
          </w:p>
        </w:tc>
      </w:tr>
      <w:tr w:rsidR="00F81DD3" w:rsidRPr="00487BD9" w14:paraId="34F88946" w14:textId="77777777" w:rsidTr="00F81DD3">
        <w:trPr>
          <w:trHeight w:val="300"/>
        </w:trPr>
        <w:tc>
          <w:tcPr>
            <w:tcW w:w="1029" w:type="pct"/>
            <w:noWrap/>
            <w:vAlign w:val="bottom"/>
            <w:hideMark/>
          </w:tcPr>
          <w:p w14:paraId="760ED1AE"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Gross_Profit_Margin</w:t>
            </w:r>
            <w:proofErr w:type="spellEnd"/>
          </w:p>
        </w:tc>
        <w:tc>
          <w:tcPr>
            <w:tcW w:w="2034" w:type="pct"/>
            <w:noWrap/>
            <w:vAlign w:val="bottom"/>
            <w:hideMark/>
          </w:tcPr>
          <w:p w14:paraId="318F0A0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Gross Profit / Revenue</w:t>
            </w:r>
          </w:p>
        </w:tc>
        <w:tc>
          <w:tcPr>
            <w:tcW w:w="535" w:type="pct"/>
            <w:noWrap/>
            <w:vAlign w:val="bottom"/>
            <w:hideMark/>
          </w:tcPr>
          <w:p w14:paraId="577FA3B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0.253</w:t>
            </w:r>
          </w:p>
        </w:tc>
        <w:tc>
          <w:tcPr>
            <w:tcW w:w="350" w:type="pct"/>
            <w:noWrap/>
            <w:vAlign w:val="bottom"/>
            <w:hideMark/>
          </w:tcPr>
          <w:p w14:paraId="56B7F3FA"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0.256</w:t>
            </w:r>
          </w:p>
        </w:tc>
        <w:tc>
          <w:tcPr>
            <w:tcW w:w="350" w:type="pct"/>
            <w:noWrap/>
            <w:vAlign w:val="bottom"/>
            <w:hideMark/>
          </w:tcPr>
          <w:p w14:paraId="6A17918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0.182</w:t>
            </w:r>
          </w:p>
        </w:tc>
        <w:tc>
          <w:tcPr>
            <w:tcW w:w="350" w:type="pct"/>
            <w:noWrap/>
            <w:vAlign w:val="bottom"/>
            <w:hideMark/>
          </w:tcPr>
          <w:p w14:paraId="25364AA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0.179</w:t>
            </w:r>
          </w:p>
        </w:tc>
        <w:tc>
          <w:tcPr>
            <w:tcW w:w="350" w:type="pct"/>
            <w:noWrap/>
            <w:vAlign w:val="bottom"/>
            <w:hideMark/>
          </w:tcPr>
          <w:p w14:paraId="2EDB7A88"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0.180</w:t>
            </w:r>
          </w:p>
        </w:tc>
      </w:tr>
      <w:tr w:rsidR="00F81DD3" w:rsidRPr="00487BD9" w14:paraId="26342DC3" w14:textId="77777777" w:rsidTr="00F81DD3">
        <w:trPr>
          <w:trHeight w:val="300"/>
        </w:trPr>
        <w:tc>
          <w:tcPr>
            <w:tcW w:w="1029" w:type="pct"/>
            <w:noWrap/>
            <w:vAlign w:val="bottom"/>
            <w:hideMark/>
          </w:tcPr>
          <w:p w14:paraId="3DB7226A"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Operating_Margin</w:t>
            </w:r>
            <w:proofErr w:type="spellEnd"/>
          </w:p>
        </w:tc>
        <w:tc>
          <w:tcPr>
            <w:tcW w:w="2034" w:type="pct"/>
            <w:noWrap/>
            <w:vAlign w:val="bottom"/>
            <w:hideMark/>
          </w:tcPr>
          <w:p w14:paraId="35B00A2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Operating Income / Revenue</w:t>
            </w:r>
          </w:p>
        </w:tc>
        <w:tc>
          <w:tcPr>
            <w:tcW w:w="535" w:type="pct"/>
            <w:noWrap/>
            <w:vAlign w:val="bottom"/>
            <w:hideMark/>
          </w:tcPr>
          <w:p w14:paraId="3D819B1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0.121</w:t>
            </w:r>
          </w:p>
        </w:tc>
        <w:tc>
          <w:tcPr>
            <w:tcW w:w="350" w:type="pct"/>
            <w:noWrap/>
            <w:vAlign w:val="bottom"/>
            <w:hideMark/>
          </w:tcPr>
          <w:p w14:paraId="3027619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0.168</w:t>
            </w:r>
          </w:p>
        </w:tc>
        <w:tc>
          <w:tcPr>
            <w:tcW w:w="350" w:type="pct"/>
            <w:noWrap/>
            <w:vAlign w:val="bottom"/>
            <w:hideMark/>
          </w:tcPr>
          <w:p w14:paraId="71D7224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0.092</w:t>
            </w:r>
          </w:p>
        </w:tc>
        <w:tc>
          <w:tcPr>
            <w:tcW w:w="350" w:type="pct"/>
            <w:noWrap/>
            <w:vAlign w:val="bottom"/>
            <w:hideMark/>
          </w:tcPr>
          <w:p w14:paraId="654B3B3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0.078</w:t>
            </w:r>
          </w:p>
        </w:tc>
        <w:tc>
          <w:tcPr>
            <w:tcW w:w="350" w:type="pct"/>
            <w:noWrap/>
            <w:vAlign w:val="bottom"/>
            <w:hideMark/>
          </w:tcPr>
          <w:p w14:paraId="122B67A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0.046</w:t>
            </w:r>
          </w:p>
        </w:tc>
      </w:tr>
      <w:tr w:rsidR="00F81DD3" w:rsidRPr="00487BD9" w14:paraId="390BFD56" w14:textId="77777777" w:rsidTr="00F81DD3">
        <w:trPr>
          <w:trHeight w:val="300"/>
        </w:trPr>
        <w:tc>
          <w:tcPr>
            <w:tcW w:w="1029" w:type="pct"/>
            <w:noWrap/>
            <w:vAlign w:val="bottom"/>
            <w:hideMark/>
          </w:tcPr>
          <w:p w14:paraId="3ACC5F3E"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Net_Profit_Margin</w:t>
            </w:r>
            <w:proofErr w:type="spellEnd"/>
          </w:p>
        </w:tc>
        <w:tc>
          <w:tcPr>
            <w:tcW w:w="2034" w:type="pct"/>
            <w:noWrap/>
            <w:vAlign w:val="bottom"/>
            <w:hideMark/>
          </w:tcPr>
          <w:p w14:paraId="4D6E995A"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Net Income / Revenue</w:t>
            </w:r>
          </w:p>
        </w:tc>
        <w:tc>
          <w:tcPr>
            <w:tcW w:w="535" w:type="pct"/>
            <w:noWrap/>
            <w:vAlign w:val="bottom"/>
            <w:hideMark/>
          </w:tcPr>
          <w:p w14:paraId="26FDE4A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0.103</w:t>
            </w:r>
          </w:p>
        </w:tc>
        <w:tc>
          <w:tcPr>
            <w:tcW w:w="350" w:type="pct"/>
            <w:noWrap/>
            <w:vAlign w:val="bottom"/>
            <w:hideMark/>
          </w:tcPr>
          <w:p w14:paraId="7539445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0.154</w:t>
            </w:r>
          </w:p>
        </w:tc>
        <w:tc>
          <w:tcPr>
            <w:tcW w:w="350" w:type="pct"/>
            <w:noWrap/>
            <w:vAlign w:val="bottom"/>
            <w:hideMark/>
          </w:tcPr>
          <w:p w14:paraId="30FF9280"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0.155</w:t>
            </w:r>
          </w:p>
        </w:tc>
        <w:tc>
          <w:tcPr>
            <w:tcW w:w="350" w:type="pct"/>
            <w:noWrap/>
            <w:vAlign w:val="bottom"/>
            <w:hideMark/>
          </w:tcPr>
          <w:p w14:paraId="57A40AB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0.073</w:t>
            </w:r>
          </w:p>
        </w:tc>
        <w:tc>
          <w:tcPr>
            <w:tcW w:w="350" w:type="pct"/>
            <w:noWrap/>
            <w:vAlign w:val="bottom"/>
            <w:hideMark/>
          </w:tcPr>
          <w:p w14:paraId="4B3B3278"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0.040</w:t>
            </w:r>
          </w:p>
        </w:tc>
      </w:tr>
      <w:tr w:rsidR="00F81DD3" w:rsidRPr="00487BD9" w14:paraId="0289EEE6" w14:textId="77777777" w:rsidTr="00F81DD3">
        <w:trPr>
          <w:trHeight w:val="300"/>
        </w:trPr>
        <w:tc>
          <w:tcPr>
            <w:tcW w:w="1029" w:type="pct"/>
            <w:noWrap/>
            <w:vAlign w:val="bottom"/>
            <w:hideMark/>
          </w:tcPr>
          <w:p w14:paraId="1C029A9F"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ROA</w:t>
            </w:r>
          </w:p>
        </w:tc>
        <w:tc>
          <w:tcPr>
            <w:tcW w:w="2034" w:type="pct"/>
            <w:noWrap/>
            <w:vAlign w:val="bottom"/>
            <w:hideMark/>
          </w:tcPr>
          <w:p w14:paraId="2AF27917"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Net Income / Total Assets</w:t>
            </w:r>
          </w:p>
        </w:tc>
        <w:tc>
          <w:tcPr>
            <w:tcW w:w="535" w:type="pct"/>
            <w:noWrap/>
            <w:vAlign w:val="bottom"/>
            <w:hideMark/>
          </w:tcPr>
          <w:p w14:paraId="331C2B1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0.089</w:t>
            </w:r>
          </w:p>
        </w:tc>
        <w:tc>
          <w:tcPr>
            <w:tcW w:w="350" w:type="pct"/>
            <w:noWrap/>
            <w:vAlign w:val="bottom"/>
            <w:hideMark/>
          </w:tcPr>
          <w:p w14:paraId="5AADF2F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0.152</w:t>
            </w:r>
          </w:p>
        </w:tc>
        <w:tc>
          <w:tcPr>
            <w:tcW w:w="350" w:type="pct"/>
            <w:noWrap/>
            <w:vAlign w:val="bottom"/>
            <w:hideMark/>
          </w:tcPr>
          <w:p w14:paraId="5E4FA16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0.141</w:t>
            </w:r>
          </w:p>
        </w:tc>
        <w:tc>
          <w:tcPr>
            <w:tcW w:w="350" w:type="pct"/>
            <w:noWrap/>
            <w:vAlign w:val="bottom"/>
            <w:hideMark/>
          </w:tcPr>
          <w:p w14:paraId="2FEF25C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0.058</w:t>
            </w:r>
          </w:p>
        </w:tc>
        <w:tc>
          <w:tcPr>
            <w:tcW w:w="350" w:type="pct"/>
            <w:noWrap/>
            <w:vAlign w:val="bottom"/>
            <w:hideMark/>
          </w:tcPr>
          <w:p w14:paraId="048878A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0.028</w:t>
            </w:r>
          </w:p>
        </w:tc>
      </w:tr>
      <w:tr w:rsidR="00F81DD3" w:rsidRPr="00487BD9" w14:paraId="580352CA" w14:textId="77777777" w:rsidTr="00F81DD3">
        <w:trPr>
          <w:trHeight w:val="300"/>
        </w:trPr>
        <w:tc>
          <w:tcPr>
            <w:tcW w:w="1029" w:type="pct"/>
            <w:noWrap/>
            <w:vAlign w:val="bottom"/>
            <w:hideMark/>
          </w:tcPr>
          <w:p w14:paraId="009E989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ROE</w:t>
            </w:r>
          </w:p>
        </w:tc>
        <w:tc>
          <w:tcPr>
            <w:tcW w:w="2034" w:type="pct"/>
            <w:noWrap/>
            <w:vAlign w:val="bottom"/>
            <w:hideMark/>
          </w:tcPr>
          <w:p w14:paraId="5F4FB03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Net Income / Equity</w:t>
            </w:r>
          </w:p>
        </w:tc>
        <w:tc>
          <w:tcPr>
            <w:tcW w:w="535" w:type="pct"/>
            <w:noWrap/>
            <w:vAlign w:val="bottom"/>
            <w:hideMark/>
          </w:tcPr>
          <w:p w14:paraId="0F273D8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0.175</w:t>
            </w:r>
          </w:p>
        </w:tc>
        <w:tc>
          <w:tcPr>
            <w:tcW w:w="350" w:type="pct"/>
            <w:noWrap/>
            <w:vAlign w:val="bottom"/>
            <w:hideMark/>
          </w:tcPr>
          <w:p w14:paraId="6F6F78A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0.274</w:t>
            </w:r>
          </w:p>
        </w:tc>
        <w:tc>
          <w:tcPr>
            <w:tcW w:w="350" w:type="pct"/>
            <w:noWrap/>
            <w:vAlign w:val="bottom"/>
            <w:hideMark/>
          </w:tcPr>
          <w:p w14:paraId="22752D2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0.236</w:t>
            </w:r>
          </w:p>
        </w:tc>
        <w:tc>
          <w:tcPr>
            <w:tcW w:w="350" w:type="pct"/>
            <w:noWrap/>
            <w:vAlign w:val="bottom"/>
            <w:hideMark/>
          </w:tcPr>
          <w:p w14:paraId="04524D3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0.096</w:t>
            </w:r>
          </w:p>
        </w:tc>
        <w:tc>
          <w:tcPr>
            <w:tcW w:w="350" w:type="pct"/>
            <w:noWrap/>
            <w:vAlign w:val="bottom"/>
            <w:hideMark/>
          </w:tcPr>
          <w:p w14:paraId="646A2B1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0.046</w:t>
            </w:r>
          </w:p>
        </w:tc>
      </w:tr>
      <w:tr w:rsidR="00F81DD3" w:rsidRPr="00487BD9" w14:paraId="573C0E16" w14:textId="77777777" w:rsidTr="00F81DD3">
        <w:trPr>
          <w:trHeight w:val="300"/>
        </w:trPr>
        <w:tc>
          <w:tcPr>
            <w:tcW w:w="1029" w:type="pct"/>
            <w:noWrap/>
            <w:vAlign w:val="bottom"/>
            <w:hideMark/>
          </w:tcPr>
          <w:p w14:paraId="128BF5E3"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Current_Ratio</w:t>
            </w:r>
            <w:proofErr w:type="spellEnd"/>
          </w:p>
        </w:tc>
        <w:tc>
          <w:tcPr>
            <w:tcW w:w="2034" w:type="pct"/>
            <w:noWrap/>
            <w:vAlign w:val="bottom"/>
            <w:hideMark/>
          </w:tcPr>
          <w:p w14:paraId="1E64CB86"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Current Assets / Current Liabilities</w:t>
            </w:r>
          </w:p>
        </w:tc>
        <w:tc>
          <w:tcPr>
            <w:tcW w:w="535" w:type="pct"/>
            <w:noWrap/>
            <w:vAlign w:val="bottom"/>
            <w:hideMark/>
          </w:tcPr>
          <w:p w14:paraId="1BE0A72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1.375</w:t>
            </w:r>
          </w:p>
        </w:tc>
        <w:tc>
          <w:tcPr>
            <w:tcW w:w="350" w:type="pct"/>
            <w:noWrap/>
            <w:vAlign w:val="bottom"/>
            <w:hideMark/>
          </w:tcPr>
          <w:p w14:paraId="147943F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1.532</w:t>
            </w:r>
          </w:p>
        </w:tc>
        <w:tc>
          <w:tcPr>
            <w:tcW w:w="350" w:type="pct"/>
            <w:noWrap/>
            <w:vAlign w:val="bottom"/>
            <w:hideMark/>
          </w:tcPr>
          <w:p w14:paraId="0B31D29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1.726</w:t>
            </w:r>
          </w:p>
        </w:tc>
        <w:tc>
          <w:tcPr>
            <w:tcW w:w="350" w:type="pct"/>
            <w:noWrap/>
            <w:vAlign w:val="bottom"/>
            <w:hideMark/>
          </w:tcPr>
          <w:p w14:paraId="1168E5F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2.025</w:t>
            </w:r>
          </w:p>
        </w:tc>
        <w:tc>
          <w:tcPr>
            <w:tcW w:w="350" w:type="pct"/>
            <w:noWrap/>
            <w:vAlign w:val="bottom"/>
            <w:hideMark/>
          </w:tcPr>
          <w:p w14:paraId="004AF8E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2.164</w:t>
            </w:r>
          </w:p>
        </w:tc>
      </w:tr>
      <w:tr w:rsidR="00F81DD3" w:rsidRPr="00487BD9" w14:paraId="479F6A60" w14:textId="77777777" w:rsidTr="00F81DD3">
        <w:trPr>
          <w:trHeight w:val="300"/>
        </w:trPr>
        <w:tc>
          <w:tcPr>
            <w:tcW w:w="1029" w:type="pct"/>
            <w:noWrap/>
            <w:vAlign w:val="bottom"/>
            <w:hideMark/>
          </w:tcPr>
          <w:p w14:paraId="35F53D1B"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Quick_Ratio</w:t>
            </w:r>
            <w:proofErr w:type="spellEnd"/>
          </w:p>
        </w:tc>
        <w:tc>
          <w:tcPr>
            <w:tcW w:w="2034" w:type="pct"/>
            <w:noWrap/>
            <w:vAlign w:val="bottom"/>
            <w:hideMark/>
          </w:tcPr>
          <w:p w14:paraId="1C36183E"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(Current Assets − Inventory) / Current Liabilities</w:t>
            </w:r>
          </w:p>
        </w:tc>
        <w:tc>
          <w:tcPr>
            <w:tcW w:w="535" w:type="pct"/>
            <w:noWrap/>
            <w:vAlign w:val="bottom"/>
            <w:hideMark/>
          </w:tcPr>
          <w:p w14:paraId="624CB76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1.083</w:t>
            </w:r>
          </w:p>
        </w:tc>
        <w:tc>
          <w:tcPr>
            <w:tcW w:w="350" w:type="pct"/>
            <w:noWrap/>
            <w:vAlign w:val="bottom"/>
            <w:hideMark/>
          </w:tcPr>
          <w:p w14:paraId="34258D3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1.051</w:t>
            </w:r>
          </w:p>
        </w:tc>
        <w:tc>
          <w:tcPr>
            <w:tcW w:w="350" w:type="pct"/>
            <w:noWrap/>
            <w:vAlign w:val="bottom"/>
            <w:hideMark/>
          </w:tcPr>
          <w:p w14:paraId="1FA74EC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1.252</w:t>
            </w:r>
          </w:p>
        </w:tc>
        <w:tc>
          <w:tcPr>
            <w:tcW w:w="350" w:type="pct"/>
            <w:noWrap/>
            <w:vAlign w:val="bottom"/>
            <w:hideMark/>
          </w:tcPr>
          <w:p w14:paraId="7086BD7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1.608</w:t>
            </w:r>
          </w:p>
        </w:tc>
        <w:tc>
          <w:tcPr>
            <w:tcW w:w="350" w:type="pct"/>
            <w:noWrap/>
            <w:vAlign w:val="bottom"/>
            <w:hideMark/>
          </w:tcPr>
          <w:p w14:paraId="7C1EE0B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1.774</w:t>
            </w:r>
          </w:p>
        </w:tc>
      </w:tr>
      <w:tr w:rsidR="00F81DD3" w:rsidRPr="00487BD9" w14:paraId="170B1CA8" w14:textId="77777777" w:rsidTr="00F81DD3">
        <w:trPr>
          <w:trHeight w:val="300"/>
        </w:trPr>
        <w:tc>
          <w:tcPr>
            <w:tcW w:w="1029" w:type="pct"/>
            <w:noWrap/>
            <w:vAlign w:val="bottom"/>
            <w:hideMark/>
          </w:tcPr>
          <w:p w14:paraId="49C0D0FF"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Debt_to_Equity</w:t>
            </w:r>
            <w:proofErr w:type="spellEnd"/>
          </w:p>
        </w:tc>
        <w:tc>
          <w:tcPr>
            <w:tcW w:w="2034" w:type="pct"/>
            <w:noWrap/>
            <w:vAlign w:val="bottom"/>
            <w:hideMark/>
          </w:tcPr>
          <w:p w14:paraId="051EA49A"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Total Debt / Equity</w:t>
            </w:r>
          </w:p>
        </w:tc>
        <w:tc>
          <w:tcPr>
            <w:tcW w:w="535" w:type="pct"/>
            <w:noWrap/>
            <w:vAlign w:val="bottom"/>
            <w:hideMark/>
          </w:tcPr>
          <w:p w14:paraId="039D52E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0.281</w:t>
            </w:r>
          </w:p>
        </w:tc>
        <w:tc>
          <w:tcPr>
            <w:tcW w:w="350" w:type="pct"/>
            <w:noWrap/>
            <w:vAlign w:val="bottom"/>
            <w:hideMark/>
          </w:tcPr>
          <w:p w14:paraId="45815EA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0.125</w:t>
            </w:r>
          </w:p>
        </w:tc>
        <w:tc>
          <w:tcPr>
            <w:tcW w:w="350" w:type="pct"/>
            <w:noWrap/>
            <w:vAlign w:val="bottom"/>
            <w:hideMark/>
          </w:tcPr>
          <w:p w14:paraId="0F18E92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0.150</w:t>
            </w:r>
          </w:p>
        </w:tc>
        <w:tc>
          <w:tcPr>
            <w:tcW w:w="350" w:type="pct"/>
            <w:noWrap/>
            <w:vAlign w:val="bottom"/>
            <w:hideMark/>
          </w:tcPr>
          <w:p w14:paraId="49B4AD98"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0.185</w:t>
            </w:r>
          </w:p>
        </w:tc>
        <w:tc>
          <w:tcPr>
            <w:tcW w:w="350" w:type="pct"/>
            <w:noWrap/>
            <w:vAlign w:val="bottom"/>
            <w:hideMark/>
          </w:tcPr>
          <w:p w14:paraId="33747DC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0.178</w:t>
            </w:r>
          </w:p>
        </w:tc>
      </w:tr>
      <w:tr w:rsidR="00F81DD3" w:rsidRPr="00487BD9" w14:paraId="06902FAA" w14:textId="77777777" w:rsidTr="00F81DD3">
        <w:trPr>
          <w:trHeight w:val="300"/>
        </w:trPr>
        <w:tc>
          <w:tcPr>
            <w:tcW w:w="1029" w:type="pct"/>
            <w:noWrap/>
            <w:vAlign w:val="bottom"/>
            <w:hideMark/>
          </w:tcPr>
          <w:p w14:paraId="20572430"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Asset_Turnover</w:t>
            </w:r>
            <w:proofErr w:type="spellEnd"/>
          </w:p>
        </w:tc>
        <w:tc>
          <w:tcPr>
            <w:tcW w:w="2034" w:type="pct"/>
            <w:noWrap/>
            <w:vAlign w:val="bottom"/>
            <w:hideMark/>
          </w:tcPr>
          <w:p w14:paraId="4A140008"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Revenue / Total Assets</w:t>
            </w:r>
          </w:p>
        </w:tc>
        <w:tc>
          <w:tcPr>
            <w:tcW w:w="535" w:type="pct"/>
            <w:noWrap/>
            <w:vAlign w:val="bottom"/>
            <w:hideMark/>
          </w:tcPr>
          <w:p w14:paraId="7C520E64"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0.866</w:t>
            </w:r>
          </w:p>
        </w:tc>
        <w:tc>
          <w:tcPr>
            <w:tcW w:w="350" w:type="pct"/>
            <w:noWrap/>
            <w:vAlign w:val="bottom"/>
            <w:hideMark/>
          </w:tcPr>
          <w:p w14:paraId="72FF0A3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0.989</w:t>
            </w:r>
          </w:p>
        </w:tc>
        <w:tc>
          <w:tcPr>
            <w:tcW w:w="350" w:type="pct"/>
            <w:noWrap/>
            <w:vAlign w:val="bottom"/>
            <w:hideMark/>
          </w:tcPr>
          <w:p w14:paraId="3D37AB6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0.908</w:t>
            </w:r>
          </w:p>
        </w:tc>
        <w:tc>
          <w:tcPr>
            <w:tcW w:w="350" w:type="pct"/>
            <w:noWrap/>
            <w:vAlign w:val="bottom"/>
            <w:hideMark/>
          </w:tcPr>
          <w:p w14:paraId="1BB897D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0.800</w:t>
            </w:r>
          </w:p>
        </w:tc>
        <w:tc>
          <w:tcPr>
            <w:tcW w:w="350" w:type="pct"/>
            <w:noWrap/>
            <w:vAlign w:val="bottom"/>
            <w:hideMark/>
          </w:tcPr>
          <w:p w14:paraId="13A6F19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0.688</w:t>
            </w:r>
          </w:p>
        </w:tc>
      </w:tr>
      <w:tr w:rsidR="00F81DD3" w:rsidRPr="00487BD9" w14:paraId="60C08F2D" w14:textId="77777777" w:rsidTr="00F81DD3">
        <w:trPr>
          <w:trHeight w:val="300"/>
        </w:trPr>
        <w:tc>
          <w:tcPr>
            <w:tcW w:w="1029" w:type="pct"/>
            <w:noWrap/>
            <w:vAlign w:val="bottom"/>
            <w:hideMark/>
          </w:tcPr>
          <w:p w14:paraId="64814A7F" w14:textId="77777777" w:rsidR="00487BD9" w:rsidRPr="00487BD9" w:rsidRDefault="00487BD9" w:rsidP="00487BD9">
            <w:pPr>
              <w:jc w:val="left"/>
              <w:rPr>
                <w:rFonts w:ascii="Arial" w:hAnsi="Arial" w:cs="Arial"/>
                <w:b/>
                <w:bCs/>
                <w:color w:val="000000"/>
                <w:lang w:val="en-IN" w:eastAsia="en-IN"/>
              </w:rPr>
            </w:pPr>
            <w:proofErr w:type="spellStart"/>
            <w:r w:rsidRPr="00487BD9">
              <w:rPr>
                <w:rFonts w:ascii="Arial" w:hAnsi="Arial" w:cs="Arial"/>
                <w:b/>
                <w:bCs/>
                <w:color w:val="000000"/>
                <w:lang w:val="en-IN" w:eastAsia="en-IN"/>
              </w:rPr>
              <w:t>Inventory_Turnover</w:t>
            </w:r>
            <w:proofErr w:type="spellEnd"/>
          </w:p>
        </w:tc>
        <w:tc>
          <w:tcPr>
            <w:tcW w:w="2034" w:type="pct"/>
            <w:noWrap/>
            <w:vAlign w:val="bottom"/>
            <w:hideMark/>
          </w:tcPr>
          <w:p w14:paraId="4F13DDC0"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COGS / Inventory</w:t>
            </w:r>
          </w:p>
        </w:tc>
        <w:tc>
          <w:tcPr>
            <w:tcW w:w="535" w:type="pct"/>
            <w:noWrap/>
            <w:vAlign w:val="bottom"/>
            <w:hideMark/>
          </w:tcPr>
          <w:p w14:paraId="482EF301"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6.986</w:t>
            </w:r>
          </w:p>
        </w:tc>
        <w:tc>
          <w:tcPr>
            <w:tcW w:w="350" w:type="pct"/>
            <w:noWrap/>
            <w:vAlign w:val="bottom"/>
            <w:hideMark/>
          </w:tcPr>
          <w:p w14:paraId="4C2D488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4.721</w:t>
            </w:r>
          </w:p>
        </w:tc>
        <w:tc>
          <w:tcPr>
            <w:tcW w:w="350" w:type="pct"/>
            <w:noWrap/>
            <w:vAlign w:val="bottom"/>
            <w:hideMark/>
          </w:tcPr>
          <w:p w14:paraId="0045253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5.806</w:t>
            </w:r>
          </w:p>
        </w:tc>
        <w:tc>
          <w:tcPr>
            <w:tcW w:w="350" w:type="pct"/>
            <w:noWrap/>
            <w:vAlign w:val="bottom"/>
            <w:hideMark/>
          </w:tcPr>
          <w:p w14:paraId="77B24AB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6.677</w:t>
            </w:r>
          </w:p>
        </w:tc>
        <w:tc>
          <w:tcPr>
            <w:tcW w:w="350" w:type="pct"/>
            <w:noWrap/>
            <w:vAlign w:val="bottom"/>
            <w:hideMark/>
          </w:tcPr>
          <w:p w14:paraId="0DE9E34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6.273</w:t>
            </w:r>
          </w:p>
        </w:tc>
      </w:tr>
    </w:tbl>
    <w:p w14:paraId="08904FB2" w14:textId="3CA24ECA" w:rsidR="00402CED" w:rsidRPr="00487BD9" w:rsidRDefault="00402CED" w:rsidP="00487BD9">
      <w:pPr>
        <w:jc w:val="center"/>
        <w:rPr>
          <w:rFonts w:ascii="Arial" w:hAnsi="Arial" w:cs="Arial"/>
          <w:lang w:val="en-GB"/>
        </w:rPr>
      </w:pPr>
    </w:p>
    <w:p w14:paraId="234E0C8C" w14:textId="77777777" w:rsidR="00402CED" w:rsidRPr="00487BD9" w:rsidRDefault="00D045BC" w:rsidP="00487BD9">
      <w:pPr>
        <w:jc w:val="center"/>
        <w:rPr>
          <w:rFonts w:ascii="Arial" w:hAnsi="Arial" w:cs="Arial"/>
          <w:lang w:val="en-GB"/>
        </w:rPr>
      </w:pPr>
      <w:r w:rsidRPr="00487BD9">
        <w:rPr>
          <w:rFonts w:ascii="Arial" w:hAnsi="Arial" w:cs="Arial"/>
          <w:lang w:val="en-GB"/>
        </w:rPr>
        <w:t>(Source: Excel)</w:t>
      </w:r>
    </w:p>
    <w:p w14:paraId="1759A2D1" w14:textId="77777777" w:rsidR="00487BD9" w:rsidRPr="00487BD9" w:rsidRDefault="00487BD9" w:rsidP="00487BD9">
      <w:pPr>
        <w:rPr>
          <w:rFonts w:ascii="Arial" w:hAnsi="Arial" w:cs="Arial"/>
          <w:b/>
          <w:bCs/>
          <w:lang w:val="en-GB"/>
        </w:rPr>
      </w:pPr>
      <w:bookmarkStart w:id="76" w:name="_j09iqu7oao7q" w:colFirst="0" w:colLast="0"/>
      <w:bookmarkEnd w:id="76"/>
      <w:r w:rsidRPr="00487BD9">
        <w:rPr>
          <w:rFonts w:ascii="Arial" w:hAnsi="Arial" w:cs="Arial"/>
          <w:lang w:val="en-GB"/>
        </w:rPr>
        <w:br w:type="page"/>
      </w:r>
    </w:p>
    <w:p w14:paraId="04442922" w14:textId="19D83AEF" w:rsidR="00402CED" w:rsidRPr="00487BD9" w:rsidRDefault="00D045BC" w:rsidP="00487BD9">
      <w:pPr>
        <w:pStyle w:val="Heading2"/>
        <w:rPr>
          <w:rFonts w:ascii="Arial" w:hAnsi="Arial" w:cs="Arial"/>
          <w:lang w:val="en-GB"/>
        </w:rPr>
      </w:pPr>
      <w:bookmarkStart w:id="77" w:name="_Toc224288386"/>
      <w:r w:rsidRPr="00487BD9">
        <w:rPr>
          <w:rFonts w:ascii="Arial" w:hAnsi="Arial" w:cs="Arial"/>
          <w:lang w:val="en-GB"/>
        </w:rPr>
        <w:lastRenderedPageBreak/>
        <w:t>Appendix E: Investment Appraisal</w:t>
      </w:r>
      <w:bookmarkEnd w:id="77"/>
    </w:p>
    <w:tbl>
      <w:tblPr>
        <w:tblW w:w="5000" w:type="pct"/>
        <w:tblLook w:val="04A0" w:firstRow="1" w:lastRow="0" w:firstColumn="1" w:lastColumn="0" w:noHBand="0" w:noVBand="1"/>
      </w:tblPr>
      <w:tblGrid>
        <w:gridCol w:w="765"/>
        <w:gridCol w:w="1541"/>
        <w:gridCol w:w="938"/>
        <w:gridCol w:w="938"/>
        <w:gridCol w:w="938"/>
        <w:gridCol w:w="938"/>
        <w:gridCol w:w="938"/>
        <w:gridCol w:w="1127"/>
        <w:gridCol w:w="893"/>
      </w:tblGrid>
      <w:tr w:rsidR="00487BD9" w:rsidRPr="00487BD9" w14:paraId="20F91465" w14:textId="77777777" w:rsidTr="00487BD9">
        <w:trPr>
          <w:trHeight w:val="300"/>
        </w:trPr>
        <w:tc>
          <w:tcPr>
            <w:tcW w:w="410" w:type="pct"/>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5BB8FD9A"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Project</w:t>
            </w:r>
          </w:p>
        </w:tc>
        <w:tc>
          <w:tcPr>
            <w:tcW w:w="671" w:type="pct"/>
            <w:tcBorders>
              <w:top w:val="single" w:sz="4" w:space="0" w:color="auto"/>
              <w:left w:val="nil"/>
              <w:bottom w:val="single" w:sz="4" w:space="0" w:color="auto"/>
              <w:right w:val="single" w:sz="4" w:space="0" w:color="auto"/>
            </w:tcBorders>
            <w:shd w:val="clear" w:color="000000" w:fill="DCE6F1"/>
            <w:noWrap/>
            <w:vAlign w:val="bottom"/>
            <w:hideMark/>
          </w:tcPr>
          <w:p w14:paraId="62E5DF19"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Initial Investment</w:t>
            </w:r>
          </w:p>
        </w:tc>
        <w:tc>
          <w:tcPr>
            <w:tcW w:w="497" w:type="pct"/>
            <w:tcBorders>
              <w:top w:val="single" w:sz="4" w:space="0" w:color="auto"/>
              <w:left w:val="nil"/>
              <w:bottom w:val="single" w:sz="4" w:space="0" w:color="auto"/>
              <w:right w:val="single" w:sz="4" w:space="0" w:color="auto"/>
            </w:tcBorders>
            <w:shd w:val="clear" w:color="000000" w:fill="DCE6F1"/>
            <w:noWrap/>
            <w:vAlign w:val="bottom"/>
            <w:hideMark/>
          </w:tcPr>
          <w:p w14:paraId="27ACC057"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1</w:t>
            </w:r>
          </w:p>
        </w:tc>
        <w:tc>
          <w:tcPr>
            <w:tcW w:w="697" w:type="pct"/>
            <w:tcBorders>
              <w:top w:val="single" w:sz="4" w:space="0" w:color="auto"/>
              <w:left w:val="nil"/>
              <w:bottom w:val="single" w:sz="4" w:space="0" w:color="auto"/>
              <w:right w:val="single" w:sz="4" w:space="0" w:color="auto"/>
            </w:tcBorders>
            <w:shd w:val="clear" w:color="000000" w:fill="DCE6F1"/>
            <w:noWrap/>
            <w:vAlign w:val="bottom"/>
            <w:hideMark/>
          </w:tcPr>
          <w:p w14:paraId="295B7F8E"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2</w:t>
            </w:r>
          </w:p>
        </w:tc>
        <w:tc>
          <w:tcPr>
            <w:tcW w:w="558" w:type="pct"/>
            <w:tcBorders>
              <w:top w:val="single" w:sz="4" w:space="0" w:color="auto"/>
              <w:left w:val="nil"/>
              <w:bottom w:val="single" w:sz="4" w:space="0" w:color="auto"/>
              <w:right w:val="single" w:sz="4" w:space="0" w:color="auto"/>
            </w:tcBorders>
            <w:shd w:val="clear" w:color="000000" w:fill="DCE6F1"/>
            <w:noWrap/>
            <w:vAlign w:val="bottom"/>
            <w:hideMark/>
          </w:tcPr>
          <w:p w14:paraId="36393C09"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3</w:t>
            </w:r>
          </w:p>
        </w:tc>
        <w:tc>
          <w:tcPr>
            <w:tcW w:w="584" w:type="pct"/>
            <w:tcBorders>
              <w:top w:val="single" w:sz="4" w:space="0" w:color="auto"/>
              <w:left w:val="nil"/>
              <w:bottom w:val="single" w:sz="4" w:space="0" w:color="auto"/>
              <w:right w:val="single" w:sz="4" w:space="0" w:color="auto"/>
            </w:tcBorders>
            <w:shd w:val="clear" w:color="000000" w:fill="DCE6F1"/>
            <w:noWrap/>
            <w:vAlign w:val="bottom"/>
            <w:hideMark/>
          </w:tcPr>
          <w:p w14:paraId="4CC0E9C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4</w:t>
            </w:r>
          </w:p>
        </w:tc>
        <w:tc>
          <w:tcPr>
            <w:tcW w:w="567" w:type="pct"/>
            <w:tcBorders>
              <w:top w:val="single" w:sz="4" w:space="0" w:color="auto"/>
              <w:left w:val="nil"/>
              <w:bottom w:val="single" w:sz="4" w:space="0" w:color="auto"/>
              <w:right w:val="single" w:sz="4" w:space="0" w:color="auto"/>
            </w:tcBorders>
            <w:shd w:val="clear" w:color="000000" w:fill="DCE6F1"/>
            <w:noWrap/>
            <w:vAlign w:val="bottom"/>
            <w:hideMark/>
          </w:tcPr>
          <w:p w14:paraId="1FD46BB4"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5</w:t>
            </w:r>
          </w:p>
        </w:tc>
        <w:tc>
          <w:tcPr>
            <w:tcW w:w="558" w:type="pct"/>
            <w:tcBorders>
              <w:top w:val="single" w:sz="4" w:space="0" w:color="auto"/>
              <w:left w:val="nil"/>
              <w:bottom w:val="single" w:sz="4" w:space="0" w:color="auto"/>
              <w:right w:val="single" w:sz="4" w:space="0" w:color="auto"/>
            </w:tcBorders>
            <w:shd w:val="clear" w:color="000000" w:fill="DCE6F1"/>
            <w:noWrap/>
            <w:vAlign w:val="bottom"/>
            <w:hideMark/>
          </w:tcPr>
          <w:p w14:paraId="3334A305"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NPV</w:t>
            </w:r>
          </w:p>
        </w:tc>
        <w:tc>
          <w:tcPr>
            <w:tcW w:w="459" w:type="pct"/>
            <w:tcBorders>
              <w:top w:val="single" w:sz="4" w:space="0" w:color="auto"/>
              <w:left w:val="nil"/>
              <w:bottom w:val="single" w:sz="4" w:space="0" w:color="auto"/>
              <w:right w:val="single" w:sz="4" w:space="0" w:color="auto"/>
            </w:tcBorders>
            <w:shd w:val="clear" w:color="000000" w:fill="DCE6F1"/>
            <w:noWrap/>
            <w:vAlign w:val="bottom"/>
            <w:hideMark/>
          </w:tcPr>
          <w:p w14:paraId="055ECD5D"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IRR</w:t>
            </w:r>
          </w:p>
        </w:tc>
      </w:tr>
      <w:tr w:rsidR="00487BD9" w:rsidRPr="00487BD9" w14:paraId="77FCDC81" w14:textId="77777777" w:rsidTr="00487BD9">
        <w:trPr>
          <w:trHeight w:val="300"/>
        </w:trPr>
        <w:tc>
          <w:tcPr>
            <w:tcW w:w="410" w:type="pct"/>
            <w:tcBorders>
              <w:top w:val="nil"/>
              <w:left w:val="single" w:sz="4" w:space="0" w:color="auto"/>
              <w:bottom w:val="single" w:sz="4" w:space="0" w:color="auto"/>
              <w:right w:val="single" w:sz="4" w:space="0" w:color="auto"/>
            </w:tcBorders>
            <w:noWrap/>
            <w:vAlign w:val="bottom"/>
            <w:hideMark/>
          </w:tcPr>
          <w:p w14:paraId="0E903598"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A</w:t>
            </w:r>
          </w:p>
        </w:tc>
        <w:tc>
          <w:tcPr>
            <w:tcW w:w="671" w:type="pct"/>
            <w:tcBorders>
              <w:top w:val="nil"/>
              <w:left w:val="nil"/>
              <w:bottom w:val="single" w:sz="4" w:space="0" w:color="auto"/>
              <w:right w:val="single" w:sz="4" w:space="0" w:color="auto"/>
            </w:tcBorders>
            <w:noWrap/>
            <w:vAlign w:val="bottom"/>
            <w:hideMark/>
          </w:tcPr>
          <w:p w14:paraId="4D64C5F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497" w:type="pct"/>
            <w:tcBorders>
              <w:top w:val="nil"/>
              <w:left w:val="nil"/>
              <w:bottom w:val="single" w:sz="4" w:space="0" w:color="auto"/>
              <w:right w:val="single" w:sz="4" w:space="0" w:color="auto"/>
            </w:tcBorders>
            <w:noWrap/>
            <w:vAlign w:val="bottom"/>
            <w:hideMark/>
          </w:tcPr>
          <w:p w14:paraId="2E0B3B9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697" w:type="pct"/>
            <w:tcBorders>
              <w:top w:val="nil"/>
              <w:left w:val="nil"/>
              <w:bottom w:val="single" w:sz="4" w:space="0" w:color="auto"/>
              <w:right w:val="single" w:sz="4" w:space="0" w:color="auto"/>
            </w:tcBorders>
            <w:noWrap/>
            <w:vAlign w:val="bottom"/>
            <w:hideMark/>
          </w:tcPr>
          <w:p w14:paraId="7FFB00A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12000000</w:t>
            </w:r>
          </w:p>
        </w:tc>
        <w:tc>
          <w:tcPr>
            <w:tcW w:w="558" w:type="pct"/>
            <w:tcBorders>
              <w:top w:val="nil"/>
              <w:left w:val="nil"/>
              <w:bottom w:val="single" w:sz="4" w:space="0" w:color="auto"/>
              <w:right w:val="single" w:sz="4" w:space="0" w:color="auto"/>
            </w:tcBorders>
            <w:noWrap/>
            <w:vAlign w:val="bottom"/>
            <w:hideMark/>
          </w:tcPr>
          <w:p w14:paraId="5B54E1D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14000000</w:t>
            </w:r>
          </w:p>
        </w:tc>
        <w:tc>
          <w:tcPr>
            <w:tcW w:w="584" w:type="pct"/>
            <w:tcBorders>
              <w:top w:val="nil"/>
              <w:left w:val="nil"/>
              <w:bottom w:val="single" w:sz="4" w:space="0" w:color="auto"/>
              <w:right w:val="single" w:sz="4" w:space="0" w:color="auto"/>
            </w:tcBorders>
            <w:noWrap/>
            <w:vAlign w:val="bottom"/>
            <w:hideMark/>
          </w:tcPr>
          <w:p w14:paraId="62696AA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567" w:type="pct"/>
            <w:tcBorders>
              <w:top w:val="nil"/>
              <w:left w:val="nil"/>
              <w:bottom w:val="single" w:sz="4" w:space="0" w:color="auto"/>
              <w:right w:val="single" w:sz="4" w:space="0" w:color="auto"/>
            </w:tcBorders>
            <w:noWrap/>
            <w:vAlign w:val="bottom"/>
            <w:hideMark/>
          </w:tcPr>
          <w:p w14:paraId="012D1EDA"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8000000</w:t>
            </w:r>
          </w:p>
        </w:tc>
        <w:tc>
          <w:tcPr>
            <w:tcW w:w="558" w:type="pct"/>
            <w:tcBorders>
              <w:top w:val="nil"/>
              <w:left w:val="nil"/>
              <w:bottom w:val="single" w:sz="4" w:space="0" w:color="auto"/>
              <w:right w:val="single" w:sz="4" w:space="0" w:color="auto"/>
            </w:tcBorders>
            <w:noWrap/>
            <w:vAlign w:val="bottom"/>
            <w:hideMark/>
          </w:tcPr>
          <w:p w14:paraId="3B053BA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-8675823.19</w:t>
            </w:r>
          </w:p>
        </w:tc>
        <w:tc>
          <w:tcPr>
            <w:tcW w:w="459" w:type="pct"/>
            <w:tcBorders>
              <w:top w:val="nil"/>
              <w:left w:val="nil"/>
              <w:bottom w:val="single" w:sz="4" w:space="0" w:color="auto"/>
              <w:right w:val="single" w:sz="4" w:space="0" w:color="auto"/>
            </w:tcBorders>
            <w:noWrap/>
            <w:vAlign w:val="bottom"/>
            <w:hideMark/>
          </w:tcPr>
          <w:p w14:paraId="52CF5BA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0.02722</w:t>
            </w:r>
          </w:p>
        </w:tc>
      </w:tr>
      <w:tr w:rsidR="00487BD9" w:rsidRPr="00487BD9" w14:paraId="4A4A8988" w14:textId="77777777" w:rsidTr="00487BD9">
        <w:trPr>
          <w:trHeight w:val="300"/>
        </w:trPr>
        <w:tc>
          <w:tcPr>
            <w:tcW w:w="410" w:type="pct"/>
            <w:tcBorders>
              <w:top w:val="nil"/>
              <w:left w:val="single" w:sz="4" w:space="0" w:color="auto"/>
              <w:bottom w:val="single" w:sz="4" w:space="0" w:color="auto"/>
              <w:right w:val="single" w:sz="4" w:space="0" w:color="auto"/>
            </w:tcBorders>
            <w:noWrap/>
            <w:vAlign w:val="bottom"/>
            <w:hideMark/>
          </w:tcPr>
          <w:p w14:paraId="3AA426D7"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B</w:t>
            </w:r>
          </w:p>
        </w:tc>
        <w:tc>
          <w:tcPr>
            <w:tcW w:w="671" w:type="pct"/>
            <w:tcBorders>
              <w:top w:val="nil"/>
              <w:left w:val="nil"/>
              <w:bottom w:val="single" w:sz="4" w:space="0" w:color="auto"/>
              <w:right w:val="single" w:sz="4" w:space="0" w:color="auto"/>
            </w:tcBorders>
            <w:noWrap/>
            <w:vAlign w:val="bottom"/>
            <w:hideMark/>
          </w:tcPr>
          <w:p w14:paraId="4672E830"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497" w:type="pct"/>
            <w:tcBorders>
              <w:top w:val="nil"/>
              <w:left w:val="nil"/>
              <w:bottom w:val="single" w:sz="4" w:space="0" w:color="auto"/>
              <w:right w:val="single" w:sz="4" w:space="0" w:color="auto"/>
            </w:tcBorders>
            <w:noWrap/>
            <w:vAlign w:val="bottom"/>
            <w:hideMark/>
          </w:tcPr>
          <w:p w14:paraId="41424A5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697" w:type="pct"/>
            <w:tcBorders>
              <w:top w:val="nil"/>
              <w:left w:val="nil"/>
              <w:bottom w:val="single" w:sz="4" w:space="0" w:color="auto"/>
              <w:right w:val="single" w:sz="4" w:space="0" w:color="auto"/>
            </w:tcBorders>
            <w:noWrap/>
            <w:vAlign w:val="bottom"/>
            <w:hideMark/>
          </w:tcPr>
          <w:p w14:paraId="272B8BD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558" w:type="pct"/>
            <w:tcBorders>
              <w:top w:val="nil"/>
              <w:left w:val="nil"/>
              <w:bottom w:val="single" w:sz="4" w:space="0" w:color="auto"/>
              <w:right w:val="single" w:sz="4" w:space="0" w:color="auto"/>
            </w:tcBorders>
            <w:noWrap/>
            <w:vAlign w:val="bottom"/>
            <w:hideMark/>
          </w:tcPr>
          <w:p w14:paraId="4CA121A1"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584" w:type="pct"/>
            <w:tcBorders>
              <w:top w:val="nil"/>
              <w:left w:val="nil"/>
              <w:bottom w:val="single" w:sz="4" w:space="0" w:color="auto"/>
              <w:right w:val="single" w:sz="4" w:space="0" w:color="auto"/>
            </w:tcBorders>
            <w:noWrap/>
            <w:vAlign w:val="bottom"/>
            <w:hideMark/>
          </w:tcPr>
          <w:p w14:paraId="5C940BD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567" w:type="pct"/>
            <w:tcBorders>
              <w:top w:val="nil"/>
              <w:left w:val="nil"/>
              <w:bottom w:val="single" w:sz="4" w:space="0" w:color="auto"/>
              <w:right w:val="single" w:sz="4" w:space="0" w:color="auto"/>
            </w:tcBorders>
            <w:noWrap/>
            <w:vAlign w:val="bottom"/>
            <w:hideMark/>
          </w:tcPr>
          <w:p w14:paraId="3697BFC1"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558" w:type="pct"/>
            <w:tcBorders>
              <w:top w:val="nil"/>
              <w:left w:val="nil"/>
              <w:bottom w:val="single" w:sz="4" w:space="0" w:color="auto"/>
              <w:right w:val="single" w:sz="4" w:space="0" w:color="auto"/>
            </w:tcBorders>
            <w:noWrap/>
            <w:vAlign w:val="bottom"/>
            <w:hideMark/>
          </w:tcPr>
          <w:p w14:paraId="76A417D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-8301345.54</w:t>
            </w:r>
          </w:p>
        </w:tc>
        <w:tc>
          <w:tcPr>
            <w:tcW w:w="459" w:type="pct"/>
            <w:tcBorders>
              <w:top w:val="nil"/>
              <w:left w:val="nil"/>
              <w:bottom w:val="single" w:sz="4" w:space="0" w:color="auto"/>
              <w:right w:val="single" w:sz="4" w:space="0" w:color="auto"/>
            </w:tcBorders>
            <w:noWrap/>
            <w:vAlign w:val="bottom"/>
            <w:hideMark/>
          </w:tcPr>
          <w:p w14:paraId="103487C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0.032635</w:t>
            </w:r>
          </w:p>
        </w:tc>
      </w:tr>
      <w:tr w:rsidR="00487BD9" w:rsidRPr="00487BD9" w14:paraId="118DF377" w14:textId="77777777" w:rsidTr="00487BD9">
        <w:trPr>
          <w:trHeight w:val="300"/>
        </w:trPr>
        <w:tc>
          <w:tcPr>
            <w:tcW w:w="410" w:type="pct"/>
            <w:tcBorders>
              <w:top w:val="nil"/>
              <w:left w:val="single" w:sz="4" w:space="0" w:color="auto"/>
              <w:bottom w:val="single" w:sz="4" w:space="0" w:color="auto"/>
              <w:right w:val="single" w:sz="4" w:space="0" w:color="auto"/>
            </w:tcBorders>
            <w:noWrap/>
            <w:vAlign w:val="bottom"/>
            <w:hideMark/>
          </w:tcPr>
          <w:p w14:paraId="288AF9E1"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w:t>
            </w:r>
          </w:p>
        </w:tc>
        <w:tc>
          <w:tcPr>
            <w:tcW w:w="671" w:type="pct"/>
            <w:tcBorders>
              <w:top w:val="nil"/>
              <w:left w:val="nil"/>
              <w:bottom w:val="single" w:sz="4" w:space="0" w:color="auto"/>
              <w:right w:val="single" w:sz="4" w:space="0" w:color="auto"/>
            </w:tcBorders>
            <w:noWrap/>
            <w:vAlign w:val="bottom"/>
            <w:hideMark/>
          </w:tcPr>
          <w:p w14:paraId="76A0ED8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497" w:type="pct"/>
            <w:tcBorders>
              <w:top w:val="nil"/>
              <w:left w:val="nil"/>
              <w:bottom w:val="single" w:sz="4" w:space="0" w:color="auto"/>
              <w:right w:val="single" w:sz="4" w:space="0" w:color="auto"/>
            </w:tcBorders>
            <w:noWrap/>
            <w:vAlign w:val="bottom"/>
            <w:hideMark/>
          </w:tcPr>
          <w:p w14:paraId="16C618A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w:t>
            </w:r>
          </w:p>
        </w:tc>
        <w:tc>
          <w:tcPr>
            <w:tcW w:w="697" w:type="pct"/>
            <w:tcBorders>
              <w:top w:val="nil"/>
              <w:left w:val="nil"/>
              <w:bottom w:val="single" w:sz="4" w:space="0" w:color="auto"/>
              <w:right w:val="single" w:sz="4" w:space="0" w:color="auto"/>
            </w:tcBorders>
            <w:noWrap/>
            <w:vAlign w:val="bottom"/>
            <w:hideMark/>
          </w:tcPr>
          <w:p w14:paraId="48ABD398"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558" w:type="pct"/>
            <w:tcBorders>
              <w:top w:val="nil"/>
              <w:left w:val="nil"/>
              <w:bottom w:val="single" w:sz="4" w:space="0" w:color="auto"/>
              <w:right w:val="single" w:sz="4" w:space="0" w:color="auto"/>
            </w:tcBorders>
            <w:noWrap/>
            <w:vAlign w:val="bottom"/>
            <w:hideMark/>
          </w:tcPr>
          <w:p w14:paraId="02E158C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20000000</w:t>
            </w:r>
          </w:p>
        </w:tc>
        <w:tc>
          <w:tcPr>
            <w:tcW w:w="584" w:type="pct"/>
            <w:tcBorders>
              <w:top w:val="nil"/>
              <w:left w:val="nil"/>
              <w:bottom w:val="single" w:sz="4" w:space="0" w:color="auto"/>
              <w:right w:val="single" w:sz="4" w:space="0" w:color="auto"/>
            </w:tcBorders>
            <w:noWrap/>
            <w:vAlign w:val="bottom"/>
            <w:hideMark/>
          </w:tcPr>
          <w:p w14:paraId="1A173C4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25000000</w:t>
            </w:r>
          </w:p>
        </w:tc>
        <w:tc>
          <w:tcPr>
            <w:tcW w:w="567" w:type="pct"/>
            <w:tcBorders>
              <w:top w:val="nil"/>
              <w:left w:val="nil"/>
              <w:bottom w:val="single" w:sz="4" w:space="0" w:color="auto"/>
              <w:right w:val="single" w:sz="4" w:space="0" w:color="auto"/>
            </w:tcBorders>
            <w:noWrap/>
            <w:vAlign w:val="bottom"/>
            <w:hideMark/>
          </w:tcPr>
          <w:p w14:paraId="0870714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w:t>
            </w:r>
          </w:p>
        </w:tc>
        <w:tc>
          <w:tcPr>
            <w:tcW w:w="558" w:type="pct"/>
            <w:tcBorders>
              <w:top w:val="nil"/>
              <w:left w:val="nil"/>
              <w:bottom w:val="single" w:sz="4" w:space="0" w:color="auto"/>
              <w:right w:val="single" w:sz="4" w:space="0" w:color="auto"/>
            </w:tcBorders>
            <w:noWrap/>
            <w:vAlign w:val="bottom"/>
            <w:hideMark/>
          </w:tcPr>
          <w:p w14:paraId="5CB6501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-1983843.63</w:t>
            </w:r>
          </w:p>
        </w:tc>
        <w:tc>
          <w:tcPr>
            <w:tcW w:w="459" w:type="pct"/>
            <w:tcBorders>
              <w:top w:val="nil"/>
              <w:left w:val="nil"/>
              <w:bottom w:val="single" w:sz="4" w:space="0" w:color="auto"/>
              <w:right w:val="single" w:sz="4" w:space="0" w:color="auto"/>
            </w:tcBorders>
            <w:noWrap/>
            <w:vAlign w:val="bottom"/>
            <w:hideMark/>
          </w:tcPr>
          <w:p w14:paraId="592C3F8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0.085868</w:t>
            </w:r>
          </w:p>
        </w:tc>
      </w:tr>
    </w:tbl>
    <w:p w14:paraId="45EAC1C3" w14:textId="64C7E40C" w:rsidR="00402CED" w:rsidRPr="00487BD9" w:rsidRDefault="00402CED" w:rsidP="00487BD9">
      <w:pPr>
        <w:jc w:val="center"/>
        <w:rPr>
          <w:rFonts w:ascii="Arial" w:hAnsi="Arial" w:cs="Arial"/>
          <w:lang w:val="en-GB"/>
        </w:rPr>
      </w:pPr>
    </w:p>
    <w:tbl>
      <w:tblPr>
        <w:tblW w:w="8964" w:type="dxa"/>
        <w:jc w:val="center"/>
        <w:tblLook w:val="04A0" w:firstRow="1" w:lastRow="0" w:firstColumn="1" w:lastColumn="0" w:noHBand="0" w:noVBand="1"/>
      </w:tblPr>
      <w:tblGrid>
        <w:gridCol w:w="3560"/>
        <w:gridCol w:w="1959"/>
        <w:gridCol w:w="1847"/>
        <w:gridCol w:w="1598"/>
      </w:tblGrid>
      <w:tr w:rsidR="00487BD9" w:rsidRPr="00487BD9" w14:paraId="5D60B225" w14:textId="77777777" w:rsidTr="00F81DD3">
        <w:trPr>
          <w:trHeight w:val="300"/>
          <w:jc w:val="center"/>
        </w:trPr>
        <w:tc>
          <w:tcPr>
            <w:tcW w:w="7366" w:type="dxa"/>
            <w:gridSpan w:val="3"/>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2528CB39" w14:textId="77777777" w:rsidR="00487BD9" w:rsidRPr="00487BD9" w:rsidRDefault="00487BD9" w:rsidP="00487BD9">
            <w:pPr>
              <w:jc w:val="center"/>
              <w:rPr>
                <w:rFonts w:ascii="Arial" w:hAnsi="Arial" w:cs="Arial"/>
                <w:b/>
                <w:bCs/>
                <w:color w:val="000000"/>
                <w:lang w:val="en-IN" w:eastAsia="en-IN"/>
              </w:rPr>
            </w:pPr>
            <w:r w:rsidRPr="00487BD9">
              <w:rPr>
                <w:rFonts w:ascii="Arial" w:hAnsi="Arial" w:cs="Arial"/>
                <w:b/>
                <w:bCs/>
                <w:color w:val="000000"/>
                <w:lang w:val="en-IN" w:eastAsia="en-IN"/>
              </w:rPr>
              <w:t>Project A</w:t>
            </w:r>
          </w:p>
        </w:tc>
        <w:tc>
          <w:tcPr>
            <w:tcW w:w="1598"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29091B15"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50F1252F"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619F1426"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w:t>
            </w:r>
          </w:p>
        </w:tc>
        <w:tc>
          <w:tcPr>
            <w:tcW w:w="1959"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2ED4E66C"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Cash Flow</w:t>
            </w:r>
          </w:p>
        </w:tc>
        <w:tc>
          <w:tcPr>
            <w:tcW w:w="3445" w:type="dxa"/>
            <w:gridSpan w:val="2"/>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3898974D"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Cumulative Cash Flow</w:t>
            </w:r>
          </w:p>
        </w:tc>
      </w:tr>
      <w:tr w:rsidR="00487BD9" w:rsidRPr="00487BD9" w14:paraId="3F967991"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E2C6F77"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Initial</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19BCF79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0172D05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2CAE8E51"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633E14A"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0AC2813D"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1</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62E4BCF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7C31B48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-40000000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19E7A1B8"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2085D442"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6F56BEBA"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2</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6DDFE68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12000000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419B6D6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-28000000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02C02631"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7BD8EB40"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92CB32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3</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52E0F0F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14000000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1A886CB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-14000000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7EBEE15F"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09752C6B"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BC5EC43"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4</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0305A37B"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0A5D50B2"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-4000000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38ED7A2F"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7B133D5E"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6F35B6C5"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5</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7AB1A2B7"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8000000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0BBC5021"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4000000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525AA906"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217C8E78" w14:textId="77777777" w:rsidTr="00F81DD3">
        <w:trPr>
          <w:trHeight w:val="315"/>
          <w:jc w:val="center"/>
        </w:trPr>
        <w:tc>
          <w:tcPr>
            <w:tcW w:w="7366" w:type="dxa"/>
            <w:gridSpan w:val="3"/>
            <w:tcBorders>
              <w:top w:val="single" w:sz="4" w:space="0" w:color="auto"/>
              <w:left w:val="single" w:sz="4" w:space="0" w:color="auto"/>
              <w:bottom w:val="single" w:sz="4" w:space="0" w:color="auto"/>
              <w:right w:val="single" w:sz="4" w:space="0" w:color="auto"/>
            </w:tcBorders>
            <w:noWrap/>
            <w:vAlign w:val="bottom"/>
            <w:hideMark/>
          </w:tcPr>
          <w:p w14:paraId="2C263875"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Payback = 4 + (4000000 / 8000000)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5150BD57"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4.5 years</w:t>
            </w:r>
          </w:p>
        </w:tc>
      </w:tr>
      <w:tr w:rsidR="00487BD9" w:rsidRPr="00487BD9" w14:paraId="5F12C104" w14:textId="77777777" w:rsidTr="00F81DD3">
        <w:trPr>
          <w:trHeight w:val="300"/>
          <w:jc w:val="center"/>
        </w:trPr>
        <w:tc>
          <w:tcPr>
            <w:tcW w:w="3560" w:type="dxa"/>
            <w:tcBorders>
              <w:top w:val="single" w:sz="4" w:space="0" w:color="auto"/>
              <w:left w:val="nil"/>
              <w:bottom w:val="nil"/>
              <w:right w:val="nil"/>
            </w:tcBorders>
            <w:noWrap/>
            <w:vAlign w:val="bottom"/>
            <w:hideMark/>
          </w:tcPr>
          <w:p w14:paraId="42725F98" w14:textId="77777777" w:rsidR="00487BD9" w:rsidRPr="00487BD9" w:rsidRDefault="00487BD9" w:rsidP="00487BD9">
            <w:pPr>
              <w:jc w:val="left"/>
              <w:rPr>
                <w:rFonts w:ascii="Arial" w:hAnsi="Arial" w:cs="Arial"/>
                <w:b/>
                <w:bCs/>
                <w:color w:val="000000"/>
                <w:lang w:val="en-IN" w:eastAsia="en-IN"/>
              </w:rPr>
            </w:pPr>
          </w:p>
        </w:tc>
        <w:tc>
          <w:tcPr>
            <w:tcW w:w="1959" w:type="dxa"/>
            <w:tcBorders>
              <w:top w:val="single" w:sz="4" w:space="0" w:color="auto"/>
              <w:left w:val="nil"/>
              <w:bottom w:val="nil"/>
              <w:right w:val="nil"/>
            </w:tcBorders>
            <w:noWrap/>
            <w:vAlign w:val="bottom"/>
            <w:hideMark/>
          </w:tcPr>
          <w:p w14:paraId="38CA276E" w14:textId="77777777" w:rsidR="00487BD9" w:rsidRPr="00487BD9" w:rsidRDefault="00487BD9" w:rsidP="00487BD9">
            <w:pPr>
              <w:jc w:val="left"/>
              <w:rPr>
                <w:rFonts w:ascii="Arial" w:hAnsi="Arial" w:cs="Arial"/>
                <w:lang w:val="en-IN" w:eastAsia="en-IN"/>
              </w:rPr>
            </w:pPr>
          </w:p>
        </w:tc>
        <w:tc>
          <w:tcPr>
            <w:tcW w:w="1847" w:type="dxa"/>
            <w:tcBorders>
              <w:top w:val="single" w:sz="4" w:space="0" w:color="auto"/>
              <w:left w:val="nil"/>
              <w:bottom w:val="nil"/>
              <w:right w:val="nil"/>
            </w:tcBorders>
            <w:noWrap/>
            <w:vAlign w:val="bottom"/>
            <w:hideMark/>
          </w:tcPr>
          <w:p w14:paraId="3E577F4D" w14:textId="77777777" w:rsidR="00487BD9" w:rsidRPr="00487BD9" w:rsidRDefault="00487BD9" w:rsidP="00487BD9">
            <w:pPr>
              <w:jc w:val="left"/>
              <w:rPr>
                <w:rFonts w:ascii="Arial" w:hAnsi="Arial" w:cs="Arial"/>
                <w:lang w:val="en-IN" w:eastAsia="en-IN"/>
              </w:rPr>
            </w:pPr>
          </w:p>
        </w:tc>
        <w:tc>
          <w:tcPr>
            <w:tcW w:w="1598" w:type="dxa"/>
            <w:tcBorders>
              <w:top w:val="single" w:sz="4" w:space="0" w:color="auto"/>
              <w:left w:val="nil"/>
              <w:bottom w:val="nil"/>
              <w:right w:val="nil"/>
            </w:tcBorders>
            <w:noWrap/>
            <w:vAlign w:val="bottom"/>
            <w:hideMark/>
          </w:tcPr>
          <w:p w14:paraId="3DBB8CBB" w14:textId="77777777" w:rsidR="00487BD9" w:rsidRPr="00487BD9" w:rsidRDefault="00487BD9" w:rsidP="00487BD9">
            <w:pPr>
              <w:jc w:val="left"/>
              <w:rPr>
                <w:rFonts w:ascii="Arial" w:hAnsi="Arial" w:cs="Arial"/>
                <w:lang w:val="en-IN" w:eastAsia="en-IN"/>
              </w:rPr>
            </w:pPr>
          </w:p>
        </w:tc>
      </w:tr>
      <w:tr w:rsidR="00487BD9" w:rsidRPr="00487BD9" w14:paraId="446CC886" w14:textId="77777777" w:rsidTr="00F81DD3">
        <w:trPr>
          <w:trHeight w:val="315"/>
          <w:jc w:val="center"/>
        </w:trPr>
        <w:tc>
          <w:tcPr>
            <w:tcW w:w="3560" w:type="dxa"/>
            <w:tcBorders>
              <w:top w:val="nil"/>
              <w:left w:val="nil"/>
              <w:bottom w:val="single" w:sz="4" w:space="0" w:color="auto"/>
              <w:right w:val="nil"/>
            </w:tcBorders>
            <w:noWrap/>
            <w:vAlign w:val="bottom"/>
            <w:hideMark/>
          </w:tcPr>
          <w:p w14:paraId="6D83A38C" w14:textId="77777777" w:rsidR="00487BD9" w:rsidRPr="00487BD9" w:rsidRDefault="00487BD9" w:rsidP="00487BD9">
            <w:pPr>
              <w:jc w:val="left"/>
              <w:rPr>
                <w:rFonts w:ascii="Arial" w:hAnsi="Arial" w:cs="Arial"/>
                <w:lang w:val="en-IN" w:eastAsia="en-IN"/>
              </w:rPr>
            </w:pPr>
          </w:p>
        </w:tc>
        <w:tc>
          <w:tcPr>
            <w:tcW w:w="1959" w:type="dxa"/>
            <w:tcBorders>
              <w:top w:val="nil"/>
              <w:left w:val="nil"/>
              <w:bottom w:val="single" w:sz="4" w:space="0" w:color="auto"/>
              <w:right w:val="nil"/>
            </w:tcBorders>
            <w:noWrap/>
            <w:vAlign w:val="bottom"/>
            <w:hideMark/>
          </w:tcPr>
          <w:p w14:paraId="6E261DAE" w14:textId="77777777" w:rsidR="00487BD9" w:rsidRPr="00487BD9" w:rsidRDefault="00487BD9" w:rsidP="00487BD9">
            <w:pPr>
              <w:jc w:val="left"/>
              <w:rPr>
                <w:rFonts w:ascii="Arial" w:hAnsi="Arial" w:cs="Arial"/>
                <w:lang w:val="en-IN" w:eastAsia="en-IN"/>
              </w:rPr>
            </w:pPr>
          </w:p>
        </w:tc>
        <w:tc>
          <w:tcPr>
            <w:tcW w:w="1847" w:type="dxa"/>
            <w:tcBorders>
              <w:top w:val="nil"/>
              <w:left w:val="nil"/>
              <w:bottom w:val="single" w:sz="4" w:space="0" w:color="auto"/>
              <w:right w:val="nil"/>
            </w:tcBorders>
            <w:noWrap/>
            <w:vAlign w:val="bottom"/>
            <w:hideMark/>
          </w:tcPr>
          <w:p w14:paraId="474D84BC" w14:textId="77777777" w:rsidR="00487BD9" w:rsidRPr="00487BD9" w:rsidRDefault="00487BD9" w:rsidP="00487BD9">
            <w:pPr>
              <w:jc w:val="left"/>
              <w:rPr>
                <w:rFonts w:ascii="Arial" w:hAnsi="Arial" w:cs="Arial"/>
                <w:lang w:val="en-IN" w:eastAsia="en-IN"/>
              </w:rPr>
            </w:pPr>
          </w:p>
        </w:tc>
        <w:tc>
          <w:tcPr>
            <w:tcW w:w="1598" w:type="dxa"/>
            <w:tcBorders>
              <w:top w:val="nil"/>
              <w:left w:val="nil"/>
              <w:bottom w:val="single" w:sz="4" w:space="0" w:color="auto"/>
              <w:right w:val="nil"/>
            </w:tcBorders>
            <w:noWrap/>
            <w:vAlign w:val="bottom"/>
            <w:hideMark/>
          </w:tcPr>
          <w:p w14:paraId="03EA0920" w14:textId="77777777" w:rsidR="00487BD9" w:rsidRPr="00487BD9" w:rsidRDefault="00487BD9" w:rsidP="00487BD9">
            <w:pPr>
              <w:jc w:val="left"/>
              <w:rPr>
                <w:rFonts w:ascii="Arial" w:hAnsi="Arial" w:cs="Arial"/>
                <w:lang w:val="en-IN" w:eastAsia="en-IN"/>
              </w:rPr>
            </w:pPr>
          </w:p>
        </w:tc>
      </w:tr>
      <w:tr w:rsidR="00487BD9" w:rsidRPr="00487BD9" w14:paraId="4185DC12" w14:textId="77777777" w:rsidTr="00F81DD3">
        <w:trPr>
          <w:trHeight w:val="300"/>
          <w:jc w:val="center"/>
        </w:trPr>
        <w:tc>
          <w:tcPr>
            <w:tcW w:w="7366" w:type="dxa"/>
            <w:gridSpan w:val="3"/>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1C55837D" w14:textId="77777777" w:rsidR="00487BD9" w:rsidRPr="00487BD9" w:rsidRDefault="00487BD9" w:rsidP="00487BD9">
            <w:pPr>
              <w:jc w:val="center"/>
              <w:rPr>
                <w:rFonts w:ascii="Arial" w:hAnsi="Arial" w:cs="Arial"/>
                <w:b/>
                <w:bCs/>
                <w:color w:val="000000"/>
                <w:lang w:val="en-IN" w:eastAsia="en-IN"/>
              </w:rPr>
            </w:pPr>
            <w:r w:rsidRPr="00487BD9">
              <w:rPr>
                <w:rFonts w:ascii="Arial" w:hAnsi="Arial" w:cs="Arial"/>
                <w:b/>
                <w:bCs/>
                <w:color w:val="000000"/>
                <w:lang w:val="en-IN" w:eastAsia="en-IN"/>
              </w:rPr>
              <w:t>Project B</w:t>
            </w:r>
          </w:p>
        </w:tc>
        <w:tc>
          <w:tcPr>
            <w:tcW w:w="1598"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17A21ED7"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0AFD2401"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475880B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w:t>
            </w:r>
          </w:p>
        </w:tc>
        <w:tc>
          <w:tcPr>
            <w:tcW w:w="1959"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294E048F"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Cash Flow</w:t>
            </w:r>
          </w:p>
        </w:tc>
        <w:tc>
          <w:tcPr>
            <w:tcW w:w="3445" w:type="dxa"/>
            <w:gridSpan w:val="2"/>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311197E6"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Cumulative Cash Flow</w:t>
            </w:r>
          </w:p>
        </w:tc>
      </w:tr>
      <w:tr w:rsidR="00487BD9" w:rsidRPr="00487BD9" w14:paraId="1B40F4FD"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2C5AFED9"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Initial</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39EFA56C"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39A9EAD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46A3F6D4"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181F6EBA"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26035CD0"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1</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6A0C554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76315E9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-39000000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5F0684BF"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613E5D4"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08E79929"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2</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37EB673A"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5CE3F1C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-28000000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2FBFA46E"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76A819BF"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2464D600"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3</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4B728BA0"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046359D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-17000000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727B1380"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ABF813D"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29F0A528"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4</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0FFCB13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6C287CD3"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-6000000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68499AAB"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C81C92C"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FCDE94F"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5</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297C67F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11000000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24AD80F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2F3A5954"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D1D0896" w14:textId="77777777" w:rsidTr="00F81DD3">
        <w:trPr>
          <w:trHeight w:val="315"/>
          <w:jc w:val="center"/>
        </w:trPr>
        <w:tc>
          <w:tcPr>
            <w:tcW w:w="7366" w:type="dxa"/>
            <w:gridSpan w:val="3"/>
            <w:tcBorders>
              <w:top w:val="single" w:sz="4" w:space="0" w:color="auto"/>
              <w:left w:val="single" w:sz="4" w:space="0" w:color="auto"/>
              <w:bottom w:val="single" w:sz="4" w:space="0" w:color="auto"/>
              <w:right w:val="single" w:sz="4" w:space="0" w:color="auto"/>
            </w:tcBorders>
            <w:noWrap/>
            <w:vAlign w:val="bottom"/>
            <w:hideMark/>
          </w:tcPr>
          <w:p w14:paraId="4A0F9F2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Payback = 4 + (6000000 / 11000000)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5458C8D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4.55 years</w:t>
            </w:r>
          </w:p>
        </w:tc>
      </w:tr>
      <w:tr w:rsidR="00487BD9" w:rsidRPr="00487BD9" w14:paraId="24B282B4" w14:textId="77777777" w:rsidTr="00F81DD3">
        <w:trPr>
          <w:trHeight w:val="300"/>
          <w:jc w:val="center"/>
        </w:trPr>
        <w:tc>
          <w:tcPr>
            <w:tcW w:w="3560" w:type="dxa"/>
            <w:tcBorders>
              <w:top w:val="single" w:sz="4" w:space="0" w:color="auto"/>
              <w:left w:val="nil"/>
              <w:bottom w:val="nil"/>
              <w:right w:val="nil"/>
            </w:tcBorders>
            <w:noWrap/>
            <w:vAlign w:val="bottom"/>
            <w:hideMark/>
          </w:tcPr>
          <w:p w14:paraId="0DDF5CB4" w14:textId="77777777" w:rsidR="00487BD9" w:rsidRPr="00487BD9" w:rsidRDefault="00487BD9" w:rsidP="00487BD9">
            <w:pPr>
              <w:jc w:val="left"/>
              <w:rPr>
                <w:rFonts w:ascii="Arial" w:hAnsi="Arial" w:cs="Arial"/>
                <w:b/>
                <w:bCs/>
                <w:color w:val="000000"/>
                <w:lang w:val="en-IN" w:eastAsia="en-IN"/>
              </w:rPr>
            </w:pPr>
          </w:p>
        </w:tc>
        <w:tc>
          <w:tcPr>
            <w:tcW w:w="1959" w:type="dxa"/>
            <w:tcBorders>
              <w:top w:val="single" w:sz="4" w:space="0" w:color="auto"/>
              <w:left w:val="nil"/>
              <w:bottom w:val="nil"/>
              <w:right w:val="nil"/>
            </w:tcBorders>
            <w:noWrap/>
            <w:vAlign w:val="bottom"/>
            <w:hideMark/>
          </w:tcPr>
          <w:p w14:paraId="4CF422C2" w14:textId="77777777" w:rsidR="00487BD9" w:rsidRPr="00487BD9" w:rsidRDefault="00487BD9" w:rsidP="00487BD9">
            <w:pPr>
              <w:jc w:val="left"/>
              <w:rPr>
                <w:rFonts w:ascii="Arial" w:hAnsi="Arial" w:cs="Arial"/>
                <w:lang w:val="en-IN" w:eastAsia="en-IN"/>
              </w:rPr>
            </w:pPr>
          </w:p>
        </w:tc>
        <w:tc>
          <w:tcPr>
            <w:tcW w:w="1847" w:type="dxa"/>
            <w:tcBorders>
              <w:top w:val="single" w:sz="4" w:space="0" w:color="auto"/>
              <w:left w:val="nil"/>
              <w:bottom w:val="nil"/>
              <w:right w:val="nil"/>
            </w:tcBorders>
            <w:noWrap/>
            <w:vAlign w:val="bottom"/>
            <w:hideMark/>
          </w:tcPr>
          <w:p w14:paraId="4CE63D40" w14:textId="77777777" w:rsidR="00487BD9" w:rsidRPr="00487BD9" w:rsidRDefault="00487BD9" w:rsidP="00487BD9">
            <w:pPr>
              <w:jc w:val="left"/>
              <w:rPr>
                <w:rFonts w:ascii="Arial" w:hAnsi="Arial" w:cs="Arial"/>
                <w:lang w:val="en-IN" w:eastAsia="en-IN"/>
              </w:rPr>
            </w:pPr>
          </w:p>
        </w:tc>
        <w:tc>
          <w:tcPr>
            <w:tcW w:w="1598" w:type="dxa"/>
            <w:tcBorders>
              <w:top w:val="single" w:sz="4" w:space="0" w:color="auto"/>
              <w:left w:val="nil"/>
              <w:bottom w:val="nil"/>
              <w:right w:val="nil"/>
            </w:tcBorders>
            <w:noWrap/>
            <w:vAlign w:val="bottom"/>
            <w:hideMark/>
          </w:tcPr>
          <w:p w14:paraId="37C892BF" w14:textId="77777777" w:rsidR="00487BD9" w:rsidRPr="00487BD9" w:rsidRDefault="00487BD9" w:rsidP="00487BD9">
            <w:pPr>
              <w:jc w:val="left"/>
              <w:rPr>
                <w:rFonts w:ascii="Arial" w:hAnsi="Arial" w:cs="Arial"/>
                <w:lang w:val="en-IN" w:eastAsia="en-IN"/>
              </w:rPr>
            </w:pPr>
          </w:p>
        </w:tc>
      </w:tr>
      <w:tr w:rsidR="00487BD9" w:rsidRPr="00487BD9" w14:paraId="3C2DE902" w14:textId="77777777" w:rsidTr="00F81DD3">
        <w:trPr>
          <w:trHeight w:val="315"/>
          <w:jc w:val="center"/>
        </w:trPr>
        <w:tc>
          <w:tcPr>
            <w:tcW w:w="3560" w:type="dxa"/>
            <w:tcBorders>
              <w:top w:val="nil"/>
              <w:left w:val="nil"/>
              <w:bottom w:val="single" w:sz="4" w:space="0" w:color="auto"/>
              <w:right w:val="nil"/>
            </w:tcBorders>
            <w:noWrap/>
            <w:vAlign w:val="bottom"/>
            <w:hideMark/>
          </w:tcPr>
          <w:p w14:paraId="6F4CFAA5" w14:textId="77777777" w:rsidR="00487BD9" w:rsidRPr="00487BD9" w:rsidRDefault="00487BD9" w:rsidP="00487BD9">
            <w:pPr>
              <w:jc w:val="left"/>
              <w:rPr>
                <w:rFonts w:ascii="Arial" w:hAnsi="Arial" w:cs="Arial"/>
                <w:lang w:val="en-IN" w:eastAsia="en-IN"/>
              </w:rPr>
            </w:pPr>
          </w:p>
        </w:tc>
        <w:tc>
          <w:tcPr>
            <w:tcW w:w="1959" w:type="dxa"/>
            <w:tcBorders>
              <w:top w:val="nil"/>
              <w:left w:val="nil"/>
              <w:bottom w:val="single" w:sz="4" w:space="0" w:color="auto"/>
              <w:right w:val="nil"/>
            </w:tcBorders>
            <w:noWrap/>
            <w:vAlign w:val="bottom"/>
            <w:hideMark/>
          </w:tcPr>
          <w:p w14:paraId="7738822D" w14:textId="77777777" w:rsidR="00487BD9" w:rsidRPr="00487BD9" w:rsidRDefault="00487BD9" w:rsidP="00487BD9">
            <w:pPr>
              <w:jc w:val="left"/>
              <w:rPr>
                <w:rFonts w:ascii="Arial" w:hAnsi="Arial" w:cs="Arial"/>
                <w:lang w:val="en-IN" w:eastAsia="en-IN"/>
              </w:rPr>
            </w:pPr>
          </w:p>
        </w:tc>
        <w:tc>
          <w:tcPr>
            <w:tcW w:w="1847" w:type="dxa"/>
            <w:tcBorders>
              <w:top w:val="nil"/>
              <w:left w:val="nil"/>
              <w:bottom w:val="single" w:sz="4" w:space="0" w:color="auto"/>
              <w:right w:val="nil"/>
            </w:tcBorders>
            <w:noWrap/>
            <w:vAlign w:val="bottom"/>
            <w:hideMark/>
          </w:tcPr>
          <w:p w14:paraId="4DE6EA77" w14:textId="77777777" w:rsidR="00487BD9" w:rsidRPr="00487BD9" w:rsidRDefault="00487BD9" w:rsidP="00487BD9">
            <w:pPr>
              <w:jc w:val="left"/>
              <w:rPr>
                <w:rFonts w:ascii="Arial" w:hAnsi="Arial" w:cs="Arial"/>
                <w:lang w:val="en-IN" w:eastAsia="en-IN"/>
              </w:rPr>
            </w:pPr>
          </w:p>
        </w:tc>
        <w:tc>
          <w:tcPr>
            <w:tcW w:w="1598" w:type="dxa"/>
            <w:tcBorders>
              <w:top w:val="nil"/>
              <w:left w:val="nil"/>
              <w:bottom w:val="single" w:sz="4" w:space="0" w:color="auto"/>
              <w:right w:val="nil"/>
            </w:tcBorders>
            <w:noWrap/>
            <w:vAlign w:val="bottom"/>
            <w:hideMark/>
          </w:tcPr>
          <w:p w14:paraId="2EBDA349" w14:textId="77777777" w:rsidR="00487BD9" w:rsidRPr="00487BD9" w:rsidRDefault="00487BD9" w:rsidP="00487BD9">
            <w:pPr>
              <w:jc w:val="left"/>
              <w:rPr>
                <w:rFonts w:ascii="Arial" w:hAnsi="Arial" w:cs="Arial"/>
                <w:lang w:val="en-IN" w:eastAsia="en-IN"/>
              </w:rPr>
            </w:pPr>
          </w:p>
        </w:tc>
      </w:tr>
      <w:tr w:rsidR="00487BD9" w:rsidRPr="00487BD9" w14:paraId="33155080" w14:textId="77777777" w:rsidTr="00F81DD3">
        <w:trPr>
          <w:trHeight w:val="300"/>
          <w:jc w:val="center"/>
        </w:trPr>
        <w:tc>
          <w:tcPr>
            <w:tcW w:w="7366" w:type="dxa"/>
            <w:gridSpan w:val="3"/>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4850C220" w14:textId="77777777" w:rsidR="00487BD9" w:rsidRPr="00487BD9" w:rsidRDefault="00487BD9" w:rsidP="00487BD9">
            <w:pPr>
              <w:jc w:val="center"/>
              <w:rPr>
                <w:rFonts w:ascii="Arial" w:hAnsi="Arial" w:cs="Arial"/>
                <w:b/>
                <w:bCs/>
                <w:color w:val="000000"/>
                <w:lang w:val="en-IN" w:eastAsia="en-IN"/>
              </w:rPr>
            </w:pPr>
            <w:r w:rsidRPr="00487BD9">
              <w:rPr>
                <w:rFonts w:ascii="Arial" w:hAnsi="Arial" w:cs="Arial"/>
                <w:b/>
                <w:bCs/>
                <w:color w:val="000000"/>
                <w:lang w:val="en-IN" w:eastAsia="en-IN"/>
              </w:rPr>
              <w:t>Project C</w:t>
            </w:r>
          </w:p>
        </w:tc>
        <w:tc>
          <w:tcPr>
            <w:tcW w:w="1598"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5D341BA4"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1B3B25F2"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53BE03E2"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w:t>
            </w:r>
          </w:p>
        </w:tc>
        <w:tc>
          <w:tcPr>
            <w:tcW w:w="1959" w:type="dxa"/>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3BA7D695"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Cash Flow</w:t>
            </w:r>
          </w:p>
        </w:tc>
        <w:tc>
          <w:tcPr>
            <w:tcW w:w="3445" w:type="dxa"/>
            <w:gridSpan w:val="2"/>
            <w:tcBorders>
              <w:top w:val="single" w:sz="4" w:space="0" w:color="auto"/>
              <w:left w:val="single" w:sz="4" w:space="0" w:color="auto"/>
              <w:bottom w:val="single" w:sz="4" w:space="0" w:color="auto"/>
              <w:right w:val="single" w:sz="4" w:space="0" w:color="auto"/>
            </w:tcBorders>
            <w:shd w:val="clear" w:color="000000" w:fill="DCE6F1"/>
            <w:noWrap/>
            <w:vAlign w:val="bottom"/>
            <w:hideMark/>
          </w:tcPr>
          <w:p w14:paraId="30DFF808"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Cumulative Cash Flow</w:t>
            </w:r>
          </w:p>
        </w:tc>
      </w:tr>
      <w:tr w:rsidR="00487BD9" w:rsidRPr="00487BD9" w14:paraId="014F6C56"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72B82FD"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Initial</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6B4D0816"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053C2E94"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70D39D88"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6EC0F206"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5EFBD184"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1</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7DA1B09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3F00448E"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-45000000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0852E251"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2A7A246C"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7B11BDA6"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2</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72A571AD"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5006FB1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-35000000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36DBD4A9"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431CE88D"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2AD41296"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3</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24D9C5A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20000000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51817F19"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6FF5C895"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3C71D3C4"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47123CC5"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4</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21B2195A"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25000000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4883459F"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10000000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6F12B9E1"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169926B5" w14:textId="77777777" w:rsidTr="00F81DD3">
        <w:trPr>
          <w:trHeight w:val="300"/>
          <w:jc w:val="center"/>
        </w:trPr>
        <w:tc>
          <w:tcPr>
            <w:tcW w:w="3560" w:type="dxa"/>
            <w:tcBorders>
              <w:top w:val="single" w:sz="4" w:space="0" w:color="auto"/>
              <w:left w:val="single" w:sz="4" w:space="0" w:color="auto"/>
              <w:bottom w:val="single" w:sz="4" w:space="0" w:color="auto"/>
              <w:right w:val="single" w:sz="4" w:space="0" w:color="auto"/>
            </w:tcBorders>
            <w:noWrap/>
            <w:vAlign w:val="bottom"/>
            <w:hideMark/>
          </w:tcPr>
          <w:p w14:paraId="75D5D6C0"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Year 5</w:t>
            </w:r>
          </w:p>
        </w:tc>
        <w:tc>
          <w:tcPr>
            <w:tcW w:w="1959" w:type="dxa"/>
            <w:tcBorders>
              <w:top w:val="single" w:sz="4" w:space="0" w:color="auto"/>
              <w:left w:val="single" w:sz="4" w:space="0" w:color="auto"/>
              <w:bottom w:val="single" w:sz="4" w:space="0" w:color="auto"/>
              <w:right w:val="single" w:sz="4" w:space="0" w:color="auto"/>
            </w:tcBorders>
            <w:noWrap/>
            <w:vAlign w:val="bottom"/>
            <w:hideMark/>
          </w:tcPr>
          <w:p w14:paraId="279C67B5"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5000000</w:t>
            </w:r>
          </w:p>
        </w:tc>
        <w:tc>
          <w:tcPr>
            <w:tcW w:w="1847" w:type="dxa"/>
            <w:tcBorders>
              <w:top w:val="single" w:sz="4" w:space="0" w:color="auto"/>
              <w:left w:val="single" w:sz="4" w:space="0" w:color="auto"/>
              <w:bottom w:val="single" w:sz="4" w:space="0" w:color="auto"/>
              <w:right w:val="single" w:sz="4" w:space="0" w:color="auto"/>
            </w:tcBorders>
            <w:noWrap/>
            <w:vAlign w:val="bottom"/>
            <w:hideMark/>
          </w:tcPr>
          <w:p w14:paraId="36434A38" w14:textId="77777777" w:rsidR="00487BD9" w:rsidRPr="00487BD9" w:rsidRDefault="00487BD9" w:rsidP="00487BD9">
            <w:pPr>
              <w:jc w:val="right"/>
              <w:rPr>
                <w:rFonts w:ascii="Arial" w:hAnsi="Arial" w:cs="Arial"/>
                <w:color w:val="000000"/>
                <w:lang w:val="en-IN" w:eastAsia="en-IN"/>
              </w:rPr>
            </w:pPr>
            <w:r w:rsidRPr="00487BD9">
              <w:rPr>
                <w:rFonts w:ascii="Arial" w:hAnsi="Arial" w:cs="Arial"/>
                <w:color w:val="000000"/>
                <w:lang w:val="en-IN" w:eastAsia="en-IN"/>
              </w:rPr>
              <w:t>15000000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4E831A6A" w14:textId="77777777" w:rsidR="00487BD9" w:rsidRPr="00487BD9" w:rsidRDefault="00487BD9" w:rsidP="00487BD9">
            <w:pPr>
              <w:jc w:val="left"/>
              <w:rPr>
                <w:rFonts w:ascii="Arial" w:hAnsi="Arial" w:cs="Arial"/>
                <w:color w:val="000000"/>
                <w:lang w:val="en-IN" w:eastAsia="en-IN"/>
              </w:rPr>
            </w:pPr>
            <w:r w:rsidRPr="00487BD9">
              <w:rPr>
                <w:rFonts w:ascii="Arial" w:hAnsi="Arial" w:cs="Arial"/>
                <w:color w:val="000000"/>
                <w:lang w:val="en-IN" w:eastAsia="en-IN"/>
              </w:rPr>
              <w:t> </w:t>
            </w:r>
          </w:p>
        </w:tc>
      </w:tr>
      <w:tr w:rsidR="00487BD9" w:rsidRPr="00487BD9" w14:paraId="0253B6A9" w14:textId="77777777" w:rsidTr="00F81DD3">
        <w:trPr>
          <w:trHeight w:val="315"/>
          <w:jc w:val="center"/>
        </w:trPr>
        <w:tc>
          <w:tcPr>
            <w:tcW w:w="7366" w:type="dxa"/>
            <w:gridSpan w:val="3"/>
            <w:tcBorders>
              <w:top w:val="single" w:sz="4" w:space="0" w:color="auto"/>
              <w:left w:val="single" w:sz="4" w:space="0" w:color="auto"/>
              <w:bottom w:val="single" w:sz="4" w:space="0" w:color="auto"/>
              <w:right w:val="single" w:sz="4" w:space="0" w:color="auto"/>
            </w:tcBorders>
            <w:noWrap/>
            <w:vAlign w:val="bottom"/>
            <w:hideMark/>
          </w:tcPr>
          <w:p w14:paraId="0C6EAB33"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Payback = 3 + (15000000 / 25000000)</w:t>
            </w:r>
          </w:p>
        </w:tc>
        <w:tc>
          <w:tcPr>
            <w:tcW w:w="1598" w:type="dxa"/>
            <w:tcBorders>
              <w:top w:val="single" w:sz="4" w:space="0" w:color="auto"/>
              <w:left w:val="single" w:sz="4" w:space="0" w:color="auto"/>
              <w:bottom w:val="single" w:sz="4" w:space="0" w:color="auto"/>
              <w:right w:val="single" w:sz="4" w:space="0" w:color="auto"/>
            </w:tcBorders>
            <w:noWrap/>
            <w:vAlign w:val="bottom"/>
            <w:hideMark/>
          </w:tcPr>
          <w:p w14:paraId="0CAA74E9" w14:textId="77777777" w:rsidR="00487BD9" w:rsidRPr="00487BD9" w:rsidRDefault="00487BD9" w:rsidP="00487BD9">
            <w:pPr>
              <w:jc w:val="left"/>
              <w:rPr>
                <w:rFonts w:ascii="Arial" w:hAnsi="Arial" w:cs="Arial"/>
                <w:b/>
                <w:bCs/>
                <w:color w:val="000000"/>
                <w:lang w:val="en-IN" w:eastAsia="en-IN"/>
              </w:rPr>
            </w:pPr>
            <w:r w:rsidRPr="00487BD9">
              <w:rPr>
                <w:rFonts w:ascii="Arial" w:hAnsi="Arial" w:cs="Arial"/>
                <w:b/>
                <w:bCs/>
                <w:color w:val="000000"/>
                <w:lang w:val="en-IN" w:eastAsia="en-IN"/>
              </w:rPr>
              <w:t>3.6 years</w:t>
            </w:r>
          </w:p>
        </w:tc>
      </w:tr>
    </w:tbl>
    <w:p w14:paraId="7A415F4C" w14:textId="77777777" w:rsidR="00487BD9" w:rsidRPr="00487BD9" w:rsidRDefault="00487BD9" w:rsidP="00487BD9">
      <w:pPr>
        <w:rPr>
          <w:rFonts w:ascii="Arial" w:hAnsi="Arial" w:cs="Arial"/>
          <w:lang w:val="en-GB"/>
        </w:rPr>
      </w:pPr>
    </w:p>
    <w:p w14:paraId="5A182975" w14:textId="77777777" w:rsidR="00402CED" w:rsidRPr="00487BD9" w:rsidRDefault="00D045BC" w:rsidP="00487BD9">
      <w:pPr>
        <w:jc w:val="center"/>
        <w:rPr>
          <w:rFonts w:ascii="Arial" w:hAnsi="Arial" w:cs="Arial"/>
          <w:lang w:val="en-GB"/>
        </w:rPr>
      </w:pPr>
      <w:r w:rsidRPr="00487BD9">
        <w:rPr>
          <w:rFonts w:ascii="Arial" w:hAnsi="Arial" w:cs="Arial"/>
          <w:lang w:val="en-GB"/>
        </w:rPr>
        <w:t>(Source: Excel)</w:t>
      </w:r>
    </w:p>
    <w:sectPr w:rsidR="00402CED" w:rsidRPr="00487BD9" w:rsidSect="007F2ED9">
      <w:headerReference w:type="even" r:id="rId66"/>
      <w:headerReference w:type="default" r:id="rId67"/>
      <w:footerReference w:type="even" r:id="rId68"/>
      <w:footerReference w:type="default" r:id="rId69"/>
      <w:headerReference w:type="first" r:id="rId7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30EB6" w14:textId="77777777" w:rsidR="00CF1F89" w:rsidRDefault="00CF1F89" w:rsidP="00CC5E5A">
      <w:pPr>
        <w:spacing w:line="240" w:lineRule="auto"/>
      </w:pPr>
      <w:r>
        <w:separator/>
      </w:r>
    </w:p>
  </w:endnote>
  <w:endnote w:type="continuationSeparator" w:id="0">
    <w:p w14:paraId="7BF4A442" w14:textId="77777777" w:rsidR="00CF1F89" w:rsidRDefault="00CF1F89" w:rsidP="00CC5E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A865E7F-2EF4-4E2D-8DD0-F565D12A30CE}"/>
    <w:embedBold r:id="rId2" w:fontKey="{BAEDCF0F-E117-4939-A0CC-5C88C8F826C1}"/>
  </w:font>
  <w:font w:name="Cambria">
    <w:panose1 w:val="02040503050406030204"/>
    <w:charset w:val="00"/>
    <w:family w:val="roman"/>
    <w:pitch w:val="variable"/>
    <w:sig w:usb0="E00006FF" w:usb1="420024FF" w:usb2="02000000" w:usb3="00000000" w:csb0="0000019F" w:csb1="00000000"/>
    <w:embedRegular r:id="rId3" w:fontKey="{4B51EB0E-E93B-42BD-AC14-F32E2B6BF509}"/>
    <w:embedBold r:id="rId4" w:fontKey="{93DAAD75-CF9B-479F-9E62-138A308360DA}"/>
    <w:embedBoldItalic r:id="rId5" w:fontKey="{A74F7536-AB11-439D-BFA2-A2F2CC4A84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8009610"/>
      <w:docPartObj>
        <w:docPartGallery w:val="Page Numbers (Bottom of Page)"/>
        <w:docPartUnique/>
      </w:docPartObj>
    </w:sdtPr>
    <w:sdtEndPr>
      <w:rPr>
        <w:rStyle w:val="PageNumber"/>
      </w:rPr>
    </w:sdtEndPr>
    <w:sdtContent>
      <w:p w14:paraId="2C5F0570" w14:textId="77777777" w:rsidR="007F2ED9" w:rsidRDefault="007F2ED9"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CF1F89">
          <w:rPr>
            <w:rStyle w:val="PageNumber"/>
          </w:rPr>
          <w:fldChar w:fldCharType="separate"/>
        </w:r>
        <w:r>
          <w:rPr>
            <w:rStyle w:val="PageNumber"/>
          </w:rPr>
          <w:fldChar w:fldCharType="end"/>
        </w:r>
      </w:p>
    </w:sdtContent>
  </w:sdt>
  <w:p w14:paraId="54606B6F" w14:textId="77777777" w:rsidR="00CC5E5A" w:rsidRDefault="00CC5E5A" w:rsidP="007F2E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4764573"/>
      <w:docPartObj>
        <w:docPartGallery w:val="Page Numbers (Bottom of Page)"/>
        <w:docPartUnique/>
      </w:docPartObj>
    </w:sdtPr>
    <w:sdtEndPr>
      <w:rPr>
        <w:rStyle w:val="PageNumber"/>
      </w:rPr>
    </w:sdtEndPr>
    <w:sdtContent>
      <w:p w14:paraId="19DE40AE" w14:textId="77777777" w:rsidR="007F2ED9" w:rsidRDefault="007F2ED9" w:rsidP="009541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p w14:paraId="7E641F56" w14:textId="77777777" w:rsidR="00CC5E5A" w:rsidRDefault="00CC5E5A" w:rsidP="007F2E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4F714" w14:textId="77777777" w:rsidR="00CF1F89" w:rsidRDefault="00CF1F89" w:rsidP="00CC5E5A">
      <w:pPr>
        <w:spacing w:line="240" w:lineRule="auto"/>
      </w:pPr>
      <w:r>
        <w:separator/>
      </w:r>
    </w:p>
  </w:footnote>
  <w:footnote w:type="continuationSeparator" w:id="0">
    <w:p w14:paraId="6075FA83" w14:textId="77777777" w:rsidR="00CF1F89" w:rsidRDefault="00CF1F89" w:rsidP="00CC5E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C453A" w14:textId="77777777" w:rsidR="00CC5E5A" w:rsidRDefault="00CC5E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B274F" w14:textId="77777777" w:rsidR="00CC5E5A" w:rsidRDefault="00CC5E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BD32B" w14:textId="77777777" w:rsidR="00CC5E5A" w:rsidRDefault="00CC5E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709C8"/>
    <w:multiLevelType w:val="multilevel"/>
    <w:tmpl w:val="BA2A6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252410"/>
    <w:multiLevelType w:val="hybridMultilevel"/>
    <w:tmpl w:val="731A0C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CED"/>
    <w:rsid w:val="0005342F"/>
    <w:rsid w:val="00116B46"/>
    <w:rsid w:val="0016461A"/>
    <w:rsid w:val="00191B1C"/>
    <w:rsid w:val="00274884"/>
    <w:rsid w:val="002C6E1A"/>
    <w:rsid w:val="002D0945"/>
    <w:rsid w:val="003B6388"/>
    <w:rsid w:val="00402CED"/>
    <w:rsid w:val="00484623"/>
    <w:rsid w:val="00487BD9"/>
    <w:rsid w:val="004D49EB"/>
    <w:rsid w:val="00524EE3"/>
    <w:rsid w:val="00605094"/>
    <w:rsid w:val="006347B5"/>
    <w:rsid w:val="00651092"/>
    <w:rsid w:val="007F2ED9"/>
    <w:rsid w:val="00807D13"/>
    <w:rsid w:val="008C3518"/>
    <w:rsid w:val="008F6357"/>
    <w:rsid w:val="00AB2758"/>
    <w:rsid w:val="00B04D37"/>
    <w:rsid w:val="00C46095"/>
    <w:rsid w:val="00CC5E5A"/>
    <w:rsid w:val="00CD2532"/>
    <w:rsid w:val="00CF1F89"/>
    <w:rsid w:val="00D045BC"/>
    <w:rsid w:val="00D84080"/>
    <w:rsid w:val="00F81DD3"/>
    <w:rsid w:val="00FA0E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5597D"/>
  <w15:docId w15:val="{3E81DD67-1005-874C-97ED-5B1E5948A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rsid w:val="00484623"/>
    <w:pPr>
      <w:jc w:val="center"/>
      <w:outlineLvl w:val="2"/>
    </w:pPr>
    <w:rPr>
      <w:rFonts w:ascii="Arial" w:hAnsi="Arial" w:cs="Arial"/>
      <w:b/>
      <w:bCs/>
      <w:lang w:val="en-GB"/>
    </w:rPr>
  </w:style>
  <w:style w:type="paragraph" w:styleId="Heading4">
    <w:name w:val="heading 4"/>
    <w:basedOn w:val="Heading3"/>
    <w:next w:val="Normal"/>
    <w:uiPriority w:val="9"/>
    <w:unhideWhenUsed/>
    <w:qFormat/>
    <w:rsid w:val="00484623"/>
    <w:pPr>
      <w:outlineLvl w:val="3"/>
    </w:pPr>
  </w:style>
  <w:style w:type="paragraph" w:styleId="Heading5">
    <w:name w:val="heading 5"/>
    <w:basedOn w:val="Heading4"/>
    <w:next w:val="Normal"/>
    <w:uiPriority w:val="9"/>
    <w:unhideWhenUsed/>
    <w:qFormat/>
    <w:rsid w:val="00484623"/>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C5E5A"/>
    <w:pPr>
      <w:tabs>
        <w:tab w:val="center" w:pos="4680"/>
        <w:tab w:val="right" w:pos="9360"/>
      </w:tabs>
      <w:spacing w:line="240" w:lineRule="auto"/>
    </w:pPr>
  </w:style>
  <w:style w:type="character" w:customStyle="1" w:styleId="HeaderChar">
    <w:name w:val="Header Char"/>
    <w:basedOn w:val="DefaultParagraphFont"/>
    <w:link w:val="Header"/>
    <w:uiPriority w:val="99"/>
    <w:rsid w:val="00CC5E5A"/>
  </w:style>
  <w:style w:type="paragraph" w:styleId="Footer">
    <w:name w:val="footer"/>
    <w:basedOn w:val="Normal"/>
    <w:link w:val="FooterChar"/>
    <w:uiPriority w:val="99"/>
    <w:unhideWhenUsed/>
    <w:rsid w:val="00CC5E5A"/>
    <w:pPr>
      <w:tabs>
        <w:tab w:val="center" w:pos="4680"/>
        <w:tab w:val="right" w:pos="9360"/>
      </w:tabs>
      <w:spacing w:line="240" w:lineRule="auto"/>
    </w:pPr>
  </w:style>
  <w:style w:type="character" w:customStyle="1" w:styleId="FooterChar">
    <w:name w:val="Footer Char"/>
    <w:basedOn w:val="DefaultParagraphFont"/>
    <w:link w:val="Footer"/>
    <w:uiPriority w:val="99"/>
    <w:rsid w:val="00CC5E5A"/>
  </w:style>
  <w:style w:type="character" w:styleId="Hyperlink">
    <w:name w:val="Hyperlink"/>
    <w:basedOn w:val="DefaultParagraphFont"/>
    <w:uiPriority w:val="99"/>
    <w:unhideWhenUsed/>
    <w:rsid w:val="00CC5E5A"/>
    <w:rPr>
      <w:color w:val="0000FF" w:themeColor="hyperlink"/>
      <w:u w:val="single"/>
    </w:rPr>
  </w:style>
  <w:style w:type="character" w:styleId="PageNumber">
    <w:name w:val="page number"/>
    <w:basedOn w:val="DefaultParagraphFont"/>
    <w:uiPriority w:val="99"/>
    <w:semiHidden/>
    <w:unhideWhenUsed/>
    <w:rsid w:val="007F2ED9"/>
  </w:style>
  <w:style w:type="paragraph" w:styleId="TOCHeading">
    <w:name w:val="TOC Heading"/>
    <w:basedOn w:val="Heading1"/>
    <w:next w:val="Normal"/>
    <w:uiPriority w:val="39"/>
    <w:unhideWhenUsed/>
    <w:qFormat/>
    <w:rsid w:val="00CD2532"/>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CD2532"/>
    <w:pPr>
      <w:spacing w:before="120"/>
      <w:jc w:val="left"/>
    </w:pPr>
    <w:rPr>
      <w:rFonts w:asciiTheme="minorHAnsi" w:hAnsiTheme="minorHAnsi"/>
      <w:b/>
      <w:bCs/>
      <w:i/>
      <w:iCs/>
    </w:rPr>
  </w:style>
  <w:style w:type="paragraph" w:styleId="TOC2">
    <w:name w:val="toc 2"/>
    <w:basedOn w:val="Normal"/>
    <w:next w:val="Normal"/>
    <w:autoRedefine/>
    <w:uiPriority w:val="39"/>
    <w:unhideWhenUsed/>
    <w:rsid w:val="00CD2532"/>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CD2532"/>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D2532"/>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D2532"/>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D2532"/>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D2532"/>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D2532"/>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D2532"/>
    <w:pPr>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484623"/>
    <w:rPr>
      <w:color w:val="605E5C"/>
      <w:shd w:val="clear" w:color="auto" w:fill="E1DFDD"/>
    </w:rPr>
  </w:style>
  <w:style w:type="character" w:styleId="FollowedHyperlink">
    <w:name w:val="FollowedHyperlink"/>
    <w:basedOn w:val="DefaultParagraphFont"/>
    <w:uiPriority w:val="99"/>
    <w:semiHidden/>
    <w:unhideWhenUsed/>
    <w:rsid w:val="00191B1C"/>
    <w:rPr>
      <w:color w:val="800080" w:themeColor="followedHyperlink"/>
      <w:u w:val="single"/>
    </w:rPr>
  </w:style>
  <w:style w:type="paragraph" w:styleId="ListParagraph">
    <w:name w:val="List Paragraph"/>
    <w:basedOn w:val="Normal"/>
    <w:uiPriority w:val="34"/>
    <w:qFormat/>
    <w:rsid w:val="00C46095"/>
    <w:pPr>
      <w:ind w:left="720"/>
      <w:contextualSpacing/>
    </w:pPr>
  </w:style>
  <w:style w:type="paragraph" w:styleId="TableofFigures">
    <w:name w:val="table of figures"/>
    <w:basedOn w:val="Normal"/>
    <w:next w:val="Normal"/>
    <w:uiPriority w:val="99"/>
    <w:unhideWhenUsed/>
    <w:rsid w:val="00FA0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179511">
      <w:bodyDiv w:val="1"/>
      <w:marLeft w:val="0"/>
      <w:marRight w:val="0"/>
      <w:marTop w:val="0"/>
      <w:marBottom w:val="0"/>
      <w:divBdr>
        <w:top w:val="none" w:sz="0" w:space="0" w:color="auto"/>
        <w:left w:val="none" w:sz="0" w:space="0" w:color="auto"/>
        <w:bottom w:val="none" w:sz="0" w:space="0" w:color="auto"/>
        <w:right w:val="none" w:sz="0" w:space="0" w:color="auto"/>
      </w:divBdr>
    </w:div>
    <w:div w:id="1128745208">
      <w:bodyDiv w:val="1"/>
      <w:marLeft w:val="0"/>
      <w:marRight w:val="0"/>
      <w:marTop w:val="0"/>
      <w:marBottom w:val="0"/>
      <w:divBdr>
        <w:top w:val="none" w:sz="0" w:space="0" w:color="auto"/>
        <w:left w:val="none" w:sz="0" w:space="0" w:color="auto"/>
        <w:bottom w:val="none" w:sz="0" w:space="0" w:color="auto"/>
        <w:right w:val="none" w:sz="0" w:space="0" w:color="auto"/>
      </w:divBdr>
    </w:div>
    <w:div w:id="1883982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atlantis-press.com/proceedings/iciaai-25/126015243" TargetMode="External"/><Relationship Id="rId21" Type="http://schemas.openxmlformats.org/officeDocument/2006/relationships/hyperlink" Target="https://www.annualreports.com/HostedData/AnnualReportArchive/t/NASDAQ_TSLA_2022.pdf" TargetMode="External"/><Relationship Id="rId42" Type="http://schemas.openxmlformats.org/officeDocument/2006/relationships/hyperlink" Target="https://www.mdpi.com/2076-3387/15/6/212" TargetMode="External"/><Relationship Id="rId47" Type="http://schemas.openxmlformats.org/officeDocument/2006/relationships/hyperlink" Target="https://proceeding.umsu.ac.id/index.php/Miceb/article/download/282/303" TargetMode="External"/><Relationship Id="rId63" Type="http://schemas.openxmlformats.org/officeDocument/2006/relationships/image" Target="media/image15.png"/><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papers.ssrn.com/sol3/papers.cfm?abstract_id=5539159" TargetMode="External"/><Relationship Id="rId11" Type="http://schemas.openxmlformats.org/officeDocument/2006/relationships/image" Target="media/image4.png"/><Relationship Id="rId24" Type="http://schemas.openxmlformats.org/officeDocument/2006/relationships/hyperlink" Target="https://www.academia.edu/download/106769993/cash-conversion-cycle-and-firms-performance.pdf" TargetMode="External"/><Relationship Id="rId32" Type="http://schemas.openxmlformats.org/officeDocument/2006/relationships/hyperlink" Target="https://www.atlantis-press.com/proceedings/icfrim-25/126013059" TargetMode="External"/><Relationship Id="rId37" Type="http://schemas.openxmlformats.org/officeDocument/2006/relationships/hyperlink" Target="https://www.atlantis-press.com/proceedings/fimm-25/126017124" TargetMode="External"/><Relationship Id="rId40" Type="http://schemas.openxmlformats.org/officeDocument/2006/relationships/hyperlink" Target="https://www.researchgate.net/profile/Loo-Liang-2/publication/392248694_The_Impacts_of_Digital_Transformation_on_Firm_Performance_A_Case_Study_of_Tesla_Business_Model/links/683c6af8d1054b0207f8c428/The-Impacts-of-Digital-Transformation-on-Firm-Performance-A-Case-Study-of-Tesla-Business-Model.pdf" TargetMode="External"/><Relationship Id="rId45" Type="http://schemas.openxmlformats.org/officeDocument/2006/relationships/hyperlink" Target="https://www.atlantis-press.com/proceedings/icemed-25/126014965" TargetMode="External"/><Relationship Id="rId53" Type="http://schemas.openxmlformats.org/officeDocument/2006/relationships/hyperlink" Target="https://www.tesla.com/about" TargetMode="External"/><Relationship Id="rId58" Type="http://schemas.openxmlformats.org/officeDocument/2006/relationships/hyperlink" Target="https://www.atlantis-press.com/proceedings/mmet-25/126017900"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13.png"/><Relationship Id="rId19" Type="http://schemas.openxmlformats.org/officeDocument/2006/relationships/hyperlink" Target="https://www.annualreports.com/HostedData/AnnualReportArchive/t/NASDAQ_TSLA_2019.pdf" TargetMode="External"/><Relationship Id="rId14" Type="http://schemas.openxmlformats.org/officeDocument/2006/relationships/image" Target="media/image7.png"/><Relationship Id="rId22" Type="http://schemas.openxmlformats.org/officeDocument/2006/relationships/hyperlink" Target="https://www.annualreports.com/HostedData/AnnualReportArchive/t/NASDAQ_TSLA_2023.pdf" TargetMode="External"/><Relationship Id="rId27" Type="http://schemas.openxmlformats.org/officeDocument/2006/relationships/hyperlink" Target="https://digitalcommons.newhaven.edu/americanbusinessreview/vol28/iss1/15/" TargetMode="External"/><Relationship Id="rId30" Type="http://schemas.openxmlformats.org/officeDocument/2006/relationships/hyperlink" Target="https://scholarworks.wmich.edu/cgi/viewcontent.cgi?article=4808&amp;context=honors_theses" TargetMode="External"/><Relationship Id="rId35" Type="http://schemas.openxmlformats.org/officeDocument/2006/relationships/hyperlink" Target="http://jdmdc.com/index.php/JDMDC/article/view/36" TargetMode="External"/><Relationship Id="rId43" Type="http://schemas.openxmlformats.org/officeDocument/2006/relationships/hyperlink" Target="https://www.atlantis-press.com/proceedings/iciaai-25/126015305" TargetMode="External"/><Relationship Id="rId48" Type="http://schemas.openxmlformats.org/officeDocument/2006/relationships/hyperlink" Target="https://aemps.ewapub.com/article/view/30336" TargetMode="External"/><Relationship Id="rId56" Type="http://schemas.openxmlformats.org/officeDocument/2006/relationships/hyperlink" Target="https://www.sciencedirect.com/science/article/pii/S2214157X26000328" TargetMode="External"/><Relationship Id="rId64" Type="http://schemas.openxmlformats.org/officeDocument/2006/relationships/image" Target="media/image16.png"/><Relationship Id="rId69"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papers.ssrn.com/sol3/Delivery.cfm?abstractid=4638078"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cholarworks.uark.edu/acctuht/68/" TargetMode="External"/><Relationship Id="rId33" Type="http://schemas.openxmlformats.org/officeDocument/2006/relationships/hyperlink" Target="https://search.proquest.com/openview/7a8a86616ddbecebbacdc815085929ed/1?pq-origsite=gscholar&amp;cbl=5240900" TargetMode="External"/><Relationship Id="rId38" Type="http://schemas.openxmlformats.org/officeDocument/2006/relationships/hyperlink" Target="https://www.atlantis-press.com/proceedings/icdeba-24/126008536" TargetMode="External"/><Relationship Id="rId46" Type="http://schemas.openxmlformats.org/officeDocument/2006/relationships/hyperlink" Target="https://www.researchgate.net/profile/Marcin-Majka-2/publication/381402363_Understanding_Efficiency_Ratios/links/666b64b9de777205a32c2aa5/Understanding-Efficiency-Ratios.pdf" TargetMode="External"/><Relationship Id="rId59" Type="http://schemas.openxmlformats.org/officeDocument/2006/relationships/image" Target="media/image11.png"/><Relationship Id="rId67" Type="http://schemas.openxmlformats.org/officeDocument/2006/relationships/header" Target="header2.xml"/><Relationship Id="rId20" Type="http://schemas.openxmlformats.org/officeDocument/2006/relationships/hyperlink" Target="https://www.annualreports.com/HostedData/AnnualReportArchive/t/NASDAQ_TSLA_2020.pdf" TargetMode="External"/><Relationship Id="rId41" Type="http://schemas.openxmlformats.org/officeDocument/2006/relationships/hyperlink" Target="https://www.sciencedirect.com/science/article/pii/S0360544225055045" TargetMode="External"/><Relationship Id="rId54" Type="http://schemas.openxmlformats.org/officeDocument/2006/relationships/hyperlink" Target="https://journal.jnec.edu.bt/index.php/jaetm/article/download/55/26" TargetMode="External"/><Relationship Id="rId62" Type="http://schemas.openxmlformats.org/officeDocument/2006/relationships/image" Target="media/image14.png"/><Relationship Id="rId7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nnualreports.com/HostedData/AnnualReports/PDF/NASDAQ_TSLA_2024.pdf" TargetMode="External"/><Relationship Id="rId28" Type="http://schemas.openxmlformats.org/officeDocument/2006/relationships/hyperlink" Target="https://www.atlantis-press.com/proceedings/icfrim-25/126013095" TargetMode="External"/><Relationship Id="rId36" Type="http://schemas.openxmlformats.org/officeDocument/2006/relationships/hyperlink" Target="https://gupea.ub.gu.se/items/b960f4a0-e3bb-45e3-b39d-9d6a7db02b83" TargetMode="External"/><Relationship Id="rId49" Type="http://schemas.openxmlformats.org/officeDocument/2006/relationships/hyperlink" Target="https://www.atlantis-press.com/article/125975449.pdf" TargetMode="External"/><Relationship Id="rId57" Type="http://schemas.openxmlformats.org/officeDocument/2006/relationships/hyperlink" Target="https://www.atlantis-press.com/proceedings/icdeba-24/126008527" TargetMode="External"/><Relationship Id="rId10" Type="http://schemas.openxmlformats.org/officeDocument/2006/relationships/image" Target="media/image3.png"/><Relationship Id="rId31" Type="http://schemas.openxmlformats.org/officeDocument/2006/relationships/hyperlink" Target="https://sde.cultechpub.com/index.php/sde/article/view/9" TargetMode="External"/><Relationship Id="rId44" Type="http://schemas.openxmlformats.org/officeDocument/2006/relationships/hyperlink" Target="https://lseee.net/index.php/fe/article/view/1859" TargetMode="External"/><Relationship Id="rId52" Type="http://schemas.openxmlformats.org/officeDocument/2006/relationships/hyperlink" Target="https://books.google.com/books?hl=en&amp;lr=&amp;id=khVxEQAAQBAJ&amp;oi=fnd&amp;pg=PP8&amp;dq=Tesla+financial+performance+analysis&amp;ots=gA-BSYhg5l&amp;sig=aW84XEInUyl1apNDy_8wNng32I0" TargetMode="External"/><Relationship Id="rId60" Type="http://schemas.openxmlformats.org/officeDocument/2006/relationships/image" Target="media/image12.png"/><Relationship Id="rId65"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econstor.eu/bitstream/10419/305960/1/id596.pdf" TargetMode="External"/><Relationship Id="rId39" Type="http://schemas.openxmlformats.org/officeDocument/2006/relationships/hyperlink" Target="https://www.atlantis-press.com/proceedings/fimm-25/126017147" TargetMode="External"/><Relationship Id="rId34" Type="http://schemas.openxmlformats.org/officeDocument/2006/relationships/hyperlink" Target="https://jurnal.unismuhpalu.ac.id/index.php/IJHESS/article/download/3611/2789" TargetMode="External"/><Relationship Id="rId50" Type="http://schemas.openxmlformats.org/officeDocument/2006/relationships/hyperlink" Target="https://www.pakistanjournalofmanagement.com/index.php/Journal/article/download/28/57" TargetMode="External"/><Relationship Id="rId55" Type="http://schemas.openxmlformats.org/officeDocument/2006/relationships/hyperlink" Target="https://www.shs-conferences.org/articles/shsconf/abs/2025/16/shsconf_icfmde2025_03029/shsconf_icfmde2025_03029.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3CA4B-0F9D-CE4F-8259-614C946B1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38</Pages>
  <Words>8259</Words>
  <Characters>47080</Characters>
  <Application>Microsoft Office Word</Application>
  <DocSecurity>0</DocSecurity>
  <Lines>392</Lines>
  <Paragraphs>110</Paragraphs>
  <ScaleCrop>false</ScaleCrop>
  <Company/>
  <LinksUpToDate>false</LinksUpToDate>
  <CharactersWithSpaces>55229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 Computer</cp:lastModifiedBy>
  <cp:revision>24</cp:revision>
  <dcterms:created xsi:type="dcterms:W3CDTF">2026-03-11T22:49:00Z</dcterms:created>
  <dcterms:modified xsi:type="dcterms:W3CDTF">2026-04-24T10:34:00Z</dcterms:modified>
</cp:coreProperties>
</file>