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9"/>
        <w:tabs>
          <w:tab w:val="clear" w:pos="4153"/>
          <w:tab w:val="clear" w:pos="8306"/>
        </w:tabs>
        <w:jc w:val="both"/>
        <w:rPr>
          <w:rFonts w:ascii="Arial" w:hAnsi="Arial" w:cs="Arial"/>
          <w:b/>
          <w:sz w:val="28"/>
          <w:szCs w:val="28"/>
        </w:rPr>
      </w:pPr>
      <w:bookmarkStart w:id="0" w:name="OLE_LINK1"/>
      <w:bookmarkStart w:id="1" w:name="OLE_LINK2"/>
      <w:r>
        <w:rPr>
          <w:rFonts w:ascii="Arial" w:hAnsi="Arial" w:cs="Arial"/>
        </w:rPr>
        <w:drawing>
          <wp:anchor distT="0" distB="0" distL="114300" distR="114300" simplePos="0" relativeHeight="251658240" behindDoc="0" locked="0" layoutInCell="1" allowOverlap="1">
            <wp:simplePos x="0" y="0"/>
            <wp:positionH relativeFrom="column">
              <wp:posOffset>-399415</wp:posOffset>
            </wp:positionH>
            <wp:positionV relativeFrom="paragraph">
              <wp:posOffset>-26035</wp:posOffset>
            </wp:positionV>
            <wp:extent cx="1809750" cy="723900"/>
            <wp:effectExtent l="0" t="0" r="19050" b="1206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pStyle w:val="9"/>
        <w:tabs>
          <w:tab w:val="clear" w:pos="4153"/>
          <w:tab w:val="clear" w:pos="8306"/>
        </w:tabs>
        <w:jc w:val="right"/>
        <w:rPr>
          <w:rFonts w:ascii="Arial" w:hAnsi="Arial" w:cs="Arial"/>
          <w:b/>
          <w:sz w:val="28"/>
          <w:szCs w:val="28"/>
        </w:rPr>
      </w:pPr>
      <w:r>
        <w:rPr>
          <w:rFonts w:ascii="Arial" w:hAnsi="Arial" w:cs="Arial"/>
          <w:b/>
          <w:sz w:val="28"/>
          <w:szCs w:val="28"/>
        </w:rPr>
        <w:t>APPENDIX GA36c</w:t>
      </w:r>
    </w:p>
    <w:p>
      <w:pPr>
        <w:rPr>
          <w:rFonts w:ascii="Arial" w:hAnsi="Arial" w:cs="Arial"/>
        </w:rPr>
      </w:pPr>
    </w:p>
    <w:tbl>
      <w:tblPr>
        <w:tblStyle w:val="16"/>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CellMar>
          <w:top w:w="0" w:type="dxa"/>
          <w:left w:w="108" w:type="dxa"/>
          <w:bottom w:w="0" w:type="dxa"/>
          <w:right w:w="108" w:type="dxa"/>
        </w:tblCellMar>
      </w:tblPr>
      <w:tblGrid>
        <w:gridCol w:w="99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9922" w:type="dxa"/>
            <w:shd w:val="clear" w:color="auto" w:fill="C0C0C0"/>
          </w:tcPr>
          <w:p>
            <w:pPr>
              <w:pStyle w:val="4"/>
              <w:ind w:firstLine="801" w:firstLineChars="200"/>
              <w:jc w:val="both"/>
              <w:rPr>
                <w:rFonts w:ascii="Arial" w:hAnsi="Arial" w:cs="Arial"/>
                <w:b/>
              </w:rPr>
            </w:pPr>
            <w:r>
              <w:rPr>
                <w:rFonts w:ascii="Arial" w:hAnsi="Arial" w:cs="Arial"/>
                <w:b/>
              </w:rPr>
              <w:t xml:space="preserve">LEVEL 6 ASSESSMENT SPECIFICATION </w:t>
            </w:r>
          </w:p>
        </w:tc>
      </w:tr>
    </w:tbl>
    <w:p>
      <w:pPr>
        <w:jc w:val="both"/>
        <w:rPr>
          <w:rFonts w:ascii="Arial" w:hAnsi="Arial" w:cs="Arial"/>
          <w:b/>
          <w:i/>
          <w:sz w:val="32"/>
        </w:rPr>
      </w:pPr>
    </w:p>
    <w:tbl>
      <w:tblPr>
        <w:tblStyle w:val="16"/>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pPr>
              <w:spacing w:before="120" w:after="120"/>
              <w:jc w:val="both"/>
              <w:rPr>
                <w:rFonts w:ascii="Arial" w:hAnsi="Arial" w:cs="Arial"/>
                <w:b/>
                <w:sz w:val="22"/>
                <w:szCs w:val="22"/>
              </w:rPr>
            </w:pPr>
            <w:r>
              <w:rPr>
                <w:rFonts w:ascii="Arial" w:hAnsi="Arial" w:cs="Arial"/>
                <w:b/>
                <w:sz w:val="22"/>
                <w:szCs w:val="22"/>
              </w:rPr>
              <w:t>MA YEQIN</w:t>
            </w:r>
          </w:p>
        </w:tc>
        <w:tc>
          <w:tcPr>
            <w:tcW w:w="2268" w:type="dxa"/>
            <w:shd w:val="clear" w:color="auto" w:fill="D9D9D9"/>
          </w:tcPr>
          <w:p>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pPr>
              <w:spacing w:before="120" w:after="120"/>
              <w:jc w:val="both"/>
              <w:rPr>
                <w:rFonts w:ascii="Arial" w:hAnsi="Arial" w:cs="Arial"/>
                <w:b/>
                <w:sz w:val="22"/>
                <w:szCs w:val="22"/>
              </w:rPr>
            </w:pPr>
            <w:r>
              <w:rPr>
                <w:rFonts w:ascii="Arial" w:hAnsi="Arial" w:cs="Arial"/>
                <w:b/>
                <w:sz w:val="22"/>
                <w:szCs w:val="22"/>
              </w:rPr>
              <w:t>1904658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pPr>
              <w:spacing w:before="120" w:after="120"/>
              <w:jc w:val="both"/>
              <w:rPr>
                <w:rFonts w:ascii="Arial" w:hAnsi="Arial" w:cs="Arial"/>
                <w:b/>
                <w:sz w:val="22"/>
                <w:szCs w:val="22"/>
              </w:rPr>
            </w:pPr>
            <w:r>
              <w:rPr>
                <w:rFonts w:ascii="Arial" w:hAnsi="Arial" w:cs="Arial"/>
                <w:b/>
                <w:sz w:val="22"/>
                <w:szCs w:val="22"/>
              </w:rPr>
              <w:t>BA Business Portfolio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pPr>
              <w:spacing w:before="120" w:after="120"/>
              <w:jc w:val="both"/>
              <w:rPr>
                <w:rFonts w:ascii="Arial" w:hAnsi="Arial" w:cs="Arial"/>
                <w:b/>
                <w:sz w:val="22"/>
                <w:szCs w:val="22"/>
              </w:rPr>
            </w:pPr>
            <w:r>
              <w:rPr>
                <w:rFonts w:ascii="Arial" w:hAnsi="Arial" w:cs="Arial"/>
                <w:b/>
                <w:sz w:val="22"/>
                <w:szCs w:val="22"/>
              </w:rPr>
              <w:t>Contemporary Human Resource in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pPr>
              <w:spacing w:before="120" w:after="120"/>
              <w:jc w:val="both"/>
              <w:rPr>
                <w:rFonts w:ascii="Arial" w:hAnsi="Arial" w:cs="Arial"/>
                <w:b/>
                <w:sz w:val="22"/>
                <w:szCs w:val="22"/>
              </w:rPr>
            </w:pPr>
            <w:r>
              <w:rPr>
                <w:rFonts w:ascii="Arial" w:hAnsi="Arial" w:cs="Arial"/>
                <w:b/>
                <w:sz w:val="22"/>
                <w:szCs w:val="22"/>
              </w:rPr>
              <w:t>M6X00873</w:t>
            </w:r>
          </w:p>
        </w:tc>
        <w:tc>
          <w:tcPr>
            <w:tcW w:w="2268" w:type="dxa"/>
            <w:shd w:val="clear" w:color="auto" w:fill="D9D9D9"/>
          </w:tcPr>
          <w:p>
            <w:pPr>
              <w:pStyle w:val="3"/>
              <w:jc w:val="both"/>
              <w:rPr>
                <w:rFonts w:ascii="Arial" w:hAnsi="Arial" w:cs="Arial"/>
                <w:sz w:val="22"/>
                <w:szCs w:val="22"/>
              </w:rPr>
            </w:pPr>
            <w:r>
              <w:rPr>
                <w:rFonts w:ascii="Arial" w:hAnsi="Arial" w:cs="Arial"/>
                <w:sz w:val="22"/>
                <w:szCs w:val="22"/>
              </w:rPr>
              <w:t>Contribution to Overall Module Assessment (%):</w:t>
            </w:r>
          </w:p>
        </w:tc>
        <w:tc>
          <w:tcPr>
            <w:tcW w:w="2268" w:type="dxa"/>
          </w:tcPr>
          <w:p>
            <w:pPr>
              <w:spacing w:before="120" w:after="120"/>
              <w:jc w:val="both"/>
              <w:rPr>
                <w:rFonts w:ascii="Arial" w:hAnsi="Arial" w:cs="Arial"/>
                <w:b/>
                <w:sz w:val="22"/>
                <w:szCs w:val="22"/>
              </w:rPr>
            </w:pPr>
            <w:r>
              <w:rPr>
                <w:rFonts w:ascii="Arial" w:hAnsi="Arial" w:cs="Arial"/>
                <w:b/>
                <w:sz w:val="22"/>
                <w:szCs w:val="22"/>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Lecturer:</w:t>
            </w:r>
          </w:p>
        </w:tc>
        <w:tc>
          <w:tcPr>
            <w:tcW w:w="3293" w:type="dxa"/>
          </w:tcPr>
          <w:p>
            <w:pPr>
              <w:spacing w:before="120" w:after="120"/>
              <w:jc w:val="both"/>
              <w:rPr>
                <w:rFonts w:ascii="Arial" w:hAnsi="Arial" w:cs="Arial"/>
                <w:b/>
                <w:sz w:val="22"/>
                <w:szCs w:val="22"/>
              </w:rPr>
            </w:pPr>
            <w:r>
              <w:rPr>
                <w:rFonts w:ascii="Arial" w:hAnsi="Arial" w:cs="Arial"/>
                <w:b/>
                <w:sz w:val="22"/>
                <w:szCs w:val="22"/>
              </w:rPr>
              <w:t>Julie Hayward</w:t>
            </w:r>
          </w:p>
        </w:tc>
        <w:tc>
          <w:tcPr>
            <w:tcW w:w="2268" w:type="dxa"/>
            <w:shd w:val="clear" w:color="auto" w:fill="D9D9D9"/>
          </w:tcPr>
          <w:p>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pPr>
              <w:spacing w:before="120" w:after="120"/>
              <w:jc w:val="both"/>
              <w:rPr>
                <w:rFonts w:ascii="Arial" w:hAnsi="Arial" w:cs="Arial"/>
                <w:b/>
                <w:sz w:val="22"/>
                <w:szCs w:val="22"/>
              </w:rPr>
            </w:pPr>
            <w:r>
              <w:rPr>
                <w:rFonts w:ascii="Arial" w:hAnsi="Arial" w:cs="Arial"/>
                <w:b/>
                <w:sz w:val="22"/>
                <w:szCs w:val="22"/>
              </w:rPr>
              <w:t>Felicity Healy-Benson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pPr>
              <w:spacing w:before="120" w:after="120"/>
              <w:jc w:val="both"/>
              <w:rPr>
                <w:rFonts w:ascii="Arial" w:hAnsi="Arial" w:cs="Arial"/>
                <w:b/>
                <w:sz w:val="22"/>
                <w:szCs w:val="22"/>
              </w:rPr>
            </w:pPr>
            <w:r>
              <w:rPr>
                <w:rFonts w:ascii="Arial" w:hAnsi="Arial" w:cs="Arial"/>
                <w:b/>
                <w:sz w:val="22"/>
                <w:szCs w:val="22"/>
              </w:rPr>
              <w:t>The Future of the HR Profession</w:t>
            </w:r>
          </w:p>
        </w:tc>
        <w:tc>
          <w:tcPr>
            <w:tcW w:w="2268" w:type="dxa"/>
            <w:shd w:val="pct10" w:color="auto" w:fill="auto"/>
          </w:tcPr>
          <w:p>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pPr>
              <w:spacing w:before="120" w:after="120"/>
              <w:jc w:val="both"/>
              <w:rPr>
                <w:rFonts w:ascii="Arial" w:hAnsi="Arial" w:cs="Arial"/>
                <w:b/>
                <w:sz w:val="22"/>
                <w:szCs w:val="22"/>
              </w:rPr>
            </w:pPr>
            <w:r>
              <w:rPr>
                <w:rFonts w:ascii="Arial" w:hAnsi="Arial" w:cs="Arial"/>
                <w:b/>
                <w:sz w:val="22"/>
                <w:szCs w:val="22"/>
              </w:rPr>
              <w:t>2500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pPr>
              <w:spacing w:before="120" w:after="120"/>
              <w:jc w:val="both"/>
              <w:rPr>
                <w:rFonts w:ascii="Arial" w:hAnsi="Arial" w:cs="Arial"/>
                <w:sz w:val="22"/>
                <w:szCs w:val="22"/>
              </w:rPr>
            </w:pPr>
            <w:r>
              <w:rPr>
                <w:rFonts w:ascii="Arial" w:hAnsi="Arial" w:cs="Arial"/>
                <w:color w:val="000000" w:themeColor="text1"/>
                <w:sz w:val="22"/>
                <w:szCs w:val="22"/>
                <w14:textFill>
                  <w14:solidFill>
                    <w14:schemeClr w14:val="tx1"/>
                  </w14:solidFill>
                </w14:textFill>
              </w:rPr>
              <w:t>15</w:t>
            </w:r>
            <w:r>
              <w:rPr>
                <w:rFonts w:ascii="Arial" w:hAnsi="Arial" w:cs="Arial"/>
                <w:color w:val="000000" w:themeColor="text1"/>
                <w:sz w:val="22"/>
                <w:szCs w:val="22"/>
                <w:vertAlign w:val="superscript"/>
                <w14:textFill>
                  <w14:solidFill>
                    <w14:schemeClr w14:val="tx1"/>
                  </w14:solidFill>
                </w14:textFill>
              </w:rPr>
              <w:t>th</w:t>
            </w:r>
            <w:r>
              <w:rPr>
                <w:rFonts w:ascii="Arial" w:hAnsi="Arial" w:cs="Arial"/>
                <w:color w:val="000000" w:themeColor="text1"/>
                <w:sz w:val="22"/>
                <w:szCs w:val="22"/>
                <w14:textFill>
                  <w14:solidFill>
                    <w14:schemeClr w14:val="tx1"/>
                  </w14:solidFill>
                </w14:textFill>
              </w:rPr>
              <w:t xml:space="preserve"> November 2019</w:t>
            </w:r>
          </w:p>
        </w:tc>
        <w:tc>
          <w:tcPr>
            <w:tcW w:w="2268" w:type="dxa"/>
            <w:shd w:val="pct10" w:color="auto" w:fill="auto"/>
          </w:tcPr>
          <w:p>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pPr>
              <w:spacing w:before="120" w:after="120"/>
              <w:jc w:val="both"/>
              <w:rPr>
                <w:rFonts w:ascii="Arial" w:hAnsi="Arial" w:cs="Arial"/>
                <w:color w:val="FF0000"/>
                <w:sz w:val="22"/>
                <w:szCs w:val="22"/>
              </w:rPr>
            </w:pPr>
            <w:r>
              <w:rPr>
                <w:rFonts w:ascii="Arial" w:hAnsi="Arial" w:cs="Arial"/>
                <w:color w:val="000000" w:themeColor="text1"/>
                <w:sz w:val="22"/>
                <w:szCs w:val="22"/>
                <w14:textFill>
                  <w14:solidFill>
                    <w14:schemeClr w14:val="tx1"/>
                  </w14:solidFill>
                </w14:textFill>
              </w:rPr>
              <w:t>13</w:t>
            </w:r>
            <w:r>
              <w:rPr>
                <w:rFonts w:ascii="Arial" w:hAnsi="Arial" w:cs="Arial"/>
                <w:color w:val="000000" w:themeColor="text1"/>
                <w:sz w:val="22"/>
                <w:szCs w:val="22"/>
                <w:vertAlign w:val="superscript"/>
                <w14:textFill>
                  <w14:solidFill>
                    <w14:schemeClr w14:val="tx1"/>
                  </w14:solidFill>
                </w14:textFill>
              </w:rPr>
              <w:t>th</w:t>
            </w:r>
            <w:r>
              <w:rPr>
                <w:rFonts w:ascii="Arial" w:hAnsi="Arial" w:cs="Arial"/>
                <w:color w:val="000000" w:themeColor="text1"/>
                <w:sz w:val="22"/>
                <w:szCs w:val="22"/>
                <w14:textFill>
                  <w14:solidFill>
                    <w14:schemeClr w14:val="tx1"/>
                  </w14:solidFill>
                </w14:textFill>
              </w:rPr>
              <w:t xml:space="preserve"> December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pPr>
              <w:jc w:val="both"/>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rPr>
          <w:rFonts w:ascii="Arial" w:hAnsi="Arial" w:cs="Arial"/>
          <w:sz w:val="32"/>
        </w:rPr>
      </w:pPr>
    </w:p>
    <w:p>
      <w:pPr>
        <w:rPr>
          <w:rFonts w:ascii="Arial" w:hAnsi="Arial" w:cs="Arial"/>
          <w:sz w:val="32"/>
        </w:rPr>
      </w:pPr>
    </w:p>
    <w:tbl>
      <w:tblPr>
        <w:tblStyle w:val="16"/>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9747" w:type="dxa"/>
            <w:shd w:val="pct10" w:color="auto" w:fill="auto"/>
          </w:tcPr>
          <w:p>
            <w:pPr>
              <w:rPr>
                <w:rFonts w:ascii="Arial" w:hAnsi="Arial" w:cs="Arial"/>
                <w:b/>
                <w:sz w:val="22"/>
                <w:szCs w:val="22"/>
              </w:rPr>
            </w:pPr>
            <w:r>
              <w:rPr>
                <w:rFonts w:ascii="Arial" w:hAnsi="Arial" w:cs="Arial"/>
                <w:b/>
                <w:sz w:val="22"/>
                <w:szCs w:val="22"/>
              </w:rPr>
              <w:t xml:space="preserve">Module Learning Outcomes </w:t>
            </w:r>
          </w:p>
          <w:p>
            <w:pPr>
              <w:rPr>
                <w:rFonts w:ascii="Arial" w:hAnsi="Arial" w:cs="Arial"/>
                <w:sz w:val="22"/>
                <w:szCs w:val="22"/>
              </w:rPr>
            </w:pPr>
            <w:r>
              <w:rPr>
                <w:rFonts w:ascii="Arial" w:hAnsi="Arial" w:cs="Arial"/>
                <w:b/>
                <w:sz w:val="22"/>
                <w:szCs w:val="22"/>
              </w:rPr>
              <w:t>(from module syllabus)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9747" w:type="dxa"/>
          </w:tcPr>
          <w:p>
            <w:pPr>
              <w:ind w:left="360"/>
              <w:rPr>
                <w:rFonts w:ascii="Arial" w:hAnsi="Arial" w:cs="Arial"/>
                <w:sz w:val="22"/>
                <w:szCs w:val="22"/>
              </w:rPr>
            </w:pPr>
          </w:p>
          <w:p>
            <w:pPr>
              <w:pStyle w:val="19"/>
              <w:numPr>
                <w:ilvl w:val="0"/>
                <w:numId w:val="1"/>
              </w:numPr>
              <w:spacing w:line="360" w:lineRule="auto"/>
              <w:rPr>
                <w:rFonts w:cs="Arial"/>
                <w:b/>
              </w:rPr>
            </w:pPr>
            <w:r>
              <w:rPr>
                <w:rFonts w:cs="Arial"/>
                <w:b/>
              </w:rPr>
              <w:t>Systematically evaluate contemporary issues in human resource management in organisations</w:t>
            </w:r>
          </w:p>
          <w:p>
            <w:pPr>
              <w:pStyle w:val="19"/>
              <w:numPr>
                <w:ilvl w:val="0"/>
                <w:numId w:val="1"/>
              </w:numPr>
              <w:spacing w:line="360" w:lineRule="auto"/>
              <w:rPr>
                <w:rFonts w:cs="Arial"/>
              </w:rPr>
            </w:pPr>
            <w:r>
              <w:rPr>
                <w:rFonts w:cs="Arial"/>
              </w:rPr>
              <w:t xml:space="preserve">Design effective performance management policies and practices using appropriate performance management techniques, rewards and sanctions to improve organisational and employee performance </w:t>
            </w:r>
          </w:p>
          <w:p>
            <w:pPr>
              <w:pStyle w:val="19"/>
              <w:numPr>
                <w:ilvl w:val="0"/>
                <w:numId w:val="1"/>
              </w:numPr>
              <w:spacing w:line="360" w:lineRule="auto"/>
              <w:rPr>
                <w:rFonts w:cs="Arial"/>
              </w:rPr>
            </w:pPr>
            <w:r>
              <w:rPr>
                <w:rFonts w:cs="Arial"/>
              </w:rPr>
              <w:t xml:space="preserve">Explore the critical contribution of employee engagement as a route to strategic, reputational and competitive excellence within a high-performance working environment </w:t>
            </w:r>
          </w:p>
          <w:p>
            <w:pPr>
              <w:rPr>
                <w:rFonts w:ascii="Arial" w:hAnsi="Arial" w:cs="Arial"/>
                <w:sz w:val="22"/>
                <w:szCs w:val="22"/>
              </w:rPr>
            </w:pPr>
          </w:p>
        </w:tc>
      </w:tr>
    </w:tbl>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both"/>
        <w:textAlignment w:val="auto"/>
        <w:rPr>
          <w:rFonts w:ascii="Times New Roman" w:hAnsi="Times New Roman" w:cs="Times New Roman"/>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rPr>
      </w:pPr>
      <w:r>
        <w:rPr>
          <w:rFonts w:ascii="Times New Roman" w:hAnsi="Times New Roman" w:cs="Times New Roman"/>
          <w:b/>
        </w:rPr>
        <w:t>Content</w:t>
      </w:r>
      <w:r>
        <w:rPr>
          <w:rFonts w:ascii="Times New Roman" w:hAnsi="Times New Roman" w:cs="Times New Roman"/>
          <w:b/>
        </w:rPr>
        <w:fldChar w:fldCharType="begin"/>
      </w:r>
      <w:r>
        <w:rPr>
          <w:rFonts w:ascii="Times New Roman" w:hAnsi="Times New Roman" w:cs="Times New Roman"/>
          <w:b/>
        </w:rPr>
        <w:instrText xml:space="preserve"> TOC \o "1-3" </w:instrText>
      </w:r>
      <w:r>
        <w:rPr>
          <w:rFonts w:ascii="Times New Roman" w:hAnsi="Times New Roman" w:cs="Times New Roman"/>
          <w:b/>
        </w:rPr>
        <w:fldChar w:fldCharType="separate"/>
      </w:r>
    </w:p>
    <w:p>
      <w:pPr>
        <w:pStyle w:val="10"/>
        <w:pageBreakBefore w:val="0"/>
        <w:tabs>
          <w:tab w:val="right" w:leader="dot" w:pos="8290"/>
        </w:tabs>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lang w:val="en-US"/>
        </w:rPr>
      </w:pPr>
      <w:r>
        <w:rPr>
          <w:rFonts w:ascii="Times New Roman" w:hAnsi="Times New Roman" w:cs="Times New Roman"/>
        </w:rPr>
        <w:t>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_Toc24583148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p>
    <w:p>
      <w:pPr>
        <w:pStyle w:val="10"/>
        <w:pageBreakBefore w:val="0"/>
        <w:tabs>
          <w:tab w:val="right" w:leader="dot" w:pos="8290"/>
        </w:tabs>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lang w:val="en-US"/>
        </w:rPr>
      </w:pPr>
      <w:r>
        <w:rPr>
          <w:rFonts w:ascii="Times New Roman" w:hAnsi="Times New Roman" w:cs="Times New Roman"/>
        </w:rPr>
        <w:t>Human resources in organisation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_Toc24583149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p>
    <w:p>
      <w:pPr>
        <w:pStyle w:val="10"/>
        <w:pageBreakBefore w:val="0"/>
        <w:tabs>
          <w:tab w:val="right" w:leader="dot" w:pos="8290"/>
        </w:tabs>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lang w:val="en-US"/>
        </w:rPr>
      </w:pPr>
      <w:r>
        <w:rPr>
          <w:rFonts w:ascii="Times New Roman" w:hAnsi="Times New Roman" w:cs="Times New Roman"/>
        </w:rPr>
        <w:t>Current human resources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_Toc24583150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p>
    <w:p>
      <w:pPr>
        <w:pStyle w:val="10"/>
        <w:pageBreakBefore w:val="0"/>
        <w:tabs>
          <w:tab w:val="right" w:leader="dot" w:pos="8290"/>
        </w:tabs>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lang w:val="en-US"/>
        </w:rPr>
      </w:pPr>
      <w:r>
        <w:rPr>
          <w:rFonts w:ascii="Times New Roman" w:hAnsi="Times New Roman" w:cs="Times New Roman"/>
        </w:rPr>
        <w:t>The strategies for improving the performance of organisation and employees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_Toc24583151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p>
    <w:p>
      <w:pPr>
        <w:pStyle w:val="10"/>
        <w:pageBreakBefore w:val="0"/>
        <w:tabs>
          <w:tab w:val="right" w:leader="dot" w:pos="8290"/>
        </w:tabs>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lang w:val="en-US"/>
        </w:rPr>
      </w:pPr>
      <w:r>
        <w:rPr>
          <w:rFonts w:ascii="Times New Roman" w:hAnsi="Times New Roman" w:cs="Times New Roman"/>
        </w:rPr>
        <w:t>The high performance working environment achieving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_Toc24583152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p>
    <w:p>
      <w:pPr>
        <w:pStyle w:val="10"/>
        <w:pageBreakBefore w:val="0"/>
        <w:tabs>
          <w:tab w:val="right" w:leader="dot" w:pos="8290"/>
        </w:tabs>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lang w:val="en-US"/>
        </w:rPr>
      </w:pPr>
      <w:r>
        <w:rPr>
          <w:rFonts w:ascii="Times New Roman" w:hAnsi="Times New Roman" w:cs="Times New Roman"/>
        </w:rPr>
        <w:t>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_Toc24583153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p>
    <w:p>
      <w:pPr>
        <w:pStyle w:val="10"/>
        <w:pageBreakBefore w:val="0"/>
        <w:tabs>
          <w:tab w:val="right" w:leader="dot" w:pos="8290"/>
        </w:tabs>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lang w:val="en-US"/>
        </w:rPr>
      </w:pPr>
      <w:r>
        <w:rPr>
          <w:rFonts w:ascii="Times New Roman" w:hAnsi="Times New Roman" w:cs="Times New Roman"/>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_Toc24583154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p>
    <w:p>
      <w:pPr>
        <w:pageBreakBefore w:val="0"/>
        <w:widowControl/>
        <w:kinsoku/>
        <w:wordWrap/>
        <w:overflowPunct/>
        <w:topLinePunct w:val="0"/>
        <w:autoSpaceDE/>
        <w:autoSpaceDN/>
        <w:bidi w:val="0"/>
        <w:adjustRightInd/>
        <w:snapToGrid/>
        <w:spacing w:line="480" w:lineRule="auto"/>
        <w:ind w:left="0" w:leftChars="0" w:right="0" w:rightChars="0" w:firstLine="0" w:firstLineChars="0"/>
        <w:jc w:val="left"/>
        <w:textAlignment w:val="auto"/>
        <w:rPr>
          <w:rFonts w:ascii="Times New Roman" w:hAnsi="Times New Roman" w:cs="Times New Roman"/>
          <w:b/>
        </w:rPr>
      </w:pPr>
      <w:r>
        <w:rPr>
          <w:rFonts w:ascii="Times New Roman" w:hAnsi="Times New Roman" w:cs="Times New Roman"/>
          <w:b/>
        </w:rPr>
        <w:fldChar w:fldCharType="end"/>
      </w:r>
      <w:r>
        <w:rPr>
          <w:rFonts w:ascii="Times New Roman" w:hAnsi="Times New Roman" w:cs="Times New Roman"/>
          <w:b/>
        </w:rPr>
        <w:br w:type="page"/>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Style w:val="2"/>
        <w:pageBreakBefore w:val="0"/>
        <w:kinsoku/>
        <w:wordWrap/>
        <w:overflowPunct/>
        <w:topLinePunct w:val="0"/>
        <w:autoSpaceDE/>
        <w:autoSpaceDN/>
        <w:bidi w:val="0"/>
        <w:adjustRightInd/>
        <w:snapToGrid/>
        <w:spacing w:before="0" w:after="0" w:line="480" w:lineRule="auto"/>
        <w:ind w:left="0" w:leftChars="0" w:right="0" w:rightChars="0" w:firstLine="0" w:firstLineChars="0"/>
        <w:textAlignment w:val="auto"/>
        <w:rPr>
          <w:rFonts w:ascii="Times New Roman" w:hAnsi="Times New Roman" w:cs="Times New Roman"/>
        </w:rPr>
      </w:pPr>
      <w:bookmarkStart w:id="2" w:name="_Toc24583148"/>
      <w:r>
        <w:rPr>
          <w:rFonts w:ascii="Times New Roman" w:hAnsi="Times New Roman" w:cs="Times New Roman"/>
        </w:rPr>
        <w:t>Introduction</w:t>
      </w:r>
      <w:bookmarkEnd w:id="2"/>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sz w:val="24"/>
          <w:szCs w:val="24"/>
        </w:rPr>
      </w:pPr>
      <w:r>
        <w:rPr>
          <w:rFonts w:ascii="Times New Roman" w:hAnsi="Times New Roman" w:cs="Times New Roman"/>
          <w:sz w:val="24"/>
          <w:szCs w:val="24"/>
        </w:rPr>
        <w:t xml:space="preserve">At present, many companies seize the opportunity of market development, introduce advanced development technologies, and take the lead in promoting the development of the field. After years of hard work, they have become internationally renowned enterprises. However, in the process of development of many companies' human resources, they also encounter various difficulties in the management of human resources strategy (Syed &amp; Kramar, 2017). The purpose of the report is to solve the problems about the management of human resources in organisation. Firstly, the literature of human resources will be described. Secondly, the current situation of human resources will be illustrated. After that, the strategies for improving the performance of organisation and employees will be discussed. Finally, the high performance working environment achieving will be given. </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b/>
        </w:rPr>
      </w:pPr>
    </w:p>
    <w:p>
      <w:pPr>
        <w:pStyle w:val="2"/>
        <w:pageBreakBefore w:val="0"/>
        <w:kinsoku/>
        <w:wordWrap/>
        <w:overflowPunct/>
        <w:topLinePunct w:val="0"/>
        <w:autoSpaceDE/>
        <w:autoSpaceDN/>
        <w:bidi w:val="0"/>
        <w:adjustRightInd/>
        <w:snapToGrid/>
        <w:spacing w:before="0" w:after="0" w:line="480" w:lineRule="auto"/>
        <w:ind w:left="0" w:leftChars="0" w:right="0" w:rightChars="0" w:firstLine="0" w:firstLineChars="0"/>
        <w:textAlignment w:val="auto"/>
        <w:rPr>
          <w:rFonts w:ascii="Times New Roman" w:hAnsi="Times New Roman" w:cs="Times New Roman"/>
        </w:rPr>
      </w:pPr>
      <w:bookmarkStart w:id="3" w:name="_Toc24583149"/>
      <w:r>
        <w:rPr>
          <w:rFonts w:ascii="Times New Roman" w:hAnsi="Times New Roman" w:cs="Times New Roman"/>
        </w:rPr>
        <w:t>Human resources in organisation</w:t>
      </w:r>
      <w:bookmarkEnd w:id="3"/>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According to Torrington (2017), the human resources strategy refers to systematic analysis and evaluation of the human resource needs, status quo, supply and development trends of the enterprise depending on the enterprise development plan, so as to rationally plan the company's staffing, education and training, personnel transfer and related management policies.</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The establishment of human resources strategic planning requires comprehensive and reasonable predictive analysis to ensure that there are corresponding personnel training systems in its early, medium and long-term development (Hook, 2019). And human resource management needs to develop a reasonable and standardized manpower management system, through internal training, rewards and punishments, etc., to activate the enterprise talent management plan, improve the enterprise talent management system, and thus exert the maximum potential of talents to ensure the human resources implementation schedule requirements. After that, companies need to balance their own development and personal development of employees (Bailey etc al, 2018). The company's development goal is to create the greatest residual value, so the company strives to reduce labour costs. However, employees are also measuring their value while creating value for the company. Besides, enterprises need to provide a good working environment, improve employee productivity, and maximize the interests of the company (Dowling etc al, 2017). In addition, companies should also pay attention to the family life and inner spiritual and cultural needs of each employee, and match the corporate goals and personal development plans to form a common growth mechanism.</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b/>
        </w:rPr>
      </w:pPr>
    </w:p>
    <w:p>
      <w:pPr>
        <w:pStyle w:val="2"/>
        <w:pageBreakBefore w:val="0"/>
        <w:kinsoku/>
        <w:wordWrap/>
        <w:overflowPunct/>
        <w:topLinePunct w:val="0"/>
        <w:autoSpaceDE/>
        <w:autoSpaceDN/>
        <w:bidi w:val="0"/>
        <w:adjustRightInd/>
        <w:snapToGrid/>
        <w:spacing w:before="0" w:after="0" w:line="480" w:lineRule="auto"/>
        <w:ind w:left="0" w:leftChars="0" w:right="0" w:rightChars="0" w:firstLine="0" w:firstLineChars="0"/>
        <w:textAlignment w:val="auto"/>
        <w:rPr>
          <w:rFonts w:ascii="Times New Roman" w:hAnsi="Times New Roman" w:cs="Times New Roman"/>
        </w:rPr>
      </w:pPr>
      <w:bookmarkStart w:id="4" w:name="_Toc24583150"/>
      <w:r>
        <w:rPr>
          <w:rFonts w:ascii="Times New Roman" w:hAnsi="Times New Roman" w:cs="Times New Roman"/>
        </w:rPr>
        <w:t>Current human resources</w:t>
      </w:r>
      <w:bookmarkEnd w:id="4"/>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As the competition in the industry intensifies, the competition of each organisation is essentially the competition of talents (Sparrow etc al, 2017). Under the influence of today's rapid social development and personal ideals, employee mobility is getting higher and higher. In addition, leaders sometimes easily deny employees' labour results and fail to take advantage of their strengths. According to Dessler (2017), the factors of employee turnover are mainly the lack of corporate culture and the experience of employees to leave in order to seek better development so the company experienced a large number of people lost.</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The company's talent recruitment right is not in the HR manager, which has formed a company leadership decision mechanism, resulting in the loss of some highly educated and capable talents and the loss of the company's knowledge costs. And the company's human resources recruitment process is not perfect, and some major mistakes occurred in some links, leading to brain drain (Hook, 2019). In addition, talent recruitment is not efficient enough to recruit the right talent.</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The emerging industries that have emerged in recent years are e-commerce companies, and the age structure of employees is generally young. According to Boselie (2014), most of the employees are between 20 and 30 years old. Most of them enter the enterprise as soon as they graduate. Although the young generation of new generations has injected fresh blood into e-commerce companies, it has also brought many problems. Because these employees are basically just graduated or graduated soon after entering the company, there is greater instability (ibid). At the same time, due to the rapid growth of enterprises in the emerging industry of e-commerce, this has led to a sharp increase in the number of layoffs or digs. So dismissal and job-hopping have become commonplace in most companies (Brewster etc al, 2016).</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Another major feature is the large amount of work information of employees (Hook, 2019). Most of the time employees are involved in the relevant work, it is difficult to take the time and energy to participate in the training related to their work. As a result, most employees lack work ability and related professional qualities. Although in recent years, most organizations have gradually recognized the importance of training, and have carried out corresponding training work. However, due to the lack of advanced training concepts and imperfect training content, the training effect is minimal. In addition, the spread of corporate culture not only allows employees to understand more corporate culture, but also gives employees a stronger sense of mission and honor, and a sense of collective, so as to better serve the organisation (Dessler, 2019). However, most companies neglect the training of the company's culture and value orientation. The training of employees stays in strengthening operational skills, but does not improve to higher areas, so it is difficult to achieve the desired results.</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b/>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The advancement of people is inseparable from the dynamics. Similarly, the rapid development of enterprises requires a complete set of incentive mechanisms (Bailey etc al, 2018). As a general rule, a system of corporate incentives is very important (ibid). However, there are still many problems and loopholes in the incentive mechanism of most companies. Specifically, it mainly includes the reward and punishment system and the compensation system (Brewster etc al, 2016). First of all, most organizations do not have a mandatory reward and punishment mechanism for corporate human resources strategic management and planning. In other words, companies do not stipulate special rewards for actively participating in essential work and achieving excellent results in their work. Similarly, for those employees who are not keen or even able to do their jobs seriously, the company does not stipulate a corresponding punishment mechanism (Sparrow etc al, 2017). As a result, it is difficult for employees to generate high enthusiasm or enthusiasm.</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Furthermore, the salary system in human resource planning is the key and foundation of enterprise growth and development, and it is invaluable in the growth and development of enterprises (Syed &amp; Kramar, 2017). According to Hook (2019), the enterprise compensation system includes two parts: external compensation and internal compensation. External remuneration refers to the remuneration paid by employees, while internal remuneration refers to employee bonuses, benefits, allowances, etc (ibid). However, most of the company's compensation system mainly includes external compensation, ignoring the internal compensation management, which tends to lead to low employee satisfaction, which intensifies the labor-management contradiction and makes the enterprise fall into the dilemma of human resources. And the salary design principles are not appropriate. As one of the forms of distribution value, salary should be designed in accordance with the principle of distribution according to work, efficiency priority, and fairness and sustainable development. However, the current salary of most companies is designed according to the specific rank, and the degree of discrimination is not strong (Sparrow etc al, 2017). In addition, the use of the same set of compensation systems between different departments is likely to cause asymmetry in the rights, responsibilities, and rewards of different departments, employees, and individuals, seriously affecting morale and damaging work enthusiasm (ibid).</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b/>
        </w:rPr>
      </w:pPr>
    </w:p>
    <w:p>
      <w:pPr>
        <w:pStyle w:val="2"/>
        <w:pageBreakBefore w:val="0"/>
        <w:kinsoku/>
        <w:wordWrap/>
        <w:overflowPunct/>
        <w:topLinePunct w:val="0"/>
        <w:autoSpaceDE/>
        <w:autoSpaceDN/>
        <w:bidi w:val="0"/>
        <w:adjustRightInd/>
        <w:snapToGrid/>
        <w:spacing w:before="0" w:after="0" w:line="480" w:lineRule="auto"/>
        <w:ind w:left="0" w:leftChars="0" w:right="0" w:rightChars="0" w:firstLine="0" w:firstLineChars="0"/>
        <w:textAlignment w:val="auto"/>
        <w:rPr>
          <w:rFonts w:ascii="Times New Roman" w:hAnsi="Times New Roman" w:cs="Times New Roman"/>
        </w:rPr>
      </w:pPr>
      <w:bookmarkStart w:id="5" w:name="_Toc24583151"/>
      <w:r>
        <w:rPr>
          <w:rFonts w:ascii="Times New Roman" w:hAnsi="Times New Roman" w:cs="Times New Roman"/>
        </w:rPr>
        <w:t>The strategies for improving the performance of organisation and employees</w:t>
      </w:r>
      <w:bookmarkEnd w:id="5"/>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First, establishing a dedicated human resources management department. Within the existing organizational structure system, a dedicated human resources management department is set up to perform functions such as recruitment, compensation and benefits, and personnel services (Dessler, 2017). In terms of working mechanism, HR staff can be stationed in other departments in various forms, specifically responsible for personnel management of relevant departments, and understand the human resources trends of the department.</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Secondly, establishing a human resources management system. A good human resources management system guarantees that the company can have laws and regulations when it comes to human resource management. Based on the analysis and evaluation of the company's overall human resources status, the company has established a corresponding human resources management system (Brewster etc, al, 2016).</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In addition, the promotion channels for talents will be provided and performance incentives will be improved, and a promotion culture with job performance and work ability will be created as indicators to achieve talents in the system. At the same time, in addition to administrative management positions, the construction of professional and technical sequences should be intensified, so that employees with a lack of administrative skills, but with a long-term skill, also have suitable development space.</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Finally, strengthen the training of diversified talents. According to the company's development strategy, the recruitment of professionals in IT, logistics, finance, legal affairs and related fields should be increased in the future (Dessler, 2019). On the one hand, external talents such as talent market, campus recruitment, headhunting companies, and acquaintances can be attracted to attract external talents with high quality. On the other hand, we will increase the training of internal compound talents, cultivate compound talents from within, and tap the potential of internal talent training.</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The development strategy of the entire enterprise must proceed from the overall situation, determine the macro development strategy, and then formulate a micro development strategy. According to Dowling (2017), the human resources management department shall conduct personnel selection, training and configuration according to the needs of different departments, formulate medium and long-term development plans for the company's human resources management, and establish a suitable unique corporate culture. On the one hand, a company's corporate culture is formed by the accumulation of people and the accumulation of long-term running-in. It is a potential cultural trait of an enterprise. This is obviously different from the serious rules and regulations of the enterprise (Bailey etc al, 2018). If the corporate culture is flexible, the rules and regulations are mandatory, but both are used to manage people. On the other hand, a company's human resource management drives a company's managers to consider the company's unique corporate culture. A good corporate culture can fully unite good employees, and jointly develop the wisdom and creativity that they should have, and attract all kinds of high-quality talents to keep moving closer to the enterprise (Boselie, 2014). Therefore, the human resources department should have two important tasks. The first is to continuously develop new human resource management strategies and implement them. The second is to form an excellent corporate culture and management culture based on the collection of such people. Combine institutional incentives with cultural incentives to promote the forward development of enterprises and the continuous improvement of personnel.</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The company must break through the boundaries of the department in the management of human resources, and managers should not only focus on their own departments. The human resources department of the company needs to jump out of the restrictions of its own department, enter all departments of the whole enterprise, analyze the existing talent distribution of each department, make corresponding talent demand plans, and recruit talents according to the plan (Dessler, 2019). In this way, we can not only grasp the talent demand of the entire enterprise, but also raise the human resources management department to a new height, and truly make a due contribution to the development of the enterprise.</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Style w:val="2"/>
        <w:pageBreakBefore w:val="0"/>
        <w:kinsoku/>
        <w:wordWrap/>
        <w:overflowPunct/>
        <w:topLinePunct w:val="0"/>
        <w:autoSpaceDE/>
        <w:autoSpaceDN/>
        <w:bidi w:val="0"/>
        <w:adjustRightInd/>
        <w:snapToGrid/>
        <w:spacing w:before="0" w:after="0" w:line="480" w:lineRule="auto"/>
        <w:ind w:left="0" w:leftChars="0" w:right="0" w:rightChars="0" w:firstLine="0" w:firstLineChars="0"/>
        <w:textAlignment w:val="auto"/>
        <w:rPr>
          <w:rFonts w:ascii="Times New Roman" w:hAnsi="Times New Roman" w:cs="Times New Roman"/>
        </w:rPr>
      </w:pPr>
      <w:bookmarkStart w:id="6" w:name="_Toc24583152"/>
      <w:r>
        <w:rPr>
          <w:rFonts w:ascii="Times New Roman" w:hAnsi="Times New Roman" w:cs="Times New Roman"/>
        </w:rPr>
        <w:t>The high performance working environment achieving</w:t>
      </w:r>
      <w:bookmarkEnd w:id="6"/>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To correctly implement the overall strategy of talent development, enterprises must first establish a corresponding concept of talent cultivation (Syed &amp; Kramar, 2017). At the same time, competition, motivation and training should be added. Strictly control the introduction and elimination of employees. For the positions and salaries of employees, it is necessary to get up and down, and truly realize the development of talents.</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First of all, the company must establish a correct concept of talent in talent management. At different stages of development and growth, the future development of an enterprise cannot be influenced by a certain talent in a certain position (Sparrow etc al,2017). Therefore, the company should not only emphasize the ability to rule the enterprise, but also highlight the role of the operator. It must also pay attention to the management of the management and the talents who master the technology, so that the wisdom of everyone can be concentrated, the collective wisdom can be exerted, and the overall function of the talent can be exerted. Second, establishing a talent competition mechanism. In order to make choices among many employees, it is necessary to inject appropriate competition mechanisms into the development, selection and use of human resources (Boselie, 2014). Only proper and fierce competition can test the quality of talents, promote the growth of talents, and truly select the talents that a company needs. To better solve this problem, we need to compete. Only in this way can the quality and ability be improved of personnel faster and better.</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Moreover, the introduction of incentive mechanism is to improve the communication system with employees through the improvement of the salary and bonus distribution system, to stimulate the enthusiasm of employees, and to encourage employees to become talents in their own positions and even to cross different positions (Dowling etc al, 2017). For enterprises, the most useful incentives include salary incentives, spiritual incentives, emotional incentives, and adequate role models and exemplary incentives. According to Hook (2019), the most obvious aspect of salary incentives in employee management is the amount of money an employee sends. A good employee can get a higher salary in an ordinary position, while a normal employee, although in a good position, may not be able to get the same salary as an employee in an ordinary position. In the management of employees, it is necessary to fully embody the principle of benefit first and fully reflect the principle of distribution according to work (Foot etc al, 2016).</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Spiritual motivation is to fully affirm the work performance of employees and enhance their sense of honour and participation (Harzing &amp; Pinnington, 2015). At the same time, the company must adhere to the incentive mechanism of both mental and material, psychologically satisfy the needs of employees, stimulate the development of employees, and enhance the personal qualities of employees so that they can become talented quickly. Accordin to Dessler (2019), emotional motivation is also called respect and care motivation. In other words, to treat everyone fairly, perhaps each person has certain differences in qualifications, experience, and so on. However, for the leaders of the company, it is necessary to strengthen communication and respect with employees at all levels, so that the sense of presence of employees is stronger, and the creativity of employees is stimulated, so that they are scrambling and motivated (Hook &amp; Jenkins, 2019).</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Finally, the human resources management department of a company cannot simply recruit talents, but ignores the cultivation of talents. Strengthen the cultivation of talents in the actual use of talents. Establishing the idea of ​​using talents for talents and enhance the awareness of talent cultivation (Harvey etc al, 2014)). On the basis of the introduction of talents, the cultivation and use of talents will be strengthened, so that the introduced talents can quickly adapt to the development of the enterprise and quickly integrate into the corporate culture (Banifield &amp; Royles, 2018).</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If a company wants to invest, it must invest and be willing to invest. Enterprise investment should not only focus on hardware, but also on software. Staff training is an indispensable part of corporate investment (Torrington, 2014). On the basis of employees reaching a certain scale, build a staff training center belonging to their own enterprises (Nieto, 2014). Such as Facebook, establish their own company-specific training institutions, and cultivate their own professional talents for enterprises. In addition, talents in different departments need to be encouraged to become experts in their own positions, so that these employees truly become highly sophisticated personnel in a certain position. According to Kimball (2017), enterprises must come up with certain funds to encourage relevant technical personnel to carry out various studies and become experts in this field. Continuously encourage suitable employees to apply for the degree of the corresponding school to meet the complex talents needed for the development of the enterprise (MCB University Press, 1993). Enterprises can get the source of sustainable development and need a successful talent development strategy that needs to be people-oriented and different from person to person (Beardwell &amp; Thompson, 2017). Through the development and utilization of human resources, discovering, using, and cultivating talents, the company's human resources are rationally allocated and fully utilized, allowing the company to remain invincible in the market competition.</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Style w:val="2"/>
        <w:pageBreakBefore w:val="0"/>
        <w:kinsoku/>
        <w:wordWrap/>
        <w:overflowPunct/>
        <w:topLinePunct w:val="0"/>
        <w:autoSpaceDE/>
        <w:autoSpaceDN/>
        <w:bidi w:val="0"/>
        <w:adjustRightInd/>
        <w:snapToGrid/>
        <w:spacing w:before="0" w:after="0" w:line="480" w:lineRule="auto"/>
        <w:ind w:left="0" w:leftChars="0" w:right="0" w:rightChars="0" w:firstLine="0" w:firstLineChars="0"/>
        <w:textAlignment w:val="auto"/>
        <w:rPr>
          <w:rFonts w:ascii="Times New Roman" w:hAnsi="Times New Roman" w:cs="Times New Roman"/>
        </w:rPr>
      </w:pPr>
      <w:bookmarkStart w:id="7" w:name="_Toc24583153"/>
      <w:r>
        <w:rPr>
          <w:rFonts w:ascii="Times New Roman" w:hAnsi="Times New Roman" w:cs="Times New Roman"/>
        </w:rPr>
        <w:t>Conclusion</w:t>
      </w:r>
      <w:bookmarkEnd w:id="7"/>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The development of an enterprise is inseparable from talent. Highly valued talents, recruiting the right talents, retaining talents and motivating talents are issues that most companies must think deeply. Under the new situation of international competition, if there is no core competitiveness, it is impossible to differentiate products, strategies and approaches, thus inhibiting the development of enterprises themselves and having a great impact on economic development.</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bookmarkStart w:id="9" w:name="_GoBack"/>
      <w:bookmarkEnd w:id="9"/>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Style w:val="2"/>
        <w:pageBreakBefore w:val="0"/>
        <w:kinsoku/>
        <w:wordWrap/>
        <w:overflowPunct/>
        <w:topLinePunct w:val="0"/>
        <w:autoSpaceDE/>
        <w:autoSpaceDN/>
        <w:bidi w:val="0"/>
        <w:adjustRightInd/>
        <w:snapToGrid/>
        <w:spacing w:before="0" w:after="0" w:line="480" w:lineRule="auto"/>
        <w:ind w:left="0" w:leftChars="0" w:right="0" w:rightChars="0" w:firstLine="0" w:firstLineChars="0"/>
        <w:textAlignment w:val="auto"/>
        <w:rPr>
          <w:rFonts w:ascii="Times New Roman" w:hAnsi="Times New Roman" w:cs="Times New Roman"/>
        </w:rPr>
      </w:pPr>
      <w:bookmarkStart w:id="8" w:name="_Toc24583154"/>
      <w:r>
        <w:rPr>
          <w:rFonts w:ascii="Times New Roman" w:hAnsi="Times New Roman" w:cs="Times New Roman"/>
        </w:rPr>
        <w:t>References</w:t>
      </w:r>
      <w:bookmarkEnd w:id="8"/>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Hook, C., 2019, Introducing Human Resource Management, 8th edn, Pearson, Harlow, United Kingdom.</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Academy of Human Resource Development (U.S.) &amp; American Society for Training and Development 1990, "Human resource development quarterly", Human resource development quarterly, [Online], .</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Syed, J. &amp; Kramar, R. 2017, Human resource management: a global and critical perspective, 2nd edn, Macmillan Education, London.</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Torrington, D., Hall, L., Atkinson, Carol (Professor of human resource management) &amp; Taylor, S. 2017, Human resource management, Tenth edn, Pearson, Harlow, England.</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Bailey, C., Mankin, D., Kelliher, C. &amp; Garavan, T. 2018, Strategic human resource management, Second edn, Oxford University Press, Oxford;Oxford, United Kingdom;.</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Michigan Ross School of Business, University of Michigan. Bureau of Industrial Relations, Society for Human Resource Management (U.S.) &amp; University of Michigan. Graduate School of Business Administration "Human resource management", Human resource management, [Online],</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Dowling, P.J., Festing, M. &amp; Engle, A.D., Sr 2017, International human resource management, Seventh edn, Cengage Learning, Australia.</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Sparrow, P., Brewster, C. &amp; Cho</w:t>
      </w:r>
      <w:r>
        <w:rPr>
          <w:rFonts w:ascii="Times New Roman" w:hAnsi="Times New Roman" w:eastAsia="Calibri" w:cs="Times New Roman"/>
        </w:rPr>
        <w:t>̆</w:t>
      </w:r>
      <w:r>
        <w:rPr>
          <w:rFonts w:ascii="Times New Roman" w:hAnsi="Times New Roman" w:cs="Times New Roman"/>
        </w:rPr>
        <w:t>ng, C. 2017;, Globalizing human resource management, Second; edn, Routledge, London, [England];New York, New York;.</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Industrial Relations Services "Human resource management journal", Human resource management journal, [Online], .</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Dessler, G. 2017, Human resource management, Fifteenth;Global; edn, Pearson, Boston.</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Foot, M., Hook, C. &amp; Jenkins, A. 2016;2015;, Introducing human resource management, Seventh edn, Pearson, Harlow, England.</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"Human resource development international", Human resource development international, [Online], .</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Boselie, P. 2014, Strategic human resource management: a balanced approach, 2nd edn, McGraw-Hill Education, London.</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Brewster, C., Houldsworth, E., Sparrow, P. &amp; Vernon, G. 2016, International human resource management, Fourth edn, Chartered Institute of Personnel and Development, London.</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Harzing, A. &amp; Pinnington, A. 2015, International human resource management, Fourth edn, SAGE, Los Angeles.</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Dessler, G. 2019, Fundamentals of human resource management, Fifth, Global edn, Pearson Education, Limited, Harlow;Harlow, England;.</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Hook, C. &amp; Jenkins, A.K. 2019, Introducing human resource management, Eighth edn, Pearson Education Limited, Harlow, United Kingdom.</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O</w:t>
      </w:r>
      <w:r>
        <w:rPr>
          <w:rFonts w:ascii="Times New Roman" w:hAnsi="Times New Roman" w:eastAsia="Calibri" w:cs="Times New Roman"/>
        </w:rPr>
        <w:t>̈</w:t>
      </w:r>
      <w:r>
        <w:rPr>
          <w:rFonts w:ascii="Times New Roman" w:hAnsi="Times New Roman" w:cs="Times New Roman"/>
        </w:rPr>
        <w:t>zbilgin, M., Groutsis, D. &amp; Harvey, W.S. 2014, International human resource management, Cambridge University Press, Melbourne, VIC, Australia;New York;.</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Univerzita Komenského v Bratislave. Fakulta managementu 1998, "Journal of human resource management", Journal of human resource management, [Online], .</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Banfield, P., Kay, R. &amp; Royles, D. 2018, Introduction to human resource management, Third edn, Oxford University Press, Oxford.</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Nieto, M.L. 2014, Human resource management, Palgrave Macmillan, Houndmills, Basingstoke, Hampshire.</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Torrington, D. 2014, Human resource management, Ninth edn, Pearson, Harlow, England.</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Beardwell, J. &amp; Thompson, A. 2017, Human resource management: a contemporary approach, Eighth edn, Pearson, Harlow, England.</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MCB University Press 1993, "Human resource management international digest", Human resource management international digest, [Online], .</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r>
        <w:rPr>
          <w:rFonts w:ascii="Times New Roman" w:hAnsi="Times New Roman" w:cs="Times New Roman"/>
        </w:rPr>
        <w:t>Kimball, D.C. 2017, Cases in human resource management, SAGE, Los Angeles.</w:t>
      </w:r>
    </w:p>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rPr>
          <w:rFonts w:ascii="Times New Roman" w:hAnsi="Times New Roman" w:cs="Times New Roman"/>
        </w:rPr>
      </w:pPr>
    </w:p>
    <w:bookmarkEnd w:id="0"/>
    <w:bookmarkEnd w:id="1"/>
    <w:p>
      <w:pPr>
        <w:pageBreakBefore w:val="0"/>
        <w:kinsoku/>
        <w:wordWrap/>
        <w:overflowPunct/>
        <w:topLinePunct w:val="0"/>
        <w:autoSpaceDE/>
        <w:autoSpaceDN/>
        <w:bidi w:val="0"/>
        <w:adjustRightInd/>
        <w:snapToGrid/>
        <w:spacing w:line="480" w:lineRule="auto"/>
        <w:ind w:left="0" w:leftChars="0" w:right="0" w:rightChars="0" w:firstLine="0" w:firstLineChars="0"/>
        <w:textAlignment w:val="auto"/>
      </w:pPr>
    </w:p>
    <w:sectPr>
      <w:pgSz w:w="11906" w:h="16838"/>
      <w:pgMar w:top="873" w:right="896" w:bottom="816" w:left="896" w:header="851" w:footer="992" w:gutter="0"/>
      <w:cols w:space="0" w:num="1"/>
      <w:rtlGutter w:val="0"/>
      <w:docGrid w:type="lines" w:linePitch="333"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Arial">
    <w:panose1 w:val="020B0604020202090204"/>
    <w:charset w:val="00"/>
    <w:family w:val="auto"/>
    <w:pitch w:val="default"/>
    <w:sig w:usb0="E0000AFF" w:usb1="00007843" w:usb2="00000001" w:usb3="00000000" w:csb0="400001BF" w:csb1="DFF70000"/>
  </w:font>
  <w:font w:name="DengXian Light">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Symbol">
    <w:panose1 w:val="05050102010706020507"/>
    <w:charset w:val="02"/>
    <w:family w:val="roman"/>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Verdana">
    <w:panose1 w:val="020B0604030504040204"/>
    <w:charset w:val="00"/>
    <w:family w:val="swiss"/>
    <w:pitch w:val="default"/>
    <w:sig w:usb0="A10006FF" w:usb1="4000205B" w:usb2="00000010" w:usb3="00000000" w:csb0="2000019F" w:csb1="00000000"/>
  </w:font>
  <w:font w:name="CG Times (WN)">
    <w:altName w:val="苹方-简"/>
    <w:panose1 w:val="00000000000000000000"/>
    <w:charset w:val="00"/>
    <w:family w:val="roman"/>
    <w:pitch w:val="default"/>
    <w:sig w:usb0="00000000" w:usb1="00000000" w:usb2="00000000" w:usb3="00000000" w:csb0="00000001" w:csb1="00000000"/>
  </w:font>
  <w:font w:name="Tahoma">
    <w:panose1 w:val="020B0804030504040204"/>
    <w:charset w:val="00"/>
    <w:family w:val="swiss"/>
    <w:pitch w:val="default"/>
    <w:sig w:usb0="E1002AFF" w:usb1="C000605B" w:usb2="00000029" w:usb3="00000000" w:csb0="200101FF" w:csb1="2028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roman"/>
    <w:pitch w:val="default"/>
    <w:sig w:usb0="00000000" w:usb1="00000000" w:usb2="00000010" w:usb3="00000000" w:csb0="00020000" w:csb1="0000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13B1F"/>
    <w:multiLevelType w:val="multilevel"/>
    <w:tmpl w:val="07B13B1F"/>
    <w:lvl w:ilvl="0" w:tentative="0">
      <w:start w:val="1"/>
      <w:numFmt w:val="bullet"/>
      <w:lvlText w:val=""/>
      <w:lvlJc w:val="left"/>
      <w:pPr>
        <w:ind w:left="360" w:hanging="360"/>
      </w:pPr>
      <w:rPr>
        <w:rFonts w:hint="default" w:ascii="Symbol" w:hAnsi="Symbol"/>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7"/>
  <w:embedSystemFonts/>
  <w:bordersDoNotSurroundHeader w:val="1"/>
  <w:bordersDoNotSurroundFooter w:val="1"/>
  <w:documentProtection w:enforcement="0"/>
  <w:defaultTabStop w:val="420"/>
  <w:drawingGridVerticalSpacing w:val="16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5F5DCDA"/>
    <w:rsid w:val="2D6F8DBF"/>
    <w:rsid w:val="3F6D7D83"/>
    <w:rsid w:val="772FF720"/>
    <w:rsid w:val="972F4772"/>
    <w:rsid w:val="A7FF4F5E"/>
    <w:rsid w:val="D5F5DCDA"/>
    <w:rsid w:val="DBBEF990"/>
    <w:rsid w:val="FEFF86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uiPriority="99" w:name="annotation text"/>
    <w:lsdException w:qFormat="1" w:uiPriority="99"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4"/>
      <w:szCs w:val="24"/>
      <w:lang w:val="en-GB" w:eastAsia="zh-CN" w:bidi="ar-SA"/>
    </w:rPr>
  </w:style>
  <w:style w:type="paragraph" w:styleId="2">
    <w:name w:val="heading 1"/>
    <w:basedOn w:val="1"/>
    <w:next w:val="1"/>
    <w:link w:val="17"/>
    <w:qFormat/>
    <w:uiPriority w:val="9"/>
    <w:pPr>
      <w:keepNext/>
      <w:keepLines/>
      <w:spacing w:before="340" w:after="330" w:line="578" w:lineRule="auto"/>
      <w:outlineLvl w:val="0"/>
    </w:pPr>
    <w:rPr>
      <w:rFonts w:eastAsia="Times New Roman"/>
      <w:b/>
      <w:bCs/>
      <w:kern w:val="44"/>
      <w:sz w:val="28"/>
      <w:szCs w:val="44"/>
    </w:rPr>
  </w:style>
  <w:style w:type="paragraph" w:styleId="3">
    <w:name w:val="heading 2"/>
    <w:basedOn w:val="1"/>
    <w:next w:val="1"/>
    <w:unhideWhenUsed/>
    <w:qFormat/>
    <w:uiPriority w:val="9"/>
    <w:pPr>
      <w:keepNext/>
      <w:jc w:val="both"/>
      <w:outlineLvl w:val="1"/>
    </w:pPr>
    <w:rPr>
      <w:b/>
      <w:sz w:val="24"/>
    </w:rPr>
  </w:style>
  <w:style w:type="paragraph" w:styleId="4">
    <w:name w:val="heading 4"/>
    <w:basedOn w:val="1"/>
    <w:next w:val="1"/>
    <w:unhideWhenUsed/>
    <w:qFormat/>
    <w:uiPriority w:val="9"/>
    <w:pPr>
      <w:keepNext/>
      <w:spacing w:before="120" w:after="120"/>
      <w:jc w:val="center"/>
      <w:outlineLvl w:val="3"/>
    </w:pPr>
    <w:rPr>
      <w:sz w:val="40"/>
    </w:rPr>
  </w:style>
  <w:style w:type="character" w:default="1" w:styleId="15">
    <w:name w:val="Default Paragraph Font"/>
    <w:unhideWhenUsed/>
    <w:qFormat/>
    <w:uiPriority w:val="1"/>
  </w:style>
  <w:style w:type="table" w:default="1" w:styleId="16">
    <w:name w:val="Normal Table"/>
    <w:unhideWhenUsed/>
    <w:qFormat/>
    <w:uiPriority w:val="99"/>
    <w:tblPr>
      <w:tblLayout w:type="fixed"/>
      <w:tblCellMar>
        <w:top w:w="0" w:type="dxa"/>
        <w:left w:w="108" w:type="dxa"/>
        <w:bottom w:w="0" w:type="dxa"/>
        <w:right w:w="108" w:type="dxa"/>
      </w:tblCellMar>
    </w:tblPr>
  </w:style>
  <w:style w:type="paragraph" w:styleId="5">
    <w:name w:val="toc 7"/>
    <w:basedOn w:val="1"/>
    <w:next w:val="1"/>
    <w:unhideWhenUsed/>
    <w:qFormat/>
    <w:uiPriority w:val="39"/>
    <w:pPr>
      <w:ind w:left="1440"/>
    </w:pPr>
  </w:style>
  <w:style w:type="paragraph" w:styleId="6">
    <w:name w:val="toc 5"/>
    <w:basedOn w:val="1"/>
    <w:next w:val="1"/>
    <w:unhideWhenUsed/>
    <w:qFormat/>
    <w:uiPriority w:val="39"/>
    <w:pPr>
      <w:ind w:left="960"/>
    </w:pPr>
  </w:style>
  <w:style w:type="paragraph" w:styleId="7">
    <w:name w:val="toc 3"/>
    <w:basedOn w:val="1"/>
    <w:next w:val="1"/>
    <w:unhideWhenUsed/>
    <w:qFormat/>
    <w:uiPriority w:val="39"/>
    <w:pPr>
      <w:ind w:left="480"/>
    </w:pPr>
  </w:style>
  <w:style w:type="paragraph" w:styleId="8">
    <w:name w:val="toc 8"/>
    <w:basedOn w:val="1"/>
    <w:next w:val="1"/>
    <w:unhideWhenUsed/>
    <w:qFormat/>
    <w:uiPriority w:val="39"/>
    <w:pPr>
      <w:ind w:left="1680"/>
    </w:pPr>
  </w:style>
  <w:style w:type="paragraph" w:styleId="9">
    <w:name w:val="header"/>
    <w:basedOn w:val="1"/>
    <w:unhideWhenUsed/>
    <w:qFormat/>
    <w:uiPriority w:val="99"/>
    <w:pPr>
      <w:tabs>
        <w:tab w:val="center" w:pos="4153"/>
        <w:tab w:val="right" w:pos="8306"/>
      </w:tabs>
    </w:pPr>
  </w:style>
  <w:style w:type="paragraph" w:styleId="10">
    <w:name w:val="toc 1"/>
    <w:basedOn w:val="1"/>
    <w:next w:val="1"/>
    <w:unhideWhenUsed/>
    <w:qFormat/>
    <w:uiPriority w:val="39"/>
  </w:style>
  <w:style w:type="paragraph" w:styleId="11">
    <w:name w:val="toc 4"/>
    <w:basedOn w:val="1"/>
    <w:next w:val="1"/>
    <w:unhideWhenUsed/>
    <w:qFormat/>
    <w:uiPriority w:val="39"/>
    <w:pPr>
      <w:ind w:left="720"/>
    </w:pPr>
  </w:style>
  <w:style w:type="paragraph" w:styleId="12">
    <w:name w:val="toc 6"/>
    <w:basedOn w:val="1"/>
    <w:next w:val="1"/>
    <w:unhideWhenUsed/>
    <w:qFormat/>
    <w:uiPriority w:val="39"/>
    <w:pPr>
      <w:ind w:left="1200"/>
    </w:pPr>
  </w:style>
  <w:style w:type="paragraph" w:styleId="13">
    <w:name w:val="toc 2"/>
    <w:basedOn w:val="1"/>
    <w:next w:val="1"/>
    <w:unhideWhenUsed/>
    <w:qFormat/>
    <w:uiPriority w:val="39"/>
    <w:pPr>
      <w:ind w:left="240"/>
    </w:pPr>
  </w:style>
  <w:style w:type="paragraph" w:styleId="14">
    <w:name w:val="toc 9"/>
    <w:basedOn w:val="1"/>
    <w:next w:val="1"/>
    <w:unhideWhenUsed/>
    <w:qFormat/>
    <w:uiPriority w:val="39"/>
    <w:pPr>
      <w:ind w:left="1920"/>
    </w:pPr>
  </w:style>
  <w:style w:type="character" w:customStyle="1" w:styleId="17">
    <w:name w:val="标题 1字符"/>
    <w:basedOn w:val="15"/>
    <w:link w:val="2"/>
    <w:qFormat/>
    <w:uiPriority w:val="9"/>
    <w:rPr>
      <w:rFonts w:eastAsia="Times New Roman" w:asciiTheme="minorHAnsi" w:hAnsiTheme="minorHAnsi" w:cstheme="minorBidi"/>
      <w:b/>
      <w:bCs/>
      <w:kern w:val="44"/>
      <w:sz w:val="28"/>
      <w:szCs w:val="44"/>
      <w:lang w:val="en-US" w:eastAsia="zh-CN" w:bidi="ar-SA"/>
    </w:rPr>
  </w:style>
  <w:style w:type="paragraph" w:customStyle="1" w:styleId="18">
    <w:name w:val="标题1"/>
    <w:basedOn w:val="1"/>
    <w:next w:val="1"/>
    <w:qFormat/>
    <w:uiPriority w:val="0"/>
    <w:pPr>
      <w:spacing w:before="120" w:after="120"/>
    </w:pPr>
    <w:rPr>
      <w:rFonts w:eastAsia="Times New Roman"/>
      <w:b/>
      <w:sz w:val="28"/>
    </w:rPr>
  </w:style>
  <w:style w:type="paragraph" w:customStyle="1" w:styleId="19">
    <w:name w:val="Style1"/>
    <w:basedOn w:val="1"/>
    <w:uiPriority w:val="0"/>
    <w:pPr>
      <w:overflowPunct w:val="0"/>
      <w:autoSpaceDE w:val="0"/>
      <w:autoSpaceDN w:val="0"/>
      <w:adjustRightInd w:val="0"/>
      <w:textAlignment w:val="baseline"/>
    </w:pPr>
    <w:rPr>
      <w:rFonts w:ascii="Arial" w:hAnsi="Arial"/>
      <w:sz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3413</Words>
  <Characters>19458</Characters>
  <Lines>162</Lines>
  <Paragraphs>45</Paragraphs>
  <ScaleCrop>false</ScaleCrop>
  <LinksUpToDate>false</LinksUpToDate>
  <CharactersWithSpaces>22826</CharactersWithSpaces>
  <Application>WPS Office_1.7.0.2619_F1E327BC-269C-435d-A152-05C5408002CA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2019-11-13T16:15:00Z</dcterms:created>
  <dc:creator>lamlam wong</dc:creator>
  <cp:lastModifiedBy>zqy</cp:lastModifiedBy>
  <dcterms:modified xsi:type="dcterms:W3CDTF">2019-11-15T14:17:18Z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2052-1.7.0.2619</vt:lpwstr>
  </property>
</Properties>
</file>