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Tahoma" w:cs="Tahoma" w:hAnsi="Tahoma" w:eastAsia="Tahoma"/>
          <w:b w:val="1"/>
          <w:bCs w:val="1"/>
          <w:u w:val="single"/>
        </w:rPr>
      </w:pPr>
    </w:p>
    <w:p>
      <w:pPr>
        <w:pStyle w:val="Body"/>
        <w:jc w:val="both"/>
        <w:rPr>
          <w:rFonts w:ascii="Tahoma" w:cs="Tahoma" w:hAnsi="Tahoma" w:eastAsia="Tahoma"/>
          <w:b w:val="1"/>
          <w:bCs w:val="1"/>
          <w:u w:val="single"/>
        </w:rPr>
      </w:pPr>
    </w:p>
    <w:p>
      <w:pPr>
        <w:pStyle w:val="Body"/>
        <w:jc w:val="both"/>
        <w:rPr>
          <w:rFonts w:ascii="Tahoma" w:cs="Tahoma" w:hAnsi="Tahoma" w:eastAsia="Tahoma"/>
          <w:b w:val="1"/>
          <w:bCs w:val="1"/>
          <w:u w:val="single"/>
        </w:rPr>
      </w:pPr>
    </w:p>
    <w:p>
      <w:pPr>
        <w:pStyle w:val="Body"/>
        <w:jc w:val="both"/>
        <w:rPr>
          <w:rFonts w:ascii="Tahoma" w:cs="Tahoma" w:hAnsi="Tahoma" w:eastAsia="Tahoma"/>
          <w:b w:val="1"/>
          <w:bCs w:val="1"/>
          <w:u w:val="single"/>
        </w:rPr>
      </w:pPr>
      <w:r>
        <w:rPr>
          <w:rFonts w:ascii="Tahoma" w:hAnsi="Tahoma"/>
          <w:b w:val="1"/>
          <w:bCs w:val="1"/>
          <w:u w:val="single"/>
          <w:rtl w:val="0"/>
          <w:lang w:val="es-ES_tradnl"/>
        </w:rPr>
        <w:t xml:space="preserve">LEVEL 4 </w:t>
      </w:r>
      <w:r>
        <w:rPr>
          <w:rFonts w:ascii="Tahoma" w:hAnsi="Tahoma" w:hint="default"/>
          <w:b w:val="1"/>
          <w:bCs w:val="1"/>
          <w:u w:val="single"/>
          <w:rtl w:val="0"/>
          <w:lang w:val="en-US"/>
        </w:rPr>
        <w:t>–</w:t>
      </w:r>
      <w:r>
        <w:rPr>
          <w:rFonts w:ascii="Tahoma" w:hAnsi="Tahoma"/>
          <w:b w:val="1"/>
          <w:bCs w:val="1"/>
          <w:u w:val="single"/>
          <w:rtl w:val="0"/>
          <w:lang w:val="en-US"/>
        </w:rPr>
        <w:t xml:space="preserve"> Student Journal (750 words)</w:t>
      </w:r>
    </w:p>
    <w:p>
      <w:pPr>
        <w:pStyle w:val="Body"/>
        <w:jc w:val="both"/>
        <w:rPr>
          <w:rFonts w:ascii="Tahoma" w:cs="Tahoma" w:hAnsi="Tahoma" w:eastAsia="Tahoma"/>
          <w:b w:val="1"/>
          <w:bCs w:val="1"/>
          <w:u w:val="single"/>
        </w:rPr>
      </w:pPr>
    </w:p>
    <w:p>
      <w:pPr>
        <w:pStyle w:val="Body"/>
        <w:jc w:val="both"/>
        <w:rPr>
          <w:rFonts w:ascii="Tahoma" w:cs="Tahoma" w:hAnsi="Tahoma" w:eastAsia="Tahoma"/>
        </w:rPr>
      </w:pPr>
      <w:r>
        <w:rPr>
          <w:rFonts w:ascii="Tahoma" w:hAnsi="Tahoma"/>
          <w:rtl w:val="0"/>
          <w:lang w:val="en-US"/>
        </w:rPr>
        <w:t>You are required to complete a journal entry to capture the learning experience and knowledge you have acquiring during a particular lecture.  You may choose from the following topics:</w:t>
      </w:r>
    </w:p>
    <w:p>
      <w:pPr>
        <w:pStyle w:val="Normal (Web)"/>
        <w:numPr>
          <w:ilvl w:val="0"/>
          <w:numId w:val="2"/>
        </w:numPr>
        <w:bidi w:val="0"/>
        <w:ind w:right="0"/>
        <w:jc w:val="left"/>
        <w:rPr>
          <w:rFonts w:ascii="Cambria" w:hAnsi="Cambria"/>
          <w:rtl w:val="0"/>
          <w:lang w:val="en-US"/>
        </w:rPr>
      </w:pPr>
      <w:r>
        <w:rPr>
          <w:rFonts w:ascii="Calibri" w:hAnsi="Calibri"/>
          <w:rtl w:val="0"/>
          <w:lang w:val="en-US"/>
        </w:rPr>
        <w:t xml:space="preserve">Allergies and Intolerances and the importance within the industry </w:t>
      </w:r>
    </w:p>
    <w:p>
      <w:pPr>
        <w:pStyle w:val="Normal (Web)"/>
        <w:numPr>
          <w:ilvl w:val="0"/>
          <w:numId w:val="2"/>
        </w:numPr>
        <w:bidi w:val="0"/>
        <w:ind w:right="0"/>
        <w:jc w:val="left"/>
        <w:rPr>
          <w:rFonts w:ascii="Cambria" w:hAnsi="Cambria"/>
          <w:rtl w:val="0"/>
          <w:lang w:val="en-US"/>
        </w:rPr>
      </w:pPr>
      <w:r>
        <w:rPr>
          <w:rFonts w:ascii="Calibri" w:hAnsi="Calibri"/>
          <w:rtl w:val="0"/>
          <w:lang w:val="en-US"/>
        </w:rPr>
        <w:t xml:space="preserve">Ratings, Inspections and Reporting Procedures </w:t>
      </w:r>
    </w:p>
    <w:p>
      <w:pPr>
        <w:pStyle w:val="Body"/>
        <w:jc w:val="both"/>
        <w:rPr>
          <w:rFonts w:ascii="Tahoma" w:cs="Tahoma" w:hAnsi="Tahoma" w:eastAsia="Tahoma"/>
        </w:rPr>
      </w:pPr>
    </w:p>
    <w:p>
      <w:pPr>
        <w:pStyle w:val="Body"/>
        <w:jc w:val="both"/>
        <w:rPr>
          <w:rFonts w:ascii="Tahoma" w:cs="Tahoma" w:hAnsi="Tahoma" w:eastAsia="Tahoma"/>
        </w:rPr>
      </w:pPr>
      <w:r>
        <w:rPr>
          <w:rFonts w:ascii="Tahoma" w:hAnsi="Tahoma"/>
          <w:rtl w:val="0"/>
          <w:lang w:val="en-US"/>
        </w:rPr>
        <w:t xml:space="preserve">Consider the appropriate lectures. What was the topic and what have you learnt? Provide a </w:t>
      </w:r>
      <w:r>
        <w:rPr>
          <w:rFonts w:ascii="Tahoma" w:hAnsi="Tahoma"/>
          <w:b w:val="1"/>
          <w:bCs w:val="1"/>
          <w:rtl w:val="0"/>
          <w:lang w:val="en-US"/>
        </w:rPr>
        <w:t>brief summary</w:t>
      </w:r>
      <w:r>
        <w:rPr>
          <w:rFonts w:ascii="Tahoma" w:hAnsi="Tahoma"/>
          <w:rtl w:val="0"/>
          <w:lang w:val="en-US"/>
        </w:rPr>
        <w:t xml:space="preserve">. What </w:t>
      </w:r>
      <w:r>
        <w:rPr>
          <w:rFonts w:ascii="Tahoma" w:hAnsi="Tahoma"/>
          <w:b w:val="1"/>
          <w:bCs w:val="1"/>
          <w:rtl w:val="0"/>
          <w:lang w:val="en-US"/>
        </w:rPr>
        <w:t>new skills / knowledge have you acquired</w:t>
      </w:r>
      <w:r>
        <w:rPr>
          <w:rFonts w:ascii="Tahoma" w:hAnsi="Tahoma"/>
          <w:rtl w:val="0"/>
          <w:lang w:val="en-US"/>
        </w:rPr>
        <w:t xml:space="preserve">? How will you </w:t>
      </w:r>
      <w:r>
        <w:rPr>
          <w:rFonts w:ascii="Tahoma" w:hAnsi="Tahoma"/>
          <w:b w:val="1"/>
          <w:bCs w:val="1"/>
          <w:rtl w:val="0"/>
          <w:lang w:val="en-US"/>
        </w:rPr>
        <w:t>apply your knowledge in the future</w:t>
      </w:r>
      <w:r>
        <w:rPr>
          <w:rFonts w:ascii="Tahoma" w:hAnsi="Tahoma"/>
          <w:rtl w:val="0"/>
          <w:lang w:val="en-US"/>
        </w:rPr>
        <w:t xml:space="preserve">? What are your </w:t>
      </w:r>
      <w:r>
        <w:rPr>
          <w:rFonts w:ascii="Tahoma" w:hAnsi="Tahoma"/>
          <w:b w:val="1"/>
          <w:bCs w:val="1"/>
          <w:rtl w:val="0"/>
          <w:lang w:val="en-US"/>
        </w:rPr>
        <w:t>personal reflections</w:t>
      </w:r>
      <w:r>
        <w:rPr>
          <w:rFonts w:ascii="Tahoma" w:hAnsi="Tahoma"/>
          <w:rtl w:val="0"/>
          <w:lang w:val="en-US"/>
        </w:rPr>
        <w:t xml:space="preserve"> on the subject? Why is this </w:t>
      </w:r>
      <w:r>
        <w:rPr>
          <w:rFonts w:ascii="Tahoma" w:hAnsi="Tahoma"/>
          <w:b w:val="1"/>
          <w:bCs w:val="1"/>
          <w:rtl w:val="0"/>
          <w:lang w:val="en-US"/>
        </w:rPr>
        <w:t>topic important within the industry</w:t>
      </w:r>
      <w:r>
        <w:rPr>
          <w:rFonts w:ascii="Tahoma" w:hAnsi="Tahoma"/>
          <w:rtl w:val="0"/>
          <w:lang w:val="en-US"/>
        </w:rPr>
        <w:t xml:space="preserve">? Provide </w:t>
      </w:r>
      <w:r>
        <w:rPr>
          <w:rFonts w:ascii="Tahoma" w:hAnsi="Tahoma"/>
          <w:b w:val="1"/>
          <w:bCs w:val="1"/>
          <w:rtl w:val="0"/>
          <w:lang w:val="en-US"/>
        </w:rPr>
        <w:t>evidence of further reading</w:t>
      </w:r>
      <w:r>
        <w:rPr>
          <w:rFonts w:ascii="Tahoma" w:hAnsi="Tahoma"/>
          <w:rtl w:val="0"/>
          <w:lang w:val="en-US"/>
        </w:rPr>
        <w:t>. Include a minimum of 5 references.</w:t>
      </w:r>
    </w:p>
    <w:p>
      <w:pPr>
        <w:pStyle w:val="Body"/>
        <w:rPr>
          <w:rFonts w:ascii="Tahoma" w:cs="Tahoma" w:hAnsi="Tahoma" w:eastAsia="Tahoma"/>
          <w:sz w:val="20"/>
          <w:szCs w:val="20"/>
        </w:rPr>
      </w:pPr>
    </w:p>
    <w:tbl>
      <w:tblPr>
        <w:tblW w:w="1118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87"/>
        <w:gridCol w:w="7195"/>
      </w:tblGrid>
      <w:tr>
        <w:tblPrEx>
          <w:shd w:val="clear" w:color="auto" w:fill="ced7e7"/>
        </w:tblPrEx>
        <w:trPr>
          <w:trHeight w:val="979" w:hRule="atLeast"/>
        </w:trPr>
        <w:tc>
          <w:tcPr>
            <w:tcW w:type="dxa" w:w="3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top"/>
          </w:tcPr>
          <w:p>
            <w:pPr>
              <w:pStyle w:val="Body"/>
              <w:rPr>
                <w:rFonts w:ascii="Tahoma" w:cs="Tahoma" w:hAnsi="Tahoma" w:eastAsia="Tahoma"/>
                <w:b w:val="1"/>
                <w:bCs w:val="1"/>
                <w:sz w:val="20"/>
                <w:szCs w:val="20"/>
                <w:shd w:val="nil" w:color="auto" w:fill="auto"/>
              </w:rPr>
            </w:pPr>
            <w:r>
              <w:rPr>
                <w:rFonts w:ascii="Tahoma" w:hAnsi="Tahoma"/>
                <w:b w:val="1"/>
                <w:bCs w:val="1"/>
                <w:sz w:val="20"/>
                <w:szCs w:val="20"/>
                <w:shd w:val="nil" w:color="auto" w:fill="auto"/>
                <w:rtl w:val="0"/>
                <w:lang w:val="en-US"/>
              </w:rPr>
              <w:t xml:space="preserve">Student Name: </w:t>
            </w:r>
            <w:r>
              <w:rPr>
                <w:rFonts w:ascii="Helvetica Neue" w:hAnsi="Helvetica Neue"/>
                <w:b w:val="0"/>
                <w:bCs w:val="0"/>
                <w:sz w:val="16"/>
                <w:szCs w:val="16"/>
                <w:shd w:val="nil" w:color="auto" w:fill="auto"/>
                <w:rtl w:val="0"/>
                <w:lang w:val="en-US"/>
              </w:rPr>
              <w:t>Tamanna Siddiqua</w:t>
            </w:r>
          </w:p>
          <w:p>
            <w:pPr>
              <w:pStyle w:val="Body"/>
              <w:rPr>
                <w:rFonts w:ascii="Tahoma" w:cs="Tahoma" w:hAnsi="Tahoma" w:eastAsia="Tahoma"/>
                <w:b w:val="1"/>
                <w:bCs w:val="1"/>
                <w:sz w:val="20"/>
                <w:szCs w:val="20"/>
                <w:shd w:val="nil" w:color="auto" w:fill="auto"/>
                <w:lang w:val="en-US"/>
              </w:rPr>
            </w:pPr>
          </w:p>
          <w:p>
            <w:pPr>
              <w:pStyle w:val="Body"/>
              <w:bidi w:val="0"/>
              <w:ind w:left="0" w:right="0" w:firstLine="0"/>
              <w:jc w:val="left"/>
              <w:rPr>
                <w:rtl w:val="0"/>
              </w:rPr>
            </w:pPr>
            <w:r>
              <w:rPr>
                <w:rFonts w:ascii="Tahoma" w:hAnsi="Tahoma"/>
                <w:b w:val="1"/>
                <w:bCs w:val="1"/>
                <w:sz w:val="20"/>
                <w:szCs w:val="20"/>
                <w:shd w:val="nil" w:color="auto" w:fill="auto"/>
                <w:rtl w:val="0"/>
                <w:lang w:val="en-US"/>
              </w:rPr>
              <w:t xml:space="preserve">Student Number: </w:t>
            </w:r>
            <w:r>
              <w:rPr>
                <w:rStyle w:val="Hyperlink.0"/>
                <w:rFonts w:ascii="Helvetica Neue" w:cs="Helvetica Neue" w:hAnsi="Helvetica Neue" w:eastAsia="Helvetica Neue"/>
                <w:b w:val="0"/>
                <w:bCs w:val="0"/>
                <w:sz w:val="16"/>
                <w:szCs w:val="16"/>
                <w:shd w:val="nil" w:color="auto" w:fill="auto"/>
                <w:lang w:val="en-US"/>
              </w:rPr>
              <w:fldChar w:fldCharType="begin" w:fldLock="0"/>
            </w:r>
            <w:r>
              <w:rPr>
                <w:rStyle w:val="Hyperlink.0"/>
                <w:rFonts w:ascii="Helvetica Neue" w:cs="Helvetica Neue" w:hAnsi="Helvetica Neue" w:eastAsia="Helvetica Neue"/>
                <w:b w:val="0"/>
                <w:bCs w:val="0"/>
                <w:sz w:val="16"/>
                <w:szCs w:val="16"/>
                <w:shd w:val="nil" w:color="auto" w:fill="auto"/>
                <w:lang w:val="en-US"/>
              </w:rPr>
              <w:instrText xml:space="preserve"> HYPERLINK "mailto:2029570@student.uwtsd.ac.uk"</w:instrText>
            </w:r>
            <w:r>
              <w:rPr>
                <w:rStyle w:val="Hyperlink.0"/>
                <w:rFonts w:ascii="Helvetica Neue" w:cs="Helvetica Neue" w:hAnsi="Helvetica Neue" w:eastAsia="Helvetica Neue"/>
                <w:b w:val="0"/>
                <w:bCs w:val="0"/>
                <w:sz w:val="16"/>
                <w:szCs w:val="16"/>
                <w:shd w:val="nil" w:color="auto" w:fill="auto"/>
                <w:lang w:val="en-US"/>
              </w:rPr>
              <w:fldChar w:fldCharType="separate" w:fldLock="0"/>
            </w:r>
            <w:r>
              <w:rPr>
                <w:rStyle w:val="Hyperlink.0"/>
                <w:rFonts w:ascii="Helvetica Neue" w:hAnsi="Helvetica Neue"/>
                <w:b w:val="0"/>
                <w:bCs w:val="0"/>
                <w:sz w:val="16"/>
                <w:szCs w:val="16"/>
                <w:shd w:val="nil" w:color="auto" w:fill="auto"/>
                <w:rtl w:val="0"/>
                <w:lang w:val="en-US"/>
              </w:rPr>
              <w:t>2029570</w:t>
            </w:r>
            <w:r>
              <w:rPr>
                <w:rFonts w:ascii="Tahoma" w:cs="Tahoma" w:hAnsi="Tahoma" w:eastAsia="Tahoma"/>
                <w:b w:val="1"/>
                <w:bCs w:val="1"/>
                <w:sz w:val="20"/>
                <w:szCs w:val="20"/>
              </w:rPr>
              <w:fldChar w:fldCharType="end" w:fldLock="0"/>
            </w:r>
            <w:r>
              <w:rPr>
                <w:rFonts w:ascii="Tahoma" w:cs="Tahoma" w:hAnsi="Tahoma" w:eastAsia="Tahoma"/>
                <w:b w:val="1"/>
                <w:bCs w:val="1"/>
                <w:sz w:val="20"/>
                <w:szCs w:val="20"/>
                <w:shd w:val="nil" w:color="auto" w:fill="auto"/>
              </w:rPr>
            </w:r>
          </w:p>
        </w:tc>
        <w:tc>
          <w:tcPr>
            <w:tcW w:type="dxa" w:w="71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8db3e2"/>
            <w:tcMar>
              <w:top w:type="dxa" w:w="80"/>
              <w:left w:type="dxa" w:w="80"/>
              <w:bottom w:type="dxa" w:w="80"/>
              <w:right w:type="dxa" w:w="80"/>
            </w:tcMar>
            <w:vAlign w:val="top"/>
          </w:tcPr>
          <w:p>
            <w:pPr>
              <w:pStyle w:val="Body"/>
              <w:rPr>
                <w:rFonts w:ascii="Tahoma" w:cs="Tahoma" w:hAnsi="Tahoma" w:eastAsia="Tahoma"/>
                <w:b w:val="1"/>
                <w:bCs w:val="1"/>
                <w:sz w:val="20"/>
                <w:szCs w:val="20"/>
                <w:shd w:val="nil" w:color="auto" w:fill="auto"/>
              </w:rPr>
            </w:pPr>
            <w:r>
              <w:rPr>
                <w:rFonts w:ascii="Tahoma" w:hAnsi="Tahoma"/>
                <w:b w:val="1"/>
                <w:bCs w:val="1"/>
                <w:sz w:val="20"/>
                <w:szCs w:val="20"/>
                <w:shd w:val="nil" w:color="auto" w:fill="auto"/>
                <w:rtl w:val="0"/>
                <w:lang w:val="en-US"/>
              </w:rPr>
              <w:t xml:space="preserve">Module: </w:t>
            </w:r>
            <w:r>
              <w:rPr>
                <w:rFonts w:ascii="Helvetica Neue" w:hAnsi="Helvetica Neue"/>
                <w:b w:val="0"/>
                <w:bCs w:val="0"/>
                <w:sz w:val="16"/>
                <w:szCs w:val="16"/>
                <w:shd w:val="nil" w:color="auto" w:fill="auto"/>
                <w:rtl w:val="0"/>
                <w:lang w:val="en-US"/>
              </w:rPr>
              <w:t>Food and Beverage Operations</w:t>
            </w:r>
          </w:p>
          <w:p>
            <w:pPr>
              <w:pStyle w:val="Body"/>
              <w:rPr>
                <w:rFonts w:ascii="Tahoma" w:cs="Tahoma" w:hAnsi="Tahoma" w:eastAsia="Tahoma"/>
                <w:b w:val="1"/>
                <w:bCs w:val="1"/>
                <w:shd w:val="nil" w:color="auto" w:fill="auto"/>
                <w:lang w:val="en-US"/>
              </w:rPr>
            </w:pPr>
          </w:p>
          <w:p>
            <w:pPr>
              <w:pStyle w:val="Body"/>
              <w:bidi w:val="0"/>
              <w:ind w:left="0" w:right="0" w:firstLine="0"/>
              <w:jc w:val="left"/>
              <w:rPr>
                <w:rtl w:val="0"/>
              </w:rPr>
            </w:pPr>
            <w:r>
              <w:rPr>
                <w:rFonts w:ascii="Tahoma" w:hAnsi="Tahoma"/>
                <w:b w:val="1"/>
                <w:bCs w:val="1"/>
                <w:sz w:val="20"/>
                <w:szCs w:val="20"/>
                <w:shd w:val="nil" w:color="auto" w:fill="auto"/>
                <w:rtl w:val="0"/>
                <w:lang w:val="en-US"/>
              </w:rPr>
              <w:t xml:space="preserve">Lecturer: </w:t>
            </w:r>
          </w:p>
        </w:tc>
      </w:tr>
    </w:tbl>
    <w:p>
      <w:pPr>
        <w:pStyle w:val="Body"/>
        <w:widowControl w:val="0"/>
        <w:rPr>
          <w:rFonts w:ascii="Tahoma" w:cs="Tahoma" w:hAnsi="Tahoma" w:eastAsia="Tahoma"/>
          <w:sz w:val="20"/>
          <w:szCs w:val="20"/>
        </w:rPr>
      </w:pPr>
    </w:p>
    <w:p>
      <w:pPr>
        <w:pStyle w:val="Body"/>
        <w:rPr>
          <w:rFonts w:ascii="Tahoma" w:cs="Tahoma" w:hAnsi="Tahoma" w:eastAsia="Tahoma"/>
          <w:sz w:val="20"/>
          <w:szCs w:val="20"/>
        </w:rPr>
      </w:pPr>
    </w:p>
    <w:tbl>
      <w:tblPr>
        <w:tblW w:w="1118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83"/>
        <w:gridCol w:w="7199"/>
      </w:tblGrid>
      <w:tr>
        <w:tblPrEx>
          <w:shd w:val="clear" w:color="auto" w:fill="ced7e7"/>
        </w:tblPrEx>
        <w:trPr>
          <w:trHeight w:val="734" w:hRule="atLeast"/>
        </w:trPr>
        <w:tc>
          <w:tcPr>
            <w:tcW w:type="dxa" w:w="39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bd4b4"/>
            <w:tcMar>
              <w:top w:type="dxa" w:w="80"/>
              <w:left w:type="dxa" w:w="80"/>
              <w:bottom w:type="dxa" w:w="80"/>
              <w:right w:type="dxa" w:w="80"/>
            </w:tcMar>
            <w:vAlign w:val="top"/>
          </w:tcPr>
          <w:p>
            <w:pPr>
              <w:pStyle w:val="Body"/>
            </w:pPr>
            <w:r>
              <w:rPr>
                <w:rFonts w:ascii="Tahoma" w:hAnsi="Tahoma"/>
                <w:b w:val="1"/>
                <w:bCs w:val="1"/>
                <w:sz w:val="20"/>
                <w:szCs w:val="20"/>
                <w:shd w:val="nil" w:color="auto" w:fill="auto"/>
                <w:rtl w:val="0"/>
                <w:lang w:val="en-US"/>
              </w:rPr>
              <w:t xml:space="preserve">Topic of choice: </w:t>
            </w:r>
            <w:r>
              <w:rPr>
                <w:rFonts w:ascii="Helvetica Neue" w:hAnsi="Helvetica Neue"/>
                <w:b w:val="0"/>
                <w:bCs w:val="0"/>
                <w:sz w:val="16"/>
                <w:szCs w:val="16"/>
                <w:shd w:val="nil" w:color="auto" w:fill="auto"/>
                <w:rtl w:val="0"/>
                <w:lang w:val="en-US"/>
              </w:rPr>
              <w:t>Allergies and Intolerances and the importance within the industry</w:t>
            </w:r>
            <w:r>
              <w:rPr>
                <w:rFonts w:ascii="Tahoma" w:cs="Tahoma" w:hAnsi="Tahoma" w:eastAsia="Tahoma"/>
                <w:b w:val="1"/>
                <w:bCs w:val="1"/>
                <w:sz w:val="20"/>
                <w:szCs w:val="20"/>
                <w:shd w:val="nil" w:color="auto" w:fill="auto"/>
              </w:rPr>
            </w:r>
          </w:p>
        </w:tc>
        <w:tc>
          <w:tcPr>
            <w:tcW w:type="dxa" w:w="71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bd4b4"/>
            <w:tcMar>
              <w:top w:type="dxa" w:w="80"/>
              <w:left w:type="dxa" w:w="80"/>
              <w:bottom w:type="dxa" w:w="80"/>
              <w:right w:type="dxa" w:w="80"/>
            </w:tcMar>
            <w:vAlign w:val="top"/>
          </w:tcPr>
          <w:p>
            <w:pPr>
              <w:pStyle w:val="Body"/>
              <w:rPr>
                <w:rFonts w:ascii="Tahoma" w:cs="Tahoma" w:hAnsi="Tahoma" w:eastAsia="Tahoma"/>
                <w:b w:val="1"/>
                <w:bCs w:val="1"/>
                <w:sz w:val="20"/>
                <w:szCs w:val="20"/>
                <w:shd w:val="nil" w:color="auto" w:fill="auto"/>
                <w:lang w:val="en-US"/>
              </w:rPr>
            </w:pPr>
          </w:p>
          <w:p>
            <w:pPr>
              <w:pStyle w:val="Body"/>
              <w:jc w:val="center"/>
            </w:pPr>
            <w:r>
              <w:rPr>
                <w:rFonts w:ascii="Tahoma" w:cs="Tahoma" w:hAnsi="Tahoma" w:eastAsia="Tahoma"/>
                <w:b w:val="1"/>
                <w:bCs w:val="1"/>
                <w:sz w:val="20"/>
                <w:szCs w:val="20"/>
                <w:shd w:val="nil" w:color="auto" w:fill="auto"/>
                <w:lang w:val="en-US"/>
              </w:rPr>
            </w:r>
          </w:p>
        </w:tc>
      </w:tr>
      <w:tr>
        <w:tblPrEx>
          <w:shd w:val="clear" w:color="auto" w:fill="ced7e7"/>
        </w:tblPrEx>
        <w:trPr>
          <w:trHeight w:val="14392" w:hRule="atLeast"/>
        </w:trPr>
        <w:tc>
          <w:tcPr>
            <w:tcW w:type="dxa" w:w="1118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rPr>
                <w:rFonts w:ascii="Times Roman" w:cs="Times Roman" w:hAnsi="Times Roman" w:eastAsia="Times Roman"/>
                <w:sz w:val="18"/>
                <w:szCs w:val="18"/>
                <w:shd w:val="nil" w:color="auto" w:fill="auto"/>
                <w:lang w:val="en-US"/>
              </w:rPr>
            </w:pP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Understanding individual customer needs and wants has always been at the heart of the hospitality industry and being able to deliver on them, an ongoing mission. Customer needs and wants aren</w:t>
            </w:r>
            <w:r>
              <w:rPr>
                <w:rFonts w:ascii="Arial" w:hAnsi="Arial" w:hint="default"/>
                <w:sz w:val="28"/>
                <w:szCs w:val="28"/>
                <w:shd w:val="nil" w:color="auto" w:fill="auto"/>
                <w:rtl w:val="0"/>
                <w:lang w:val="en-US"/>
              </w:rPr>
              <w:t>’</w:t>
            </w:r>
            <w:r>
              <w:rPr>
                <w:rFonts w:ascii="Arial" w:hAnsi="Arial"/>
                <w:sz w:val="28"/>
                <w:szCs w:val="28"/>
                <w:shd w:val="nil" w:color="auto" w:fill="auto"/>
                <w:rtl w:val="0"/>
                <w:lang w:val="en-US"/>
              </w:rPr>
              <w:t>t just about providing a luxury experience, but instead it</w:t>
            </w:r>
            <w:r>
              <w:rPr>
                <w:rFonts w:ascii="Arial" w:hAnsi="Arial" w:hint="default"/>
                <w:sz w:val="28"/>
                <w:szCs w:val="28"/>
                <w:shd w:val="nil" w:color="auto" w:fill="auto"/>
                <w:rtl w:val="0"/>
                <w:lang w:val="en-US"/>
              </w:rPr>
              <w:t>’</w:t>
            </w:r>
            <w:r>
              <w:rPr>
                <w:rFonts w:ascii="Arial" w:hAnsi="Arial"/>
                <w:sz w:val="28"/>
                <w:szCs w:val="28"/>
                <w:shd w:val="nil" w:color="auto" w:fill="auto"/>
                <w:rtl w:val="0"/>
                <w:lang w:val="en-US"/>
              </w:rPr>
              <w:t xml:space="preserve">s really about providing an environment, which allows your customer to well and truly relax, trusting that the experience by the hotelier is indeed the right one for them, especially their health and wellbeing needs. </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Times New Roman" w:cs="Times New Roman" w:hAnsi="Times New Roman" w:eastAsia="Times New Roman"/>
                <w:sz w:val="24"/>
                <w:szCs w:val="24"/>
                <w:shd w:val="nil" w:color="auto" w:fill="auto"/>
                <w:lang w:val="en-US"/>
              </w:rPr>
              <w:br w:type="textWrapping"/>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This can mean several things but, in this context, we are talking about identifying, recording, and delivering a tailored service to meet individual customer dietary needs. We may ask ourselves why this is important? If a customer is allergic to a certain type of food and expresses this information when arriving at the hotel, it become the role and reasonability of the hotelier to ensure this managed in the right way whilst the customer stay.</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Times New Roman" w:cs="Times New Roman" w:hAnsi="Times New Roman" w:eastAsia="Times New Roman"/>
                <w:sz w:val="24"/>
                <w:szCs w:val="24"/>
                <w:shd w:val="nil" w:color="auto" w:fill="auto"/>
                <w:lang w:val="en-US"/>
              </w:rPr>
              <w:br w:type="textWrapping"/>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In fact, over the last 15 years is estimated that hospital admissions for food allergies have risen by 500%. It is also estimated by the FSA that 10 people in the UK die every year from allergy related reaction to food and that 2.4 million cases of food borne disease in the UK 2018 were attributed to allergy related reaction to food.</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Times New Roman" w:cs="Times New Roman" w:hAnsi="Times New Roman" w:eastAsia="Times New Roman"/>
                <w:sz w:val="24"/>
                <w:szCs w:val="24"/>
                <w:shd w:val="nil" w:color="auto" w:fill="auto"/>
                <w:lang w:val="en-US"/>
              </w:rPr>
              <w:br w:type="textWrapping"/>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So, how many allergies are there? Well, there are more than 160 foods that can potentially cause allergic reaction in people that have food allergies. The most common include celery, cereals containing gluten, eggs, fish, milk, peanuts, sesame seeds, soya and Sulpher dioxide.</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Times New Roman" w:cs="Times New Roman" w:hAnsi="Times New Roman" w:eastAsia="Times New Roman"/>
                <w:sz w:val="24"/>
                <w:szCs w:val="24"/>
                <w:shd w:val="nil" w:color="auto" w:fill="auto"/>
                <w:lang w:val="en-US"/>
              </w:rPr>
              <w:br w:type="textWrapping"/>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According to the European Parliament and of the Council, 2011, all food business operators must provide the right allergen information and follow the correct labelling rules as set out in food law.</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Times New Roman" w:cs="Times New Roman" w:hAnsi="Times New Roman" w:eastAsia="Times New Roman"/>
                <w:sz w:val="24"/>
                <w:szCs w:val="24"/>
                <w:shd w:val="nil" w:color="auto" w:fill="auto"/>
                <w:lang w:val="en-US"/>
              </w:rPr>
              <w:br w:type="textWrapping"/>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This means that all food business operators must provide the right allergen information to customers when selling prepacked and non-repacked (loose) food and drink. It also incumbent on food businesses to make sure that staff receive the right training on allergens.</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Times New Roman" w:cs="Times New Roman" w:hAnsi="Times New Roman" w:eastAsia="Times New Roman"/>
                <w:sz w:val="24"/>
                <w:szCs w:val="24"/>
                <w:shd w:val="nil" w:color="auto" w:fill="auto"/>
                <w:lang w:val="en-US"/>
              </w:rPr>
              <w:br w:type="textWrapping"/>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This is so important considering the history where food business operator have failed to understand the critical importance of providing the right allergen information has resulted in actual customer death.</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Times New Roman" w:cs="Times New Roman" w:hAnsi="Times New Roman" w:eastAsia="Times New Roman"/>
                <w:sz w:val="24"/>
                <w:szCs w:val="24"/>
                <w:shd w:val="nil" w:color="auto" w:fill="auto"/>
                <w:lang w:val="en-US"/>
              </w:rPr>
              <w:br w:type="textWrapping"/>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Let us look at the example of Natasha</w:t>
            </w:r>
            <w:r>
              <w:rPr>
                <w:rFonts w:ascii="Arial" w:hAnsi="Arial" w:hint="default"/>
                <w:sz w:val="28"/>
                <w:szCs w:val="28"/>
                <w:shd w:val="nil" w:color="auto" w:fill="auto"/>
                <w:rtl w:val="0"/>
                <w:lang w:val="en-US"/>
              </w:rPr>
              <w:t>’</w:t>
            </w:r>
            <w:r>
              <w:rPr>
                <w:rFonts w:ascii="Arial" w:hAnsi="Arial"/>
                <w:sz w:val="28"/>
                <w:szCs w:val="28"/>
                <w:shd w:val="nil" w:color="auto" w:fill="auto"/>
                <w:rtl w:val="0"/>
                <w:lang w:val="en-US"/>
              </w:rPr>
              <w:t>s case where Natasha had tragically died because of eating a Pret artichoke, olive, and tapenade baguette. Natasha had suffered an allergic reaction within minutes of eating the baguette and even after her father made attempts to help her daughter by administrating two Epi pens, they did not work, resulting in Natasha</w:t>
            </w:r>
            <w:r>
              <w:rPr>
                <w:rFonts w:ascii="Arial" w:hAnsi="Arial" w:hint="default"/>
                <w:sz w:val="28"/>
                <w:szCs w:val="28"/>
                <w:shd w:val="nil" w:color="auto" w:fill="auto"/>
                <w:rtl w:val="0"/>
                <w:lang w:val="en-US"/>
              </w:rPr>
              <w:t>’</w:t>
            </w:r>
            <w:r>
              <w:rPr>
                <w:rFonts w:ascii="Arial" w:hAnsi="Arial"/>
                <w:sz w:val="28"/>
                <w:szCs w:val="28"/>
                <w:shd w:val="nil" w:color="auto" w:fill="auto"/>
                <w:rtl w:val="0"/>
                <w:lang w:val="en-US"/>
              </w:rPr>
              <w:t xml:space="preserve">s tragic death, after having multiple cardiac arrests. </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Times New Roman" w:cs="Times New Roman" w:hAnsi="Times New Roman" w:eastAsia="Times New Roman"/>
                <w:sz w:val="24"/>
                <w:szCs w:val="24"/>
                <w:shd w:val="nil" w:color="auto" w:fill="auto"/>
                <w:lang w:val="en-US"/>
              </w:rPr>
              <w:br w:type="textWrapping"/>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The most crucial part here is that the coroner later concluded that Natasha would not have eaten the baguette if the seeds had been included on the label.</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Times New Roman" w:cs="Times New Roman" w:hAnsi="Times New Roman" w:eastAsia="Times New Roman"/>
                <w:sz w:val="24"/>
                <w:szCs w:val="24"/>
                <w:shd w:val="nil" w:color="auto" w:fill="auto"/>
                <w:lang w:val="en-US"/>
              </w:rPr>
              <w:br w:type="textWrapping"/>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Since then, a new law has been brought in named Natasha</w:t>
            </w:r>
            <w:r>
              <w:rPr>
                <w:rFonts w:ascii="Arial" w:hAnsi="Arial" w:hint="default"/>
                <w:sz w:val="28"/>
                <w:szCs w:val="28"/>
                <w:shd w:val="nil" w:color="auto" w:fill="auto"/>
                <w:rtl w:val="0"/>
                <w:lang w:val="en-US"/>
              </w:rPr>
              <w:t>’</w:t>
            </w:r>
            <w:r>
              <w:rPr>
                <w:rFonts w:ascii="Arial" w:hAnsi="Arial"/>
                <w:sz w:val="28"/>
                <w:szCs w:val="28"/>
                <w:shd w:val="nil" w:color="auto" w:fill="auto"/>
                <w:rtl w:val="0"/>
                <w:lang w:val="en-US"/>
              </w:rPr>
              <w:t>s law which now means that all ingredients must be included on the label of any kind of food product/s to ensure that customers are aware of what</w:t>
            </w:r>
            <w:r>
              <w:rPr>
                <w:rFonts w:ascii="Arial" w:hAnsi="Arial" w:hint="default"/>
                <w:sz w:val="28"/>
                <w:szCs w:val="28"/>
                <w:shd w:val="nil" w:color="auto" w:fill="auto"/>
                <w:rtl w:val="0"/>
                <w:lang w:val="en-US"/>
              </w:rPr>
              <w:t>’</w:t>
            </w:r>
            <w:r>
              <w:rPr>
                <w:rFonts w:ascii="Arial" w:hAnsi="Arial"/>
                <w:sz w:val="28"/>
                <w:szCs w:val="28"/>
                <w:shd w:val="nil" w:color="auto" w:fill="auto"/>
                <w:rtl w:val="0"/>
                <w:lang w:val="en-US"/>
              </w:rPr>
              <w:t>s included in the food that they are about to purchase, allowing them to make the right choice in a clearer way.</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 xml:space="preserve">Having a food intolerance is slightly different to having an allergy, in that with food intolerance you could potentially eat small quantities of offending food without any trouble. However, saying that if you happen to eat more than the desired amount with knowing, there are remedies to deal with this.  For example, if you are lactose intolerant, and you end up drinking lactose milk by accident, you can remedy this by drinking lactose-free milk which will help with digestion. </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Times New Roman" w:cs="Times New Roman" w:hAnsi="Times New Roman" w:eastAsia="Times New Roman"/>
                <w:sz w:val="24"/>
                <w:szCs w:val="24"/>
                <w:shd w:val="nil" w:color="auto" w:fill="auto"/>
                <w:lang w:val="en-US"/>
              </w:rPr>
              <w:br w:type="textWrapping"/>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If customers come across a business that fails to meet allergen guidance requirements, they should report this to the Foods Standards Agency.</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Times New Roman" w:cs="Times New Roman" w:hAnsi="Times New Roman" w:eastAsia="Times New Roman"/>
                <w:sz w:val="24"/>
                <w:szCs w:val="24"/>
                <w:shd w:val="nil" w:color="auto" w:fill="auto"/>
                <w:lang w:val="en-US"/>
              </w:rPr>
              <w:br w:type="textWrapping"/>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 xml:space="preserve">So why is it important for food business operators to remember the above points. Well, that is easy. All food business operators have a responsibility to ensure they monitor all ingredients used in food, ensure that suppliers notify of any allergy changes. Food businesses can also use phrases such as </w:t>
            </w:r>
            <w:r>
              <w:rPr>
                <w:rFonts w:ascii="Arial" w:hAnsi="Arial" w:hint="default"/>
                <w:sz w:val="28"/>
                <w:szCs w:val="28"/>
                <w:shd w:val="nil" w:color="auto" w:fill="auto"/>
                <w:rtl w:val="0"/>
                <w:lang w:val="en-US"/>
              </w:rPr>
              <w:t>‘</w:t>
            </w:r>
            <w:r>
              <w:rPr>
                <w:rFonts w:ascii="Arial" w:hAnsi="Arial"/>
                <w:sz w:val="28"/>
                <w:szCs w:val="28"/>
                <w:shd w:val="nil" w:color="auto" w:fill="auto"/>
                <w:rtl w:val="0"/>
                <w:lang w:val="en-US"/>
              </w:rPr>
              <w:t>may contain</w:t>
            </w:r>
            <w:r>
              <w:rPr>
                <w:rFonts w:ascii="Arial" w:hAnsi="Arial" w:hint="default"/>
                <w:sz w:val="28"/>
                <w:szCs w:val="28"/>
                <w:shd w:val="nil" w:color="auto" w:fill="auto"/>
                <w:rtl w:val="0"/>
                <w:lang w:val="en-US"/>
              </w:rPr>
              <w:t xml:space="preserve">’ </w:t>
            </w:r>
            <w:r>
              <w:rPr>
                <w:rFonts w:ascii="Arial" w:hAnsi="Arial"/>
                <w:sz w:val="28"/>
                <w:szCs w:val="28"/>
                <w:shd w:val="nil" w:color="auto" w:fill="auto"/>
                <w:rtl w:val="0"/>
                <w:lang w:val="en-US"/>
              </w:rPr>
              <w:t xml:space="preserve">so that customers are aware that there may be traces of allergens in the food product. </w:t>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Times New Roman" w:cs="Times New Roman" w:hAnsi="Times New Roman" w:eastAsia="Times New Roman"/>
                <w:sz w:val="24"/>
                <w:szCs w:val="24"/>
                <w:shd w:val="nil" w:color="auto" w:fill="auto"/>
                <w:lang w:val="en-US"/>
              </w:rPr>
              <w:br w:type="textWrapping"/>
            </w:r>
          </w:p>
          <w:p>
            <w:pPr>
              <w:pStyle w:val="Body"/>
              <w:bidi w:val="0"/>
              <w:spacing w:line="360" w:lineRule="auto"/>
              <w:ind w:left="0" w:right="0" w:firstLine="0"/>
              <w:jc w:val="left"/>
              <w:rPr>
                <w:rFonts w:ascii="Arial" w:cs="Arial" w:hAnsi="Arial" w:eastAsia="Arial"/>
                <w:sz w:val="28"/>
                <w:szCs w:val="28"/>
                <w:shd w:val="nil" w:color="auto" w:fill="auto"/>
                <w:rtl w:val="0"/>
              </w:rPr>
            </w:pPr>
            <w:r>
              <w:rPr>
                <w:rFonts w:ascii="Arial" w:hAnsi="Arial"/>
                <w:sz w:val="28"/>
                <w:szCs w:val="28"/>
                <w:shd w:val="nil" w:color="auto" w:fill="auto"/>
                <w:rtl w:val="0"/>
                <w:lang w:val="en-US"/>
              </w:rPr>
              <w:t>It is also important all menus within a food-based establishments are checked diligently to ensure all allergens are described, and most importantly, to ensure that all staff are trained to be allergen aware.</w:t>
            </w: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rPr>
                <w:rFonts w:ascii="Tahoma" w:cs="Tahoma" w:hAnsi="Tahoma" w:eastAsia="Tahoma"/>
                <w:sz w:val="20"/>
                <w:szCs w:val="20"/>
                <w:shd w:val="nil" w:color="auto" w:fill="auto"/>
                <w:lang w:val="en-US"/>
              </w:rPr>
            </w:pPr>
          </w:p>
          <w:p>
            <w:pPr>
              <w:pStyle w:val="Body"/>
              <w:jc w:val="both"/>
            </w:pPr>
            <w:r>
              <w:rPr>
                <w:rFonts w:ascii="Tahoma" w:cs="Tahoma" w:hAnsi="Tahoma" w:eastAsia="Tahoma"/>
                <w:sz w:val="20"/>
                <w:szCs w:val="20"/>
                <w:shd w:val="nil" w:color="auto" w:fill="auto"/>
                <w:lang w:val="en-US"/>
              </w:rPr>
            </w:r>
          </w:p>
        </w:tc>
      </w:tr>
    </w:tbl>
    <w:p>
      <w:pPr>
        <w:pStyle w:val="Body"/>
        <w:widowControl w:val="0"/>
        <w:rPr>
          <w:rFonts w:ascii="Tahoma" w:cs="Tahoma" w:hAnsi="Tahoma" w:eastAsia="Tahoma"/>
          <w:sz w:val="20"/>
          <w:szCs w:val="20"/>
        </w:rPr>
      </w:pPr>
    </w:p>
    <w:p>
      <w:pPr>
        <w:pStyle w:val="Body"/>
        <w:rPr>
          <w:rFonts w:ascii="Tahoma" w:cs="Tahoma" w:hAnsi="Tahoma" w:eastAsia="Tahoma"/>
          <w:b w:val="1"/>
          <w:bCs w:val="1"/>
        </w:rPr>
      </w:pPr>
    </w:p>
    <w:tbl>
      <w:tblPr>
        <w:tblW w:w="1118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910"/>
        <w:gridCol w:w="272"/>
      </w:tblGrid>
      <w:tr>
        <w:tblPrEx>
          <w:shd w:val="clear" w:color="auto" w:fill="ced7e7"/>
        </w:tblPrEx>
        <w:trPr>
          <w:trHeight w:val="490" w:hRule="atLeast"/>
        </w:trPr>
        <w:tc>
          <w:tcPr>
            <w:tcW w:type="dxa" w:w="109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bd4b4"/>
            <w:tcMar>
              <w:top w:type="dxa" w:w="80"/>
              <w:left w:type="dxa" w:w="80"/>
              <w:bottom w:type="dxa" w:w="80"/>
              <w:right w:type="dxa" w:w="80"/>
            </w:tcMar>
            <w:vAlign w:val="top"/>
          </w:tcPr>
          <w:p>
            <w:pPr>
              <w:pStyle w:val="Body"/>
            </w:pPr>
            <w:r>
              <w:rPr>
                <w:rFonts w:ascii="Tahoma" w:hAnsi="Tahoma"/>
                <w:b w:val="1"/>
                <w:bCs w:val="1"/>
                <w:sz w:val="20"/>
                <w:szCs w:val="20"/>
                <w:shd w:val="nil" w:color="auto" w:fill="auto"/>
                <w:rtl w:val="0"/>
                <w:lang w:val="en-US"/>
              </w:rPr>
              <w:t>REFERENCE LIST (not included in word count)</w:t>
            </w:r>
          </w:p>
        </w:tc>
        <w:tc>
          <w:tcPr>
            <w:tcW w:type="dxa" w:w="2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bd4b4"/>
            <w:tcMar>
              <w:top w:type="dxa" w:w="80"/>
              <w:left w:type="dxa" w:w="80"/>
              <w:bottom w:type="dxa" w:w="80"/>
              <w:right w:type="dxa" w:w="80"/>
            </w:tcMar>
            <w:vAlign w:val="top"/>
          </w:tcPr>
          <w:p>
            <w:pPr>
              <w:pStyle w:val="Body"/>
              <w:jc w:val="center"/>
            </w:pPr>
            <w:r>
              <w:rPr>
                <w:rFonts w:ascii="Tahoma" w:cs="Tahoma" w:hAnsi="Tahoma" w:eastAsia="Tahoma"/>
                <w:b w:val="1"/>
                <w:bCs w:val="1"/>
                <w:sz w:val="20"/>
                <w:szCs w:val="20"/>
                <w:shd w:val="nil" w:color="auto" w:fill="auto"/>
                <w:lang w:val="en-US"/>
              </w:rPr>
            </w:r>
          </w:p>
        </w:tc>
      </w:tr>
      <w:tr>
        <w:tblPrEx>
          <w:shd w:val="clear" w:color="auto" w:fill="ced7e7"/>
        </w:tblPrEx>
        <w:trPr>
          <w:trHeight w:val="11917" w:hRule="atLeast"/>
        </w:trPr>
        <w:tc>
          <w:tcPr>
            <w:tcW w:type="dxa" w:w="1118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rPr>
                <w:rFonts w:ascii="Tahoma" w:cs="Tahoma" w:hAnsi="Tahoma" w:eastAsia="Tahoma"/>
                <w:shd w:val="nil" w:color="auto" w:fill="auto"/>
                <w:lang w:val="en-US"/>
              </w:rPr>
            </w:pPr>
          </w:p>
          <w:p>
            <w:pPr>
              <w:pStyle w:val="Body"/>
              <w:bidi w:val="0"/>
              <w:ind w:left="0" w:right="0" w:firstLine="0"/>
              <w:jc w:val="left"/>
              <w:rPr>
                <w:rFonts w:ascii="Arial" w:cs="Arial" w:hAnsi="Arial" w:eastAsia="Arial"/>
                <w:b w:val="1"/>
                <w:bCs w:val="1"/>
                <w:sz w:val="19"/>
                <w:szCs w:val="19"/>
                <w:shd w:val="nil" w:color="auto" w:fill="auto"/>
                <w:rtl w:val="0"/>
              </w:rPr>
            </w:pPr>
            <w:r>
              <w:rPr>
                <w:rFonts w:ascii="Arial" w:hAnsi="Arial"/>
                <w:b w:val="0"/>
                <w:bCs w:val="0"/>
                <w:sz w:val="19"/>
                <w:szCs w:val="19"/>
                <w:shd w:val="nil" w:color="auto" w:fill="auto"/>
                <w:rtl w:val="0"/>
                <w:lang w:val="en-US"/>
              </w:rPr>
              <w:t xml:space="preserve">Welling school, DT  Allergies  Policy, 2018, </w:t>
            </w:r>
            <w:r>
              <w:rPr>
                <w:rStyle w:val="Link"/>
                <w:rFonts w:ascii="Arial" w:hAnsi="Arial"/>
                <w:b w:val="1"/>
                <w:bCs w:val="1"/>
                <w:sz w:val="19"/>
                <w:szCs w:val="19"/>
                <w:shd w:val="nil" w:color="auto" w:fill="auto"/>
                <w:rtl w:val="0"/>
                <w:lang w:val="en-US"/>
              </w:rPr>
              <w:t>www.wellingschool-tkat.org,</w:t>
            </w:r>
            <w:r>
              <w:rPr>
                <w:rFonts w:ascii="Arial" w:hAnsi="Arial"/>
                <w:b w:val="1"/>
                <w:bCs w:val="1"/>
                <w:sz w:val="19"/>
                <w:szCs w:val="19"/>
                <w:shd w:val="nil" w:color="auto" w:fill="auto"/>
                <w:rtl w:val="0"/>
                <w:lang w:val="en-US"/>
              </w:rPr>
              <w:t xml:space="preserve"> </w:t>
            </w:r>
            <w:r>
              <w:rPr>
                <w:rFonts w:ascii="Arial" w:hAnsi="Arial"/>
                <w:b w:val="0"/>
                <w:bCs w:val="0"/>
                <w:sz w:val="19"/>
                <w:szCs w:val="19"/>
                <w:shd w:val="nil" w:color="auto" w:fill="auto"/>
                <w:rtl w:val="0"/>
                <w:lang w:val="en-US"/>
              </w:rPr>
              <w:t>10.02.2022</w:t>
            </w:r>
          </w:p>
          <w:p>
            <w:pPr>
              <w:pStyle w:val="Body"/>
              <w:rPr>
                <w:rFonts w:ascii="Arial" w:cs="Arial" w:hAnsi="Arial" w:eastAsia="Arial"/>
                <w:b w:val="1"/>
                <w:bCs w:val="1"/>
                <w:sz w:val="19"/>
                <w:szCs w:val="19"/>
                <w:shd w:val="nil" w:color="auto" w:fill="auto"/>
                <w:lang w:val="en-US"/>
              </w:rPr>
            </w:pPr>
          </w:p>
          <w:p>
            <w:pPr>
              <w:pStyle w:val="Body"/>
              <w:bidi w:val="0"/>
              <w:ind w:left="0" w:right="0" w:firstLine="0"/>
              <w:jc w:val="left"/>
              <w:rPr>
                <w:rFonts w:ascii="Arial" w:cs="Arial" w:hAnsi="Arial" w:eastAsia="Arial"/>
                <w:b w:val="1"/>
                <w:bCs w:val="1"/>
                <w:sz w:val="19"/>
                <w:szCs w:val="19"/>
                <w:shd w:val="nil" w:color="auto" w:fill="auto"/>
                <w:rtl w:val="0"/>
              </w:rPr>
            </w:pPr>
            <w:r>
              <w:rPr>
                <w:rFonts w:ascii="Arial" w:hAnsi="Arial"/>
                <w:b w:val="1"/>
                <w:bCs w:val="1"/>
                <w:sz w:val="19"/>
                <w:szCs w:val="19"/>
                <w:shd w:val="nil" w:color="auto" w:fill="auto"/>
                <w:rtl w:val="0"/>
                <w:lang w:val="en-US"/>
              </w:rPr>
              <w:t xml:space="preserve">Pdf link is </w:t>
            </w:r>
            <w:r>
              <w:rPr>
                <w:rStyle w:val="Hyperlink.1"/>
                <w:rFonts w:ascii="Arial" w:cs="Arial" w:hAnsi="Arial" w:eastAsia="Arial"/>
                <w:b w:val="1"/>
                <w:bCs w:val="1"/>
                <w:sz w:val="19"/>
                <w:szCs w:val="19"/>
              </w:rPr>
              <w:fldChar w:fldCharType="begin" w:fldLock="0"/>
            </w:r>
            <w:r>
              <w:rPr>
                <w:rStyle w:val="Hyperlink.1"/>
                <w:rFonts w:ascii="Arial" w:cs="Arial" w:hAnsi="Arial" w:eastAsia="Arial"/>
                <w:b w:val="1"/>
                <w:bCs w:val="1"/>
                <w:sz w:val="19"/>
                <w:szCs w:val="19"/>
              </w:rPr>
              <w:instrText xml:space="preserve"> HYPERLINK "http://chrome-extension//efaidnbmnnnibpcajpcglclefindmkaj/viewer.html?pdfurl=https://www.wellingschool-tkat.org/attachments/download.asp?file=26&amp;type=pdf&amp;clen=156005&amp;chunk=true"</w:instrText>
            </w:r>
            <w:r>
              <w:rPr>
                <w:rStyle w:val="Hyperlink.1"/>
                <w:rFonts w:ascii="Arial" w:cs="Arial" w:hAnsi="Arial" w:eastAsia="Arial"/>
                <w:b w:val="1"/>
                <w:bCs w:val="1"/>
                <w:sz w:val="19"/>
                <w:szCs w:val="19"/>
              </w:rPr>
              <w:fldChar w:fldCharType="separate" w:fldLock="0"/>
            </w:r>
            <w:r>
              <w:rPr>
                <w:rStyle w:val="Hyperlink.1"/>
                <w:rFonts w:ascii="Arial" w:hAnsi="Arial"/>
                <w:b w:val="1"/>
                <w:bCs w:val="1"/>
                <w:sz w:val="19"/>
                <w:szCs w:val="19"/>
                <w:rtl w:val="0"/>
                <w:lang w:val="en-US"/>
              </w:rPr>
              <w:t>here</w:t>
            </w:r>
            <w:r>
              <w:rPr>
                <w:rFonts w:ascii="Arial" w:cs="Arial" w:hAnsi="Arial" w:eastAsia="Arial"/>
                <w:b w:val="1"/>
                <w:bCs w:val="1"/>
                <w:sz w:val="19"/>
                <w:szCs w:val="19"/>
              </w:rPr>
              <w:fldChar w:fldCharType="end" w:fldLock="0"/>
            </w:r>
            <w:r>
              <w:rPr>
                <w:rFonts w:ascii="Arial" w:hAnsi="Arial"/>
                <w:b w:val="1"/>
                <w:bCs w:val="1"/>
                <w:sz w:val="19"/>
                <w:szCs w:val="19"/>
                <w:shd w:val="nil" w:color="auto" w:fill="auto"/>
                <w:rtl w:val="0"/>
                <w:lang w:val="en-US"/>
              </w:rPr>
              <w:t xml:space="preserve"> to the above article</w:t>
            </w:r>
          </w:p>
          <w:p>
            <w:pPr>
              <w:pStyle w:val="Body"/>
              <w:rPr>
                <w:rFonts w:ascii="Arial" w:cs="Arial" w:hAnsi="Arial" w:eastAsia="Arial"/>
                <w:b w:val="1"/>
                <w:bCs w:val="1"/>
                <w:sz w:val="19"/>
                <w:szCs w:val="19"/>
                <w:shd w:val="nil" w:color="auto" w:fill="auto"/>
                <w:lang w:val="en-US"/>
              </w:rPr>
            </w:pPr>
          </w:p>
          <w:p>
            <w:pPr>
              <w:pStyle w:val="Body"/>
              <w:bidi w:val="0"/>
              <w:ind w:left="0" w:right="0" w:firstLine="0"/>
              <w:jc w:val="left"/>
              <w:rPr>
                <w:rFonts w:ascii="Arial" w:cs="Arial" w:hAnsi="Arial" w:eastAsia="Arial"/>
                <w:sz w:val="19"/>
                <w:szCs w:val="19"/>
                <w:shd w:val="nil" w:color="auto" w:fill="auto"/>
                <w:rtl w:val="0"/>
              </w:rPr>
            </w:pPr>
            <w:r>
              <w:rPr>
                <w:rFonts w:ascii="Arial" w:hAnsi="Arial"/>
                <w:sz w:val="19"/>
                <w:szCs w:val="19"/>
                <w:shd w:val="nil" w:color="auto" w:fill="auto"/>
                <w:rtl w:val="0"/>
                <w:lang w:val="en-US"/>
              </w:rPr>
              <w:t>Evening Standard, Pret allergy death, Family welcome Natasha</w:t>
            </w:r>
            <w:r>
              <w:rPr>
                <w:rFonts w:ascii="Arial" w:hAnsi="Arial" w:hint="default"/>
                <w:sz w:val="19"/>
                <w:szCs w:val="19"/>
                <w:shd w:val="nil" w:color="auto" w:fill="auto"/>
                <w:rtl w:val="0"/>
                <w:lang w:val="en-US"/>
              </w:rPr>
              <w:t>’</w:t>
            </w:r>
            <w:r>
              <w:rPr>
                <w:rFonts w:ascii="Arial" w:hAnsi="Arial"/>
                <w:sz w:val="19"/>
                <w:szCs w:val="19"/>
                <w:shd w:val="nil" w:color="auto" w:fill="auto"/>
                <w:rtl w:val="0"/>
                <w:lang w:val="en-US"/>
              </w:rPr>
              <w:t xml:space="preserve">s Law, 2021, </w:t>
            </w:r>
            <w:r>
              <w:rPr>
                <w:rStyle w:val="Hyperlink.1"/>
                <w:rFonts w:ascii="Arial" w:cs="Arial" w:hAnsi="Arial" w:eastAsia="Arial"/>
                <w:sz w:val="19"/>
                <w:szCs w:val="19"/>
              </w:rPr>
              <w:fldChar w:fldCharType="begin" w:fldLock="0"/>
            </w:r>
            <w:r>
              <w:rPr>
                <w:rStyle w:val="Hyperlink.1"/>
                <w:rFonts w:ascii="Arial" w:cs="Arial" w:hAnsi="Arial" w:eastAsia="Arial"/>
                <w:sz w:val="19"/>
                <w:szCs w:val="19"/>
              </w:rPr>
              <w:instrText xml:space="preserve"> HYPERLINK "https://www.standard.co.uk/news/uk/pret-allergy-death-natashas-law-ednan-laperouse-food-labels-b958315.html"</w:instrText>
            </w:r>
            <w:r>
              <w:rPr>
                <w:rStyle w:val="Hyperlink.1"/>
                <w:rFonts w:ascii="Arial" w:cs="Arial" w:hAnsi="Arial" w:eastAsia="Arial"/>
                <w:sz w:val="19"/>
                <w:szCs w:val="19"/>
              </w:rPr>
              <w:fldChar w:fldCharType="separate" w:fldLock="0"/>
            </w:r>
            <w:r>
              <w:rPr>
                <w:rStyle w:val="Hyperlink.1"/>
                <w:rFonts w:ascii="Arial" w:hAnsi="Arial"/>
                <w:sz w:val="19"/>
                <w:szCs w:val="19"/>
                <w:rtl w:val="0"/>
                <w:lang w:val="en-US"/>
              </w:rPr>
              <w:t>https://www.standard.co.uk/news/uk/pret-allergy-death-natashas-law-ednan-laperouse-food-labels-b958315.html</w:t>
            </w:r>
            <w:r>
              <w:rPr>
                <w:rFonts w:ascii="Arial" w:cs="Arial" w:hAnsi="Arial" w:eastAsia="Arial"/>
                <w:sz w:val="19"/>
                <w:szCs w:val="19"/>
              </w:rPr>
              <w:fldChar w:fldCharType="end" w:fldLock="0"/>
            </w:r>
            <w:r>
              <w:rPr>
                <w:rFonts w:ascii="Arial" w:hAnsi="Arial"/>
                <w:sz w:val="19"/>
                <w:szCs w:val="19"/>
                <w:shd w:val="nil" w:color="auto" w:fill="auto"/>
                <w:rtl w:val="0"/>
                <w:lang w:val="en-US"/>
              </w:rPr>
              <w:t>, 10.02.2022</w:t>
            </w:r>
          </w:p>
          <w:p>
            <w:pPr>
              <w:pStyle w:val="Body"/>
              <w:rPr>
                <w:rFonts w:ascii="Arial" w:cs="Arial" w:hAnsi="Arial" w:eastAsia="Arial"/>
                <w:shd w:val="nil" w:color="auto" w:fill="auto"/>
                <w:lang w:val="en-US"/>
              </w:rPr>
            </w:pPr>
          </w:p>
          <w:p>
            <w:pPr>
              <w:pStyle w:val="Body"/>
              <w:bidi w:val="0"/>
              <w:ind w:left="0" w:right="0" w:firstLine="0"/>
              <w:jc w:val="left"/>
              <w:rPr>
                <w:rFonts w:ascii="Arial" w:cs="Arial" w:hAnsi="Arial" w:eastAsia="Arial"/>
                <w:sz w:val="19"/>
                <w:szCs w:val="19"/>
                <w:shd w:val="nil" w:color="auto" w:fill="auto"/>
                <w:rtl w:val="0"/>
              </w:rPr>
            </w:pPr>
            <w:r>
              <w:rPr>
                <w:rFonts w:ascii="Arial" w:hAnsi="Arial"/>
                <w:sz w:val="19"/>
                <w:szCs w:val="19"/>
                <w:shd w:val="nil" w:color="auto" w:fill="auto"/>
                <w:rtl w:val="0"/>
                <w:lang w:val="en-US"/>
              </w:rPr>
              <w:t>Mayo Clinic, Food allergy vs, food intolerance, What</w:t>
            </w:r>
            <w:r>
              <w:rPr>
                <w:rFonts w:ascii="Arial" w:hAnsi="Arial" w:hint="default"/>
                <w:sz w:val="19"/>
                <w:szCs w:val="19"/>
                <w:shd w:val="nil" w:color="auto" w:fill="auto"/>
                <w:rtl w:val="0"/>
                <w:lang w:val="en-US"/>
              </w:rPr>
              <w:t>’</w:t>
            </w:r>
            <w:r>
              <w:rPr>
                <w:rFonts w:ascii="Arial" w:hAnsi="Arial"/>
                <w:sz w:val="19"/>
                <w:szCs w:val="19"/>
                <w:shd w:val="nil" w:color="auto" w:fill="auto"/>
                <w:rtl w:val="0"/>
                <w:lang w:val="en-US"/>
              </w:rPr>
              <w:t xml:space="preserve">s the difference?, 2022, </w:t>
            </w:r>
            <w:r>
              <w:rPr>
                <w:rStyle w:val="Hyperlink.1"/>
                <w:rFonts w:ascii="Arial" w:cs="Arial" w:hAnsi="Arial" w:eastAsia="Arial"/>
                <w:sz w:val="19"/>
                <w:szCs w:val="19"/>
              </w:rPr>
              <w:fldChar w:fldCharType="begin" w:fldLock="0"/>
            </w:r>
            <w:r>
              <w:rPr>
                <w:rStyle w:val="Hyperlink.1"/>
                <w:rFonts w:ascii="Arial" w:cs="Arial" w:hAnsi="Arial" w:eastAsia="Arial"/>
                <w:sz w:val="19"/>
                <w:szCs w:val="19"/>
              </w:rPr>
              <w:instrText xml:space="preserve"> HYPERLINK "https://www.mayoclinic.org/diseases-conditions/food-allergy/expert-answers/food-allergy/faq-20058538#:~:text=A%2520true%2520food%2520allergy%2520causes,often%2520limited%2520to%2520digestive%2520problems"</w:instrText>
            </w:r>
            <w:r>
              <w:rPr>
                <w:rStyle w:val="Hyperlink.1"/>
                <w:rFonts w:ascii="Arial" w:cs="Arial" w:hAnsi="Arial" w:eastAsia="Arial"/>
                <w:sz w:val="19"/>
                <w:szCs w:val="19"/>
              </w:rPr>
              <w:fldChar w:fldCharType="separate" w:fldLock="0"/>
            </w:r>
            <w:r>
              <w:rPr>
                <w:rStyle w:val="Hyperlink.1"/>
                <w:rFonts w:ascii="Arial" w:hAnsi="Arial"/>
                <w:sz w:val="19"/>
                <w:szCs w:val="19"/>
                <w:rtl w:val="0"/>
                <w:lang w:val="en-US"/>
              </w:rPr>
              <w:t>https://www.mayoclinic.org/diseases-conditions/food-allergy/expert-answers/food-allergy/faq-20058538#:~:text=A%20true%20food%20allergy%20causes,often%20limited%20to%20digestive%20problems</w:t>
            </w:r>
            <w:r>
              <w:rPr>
                <w:rFonts w:ascii="Arial" w:cs="Arial" w:hAnsi="Arial" w:eastAsia="Arial"/>
                <w:sz w:val="19"/>
                <w:szCs w:val="19"/>
              </w:rPr>
              <w:fldChar w:fldCharType="end" w:fldLock="0"/>
            </w:r>
            <w:r>
              <w:rPr>
                <w:rFonts w:ascii="Arial" w:hAnsi="Arial"/>
                <w:sz w:val="19"/>
                <w:szCs w:val="19"/>
                <w:shd w:val="nil" w:color="auto" w:fill="auto"/>
                <w:rtl w:val="0"/>
                <w:lang w:val="en-US"/>
              </w:rPr>
              <w:t>., 10.02.22</w:t>
            </w:r>
          </w:p>
          <w:p>
            <w:pPr>
              <w:pStyle w:val="Body"/>
              <w:rPr>
                <w:rFonts w:ascii="Arial" w:cs="Arial" w:hAnsi="Arial" w:eastAsia="Arial"/>
                <w:shd w:val="nil" w:color="auto" w:fill="auto"/>
                <w:lang w:val="en-US"/>
              </w:rPr>
            </w:pPr>
          </w:p>
          <w:p>
            <w:pPr>
              <w:pStyle w:val="Body"/>
              <w:bidi w:val="0"/>
              <w:ind w:left="0" w:right="0" w:firstLine="0"/>
              <w:jc w:val="left"/>
              <w:rPr>
                <w:rFonts w:ascii="Arial" w:cs="Arial" w:hAnsi="Arial" w:eastAsia="Arial"/>
                <w:sz w:val="19"/>
                <w:szCs w:val="19"/>
                <w:shd w:val="nil" w:color="auto" w:fill="auto"/>
                <w:rtl w:val="0"/>
              </w:rPr>
            </w:pPr>
            <w:r>
              <w:rPr>
                <w:rFonts w:ascii="Arial" w:hAnsi="Arial"/>
                <w:sz w:val="19"/>
                <w:szCs w:val="19"/>
                <w:shd w:val="nil" w:color="auto" w:fill="auto"/>
                <w:rtl w:val="0"/>
                <w:lang w:val="en-US"/>
              </w:rPr>
              <w:t xml:space="preserve">Allergy UK, What are the top 14 food allergens?, 2022, </w:t>
            </w:r>
            <w:r>
              <w:rPr>
                <w:rStyle w:val="Hyperlink.1"/>
                <w:rFonts w:ascii="Arial" w:cs="Arial" w:hAnsi="Arial" w:eastAsia="Arial"/>
                <w:sz w:val="19"/>
                <w:szCs w:val="19"/>
              </w:rPr>
              <w:fldChar w:fldCharType="begin" w:fldLock="0"/>
            </w:r>
            <w:r>
              <w:rPr>
                <w:rStyle w:val="Hyperlink.1"/>
                <w:rFonts w:ascii="Arial" w:cs="Arial" w:hAnsi="Arial" w:eastAsia="Arial"/>
                <w:sz w:val="19"/>
                <w:szCs w:val="19"/>
              </w:rPr>
              <w:instrText xml:space="preserve"> HYPERLINK "https://www.allergyuk.org/types-of-allergies/food-allergy/?gclid=Cj0KCQiAr5iQBhCsARIsAPcwROMCQ5TEDszi30bB8nWKm0ZLHjglHQI0mUsbDsFtjgKM4vTnH8vq_2oaAobPEALw_wcB"</w:instrText>
            </w:r>
            <w:r>
              <w:rPr>
                <w:rStyle w:val="Hyperlink.1"/>
                <w:rFonts w:ascii="Arial" w:cs="Arial" w:hAnsi="Arial" w:eastAsia="Arial"/>
                <w:sz w:val="19"/>
                <w:szCs w:val="19"/>
              </w:rPr>
              <w:fldChar w:fldCharType="separate" w:fldLock="0"/>
            </w:r>
            <w:r>
              <w:rPr>
                <w:rStyle w:val="Hyperlink.1"/>
                <w:rFonts w:ascii="Arial" w:hAnsi="Arial"/>
                <w:sz w:val="19"/>
                <w:szCs w:val="19"/>
                <w:rtl w:val="0"/>
                <w:lang w:val="en-US"/>
              </w:rPr>
              <w:t>https://www.allergyuk.org/types-of-allergies/food-allergy/?gclid=Cj0KCQiAr5iQBhCsARIsAPcwROMCQ5TEDszi30bB8nWKm0ZLHjglHQI0mUsbDsFtjgKM4vTnH8vq_2oaAobPEALw_wcB</w:t>
            </w:r>
            <w:r>
              <w:rPr>
                <w:rFonts w:ascii="Arial" w:cs="Arial" w:hAnsi="Arial" w:eastAsia="Arial"/>
                <w:sz w:val="19"/>
                <w:szCs w:val="19"/>
              </w:rPr>
              <w:fldChar w:fldCharType="end" w:fldLock="0"/>
            </w:r>
            <w:r>
              <w:rPr>
                <w:rFonts w:ascii="Arial" w:hAnsi="Arial"/>
                <w:sz w:val="19"/>
                <w:szCs w:val="19"/>
                <w:shd w:val="nil" w:color="auto" w:fill="auto"/>
                <w:rtl w:val="0"/>
                <w:lang w:val="en-US"/>
              </w:rPr>
              <w:t>, 10.02.22</w:t>
            </w:r>
          </w:p>
          <w:p>
            <w:pPr>
              <w:pStyle w:val="Body"/>
              <w:rPr>
                <w:rFonts w:ascii="Arial" w:cs="Arial" w:hAnsi="Arial" w:eastAsia="Arial"/>
                <w:shd w:val="nil" w:color="auto" w:fill="auto"/>
                <w:lang w:val="en-US"/>
              </w:rPr>
            </w:pPr>
          </w:p>
          <w:p>
            <w:pPr>
              <w:pStyle w:val="Body"/>
              <w:bidi w:val="0"/>
              <w:ind w:left="0" w:right="0" w:firstLine="0"/>
              <w:jc w:val="left"/>
              <w:rPr>
                <w:rFonts w:ascii="Arial" w:cs="Arial" w:hAnsi="Arial" w:eastAsia="Arial"/>
                <w:sz w:val="19"/>
                <w:szCs w:val="19"/>
                <w:shd w:val="nil" w:color="auto" w:fill="auto"/>
                <w:rtl w:val="0"/>
              </w:rPr>
            </w:pPr>
            <w:r>
              <w:rPr>
                <w:rFonts w:ascii="Arial" w:hAnsi="Arial"/>
                <w:sz w:val="19"/>
                <w:szCs w:val="19"/>
                <w:shd w:val="nil" w:color="auto" w:fill="auto"/>
                <w:rtl w:val="0"/>
                <w:lang w:val="en-US"/>
              </w:rPr>
              <w:t xml:space="preserve">Food Standards Agency, Food allergy and intolerance, 2021, </w:t>
            </w:r>
            <w:r>
              <w:rPr>
                <w:rStyle w:val="Hyperlink.1"/>
                <w:rFonts w:ascii="Arial" w:cs="Arial" w:hAnsi="Arial" w:eastAsia="Arial"/>
                <w:sz w:val="19"/>
                <w:szCs w:val="19"/>
              </w:rPr>
              <w:fldChar w:fldCharType="begin" w:fldLock="0"/>
            </w:r>
            <w:r>
              <w:rPr>
                <w:rStyle w:val="Hyperlink.1"/>
                <w:rFonts w:ascii="Arial" w:cs="Arial" w:hAnsi="Arial" w:eastAsia="Arial"/>
                <w:sz w:val="19"/>
                <w:szCs w:val="19"/>
              </w:rPr>
              <w:instrText xml:space="preserve"> HYPERLINK "https://www.food.gov.uk/safety-hygiene/food-allergy-and-intolerance"</w:instrText>
            </w:r>
            <w:r>
              <w:rPr>
                <w:rStyle w:val="Hyperlink.1"/>
                <w:rFonts w:ascii="Arial" w:cs="Arial" w:hAnsi="Arial" w:eastAsia="Arial"/>
                <w:sz w:val="19"/>
                <w:szCs w:val="19"/>
              </w:rPr>
              <w:fldChar w:fldCharType="separate" w:fldLock="0"/>
            </w:r>
            <w:r>
              <w:rPr>
                <w:rStyle w:val="Hyperlink.1"/>
                <w:rFonts w:ascii="Arial" w:hAnsi="Arial"/>
                <w:sz w:val="19"/>
                <w:szCs w:val="19"/>
                <w:rtl w:val="0"/>
                <w:lang w:val="en-US"/>
              </w:rPr>
              <w:t>https://www.food.gov.uk/safety-hygiene/food-allergy-and-intolerance</w:t>
            </w:r>
            <w:r>
              <w:rPr>
                <w:rFonts w:ascii="Arial" w:cs="Arial" w:hAnsi="Arial" w:eastAsia="Arial"/>
                <w:sz w:val="19"/>
                <w:szCs w:val="19"/>
              </w:rPr>
              <w:fldChar w:fldCharType="end" w:fldLock="0"/>
            </w:r>
            <w:r>
              <w:rPr>
                <w:rFonts w:ascii="Arial" w:hAnsi="Arial"/>
                <w:sz w:val="19"/>
                <w:szCs w:val="19"/>
                <w:shd w:val="nil" w:color="auto" w:fill="auto"/>
                <w:rtl w:val="0"/>
                <w:lang w:val="en-US"/>
              </w:rPr>
              <w:t>, 10.02.22</w:t>
            </w:r>
          </w:p>
          <w:p>
            <w:pPr>
              <w:pStyle w:val="Body"/>
              <w:rPr>
                <w:rFonts w:ascii="Tahoma" w:cs="Tahoma" w:hAnsi="Tahoma" w:eastAsia="Tahoma"/>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rPr>
                <w:rFonts w:ascii="Arial" w:cs="Arial" w:hAnsi="Arial" w:eastAsia="Arial"/>
                <w:shd w:val="nil" w:color="auto" w:fill="auto"/>
                <w:lang w:val="en-US"/>
              </w:rPr>
            </w:pPr>
          </w:p>
          <w:p>
            <w:pPr>
              <w:pStyle w:val="Body"/>
              <w:spacing w:line="360" w:lineRule="auto"/>
              <w:jc w:val="both"/>
            </w:pPr>
            <w:r>
              <w:rPr>
                <w:rFonts w:ascii="Arial" w:cs="Arial" w:hAnsi="Arial" w:eastAsia="Arial"/>
                <w:shd w:val="nil" w:color="auto" w:fill="auto"/>
                <w:lang w:val="en-US"/>
              </w:rPr>
            </w:r>
          </w:p>
        </w:tc>
      </w:tr>
    </w:tbl>
    <w:p>
      <w:pPr>
        <w:pStyle w:val="Body"/>
        <w:widowControl w:val="0"/>
        <w:rPr>
          <w:rFonts w:ascii="Tahoma" w:cs="Tahoma" w:hAnsi="Tahoma" w:eastAsia="Tahoma"/>
          <w:b w:val="1"/>
          <w:bCs w:val="1"/>
        </w:rPr>
      </w:pPr>
    </w:p>
    <w:p>
      <w:pPr>
        <w:pStyle w:val="Body"/>
        <w:rPr>
          <w:rFonts w:ascii="Tahoma" w:cs="Tahoma" w:hAnsi="Tahoma" w:eastAsia="Tahoma"/>
          <w:b w:val="1"/>
          <w:bCs w:val="1"/>
        </w:rPr>
      </w:pPr>
    </w:p>
    <w:p>
      <w:pPr>
        <w:pStyle w:val="Body"/>
        <w:rPr>
          <w:rFonts w:ascii="Tahoma" w:cs="Tahoma" w:hAnsi="Tahoma" w:eastAsia="Tahoma"/>
          <w:b w:val="1"/>
          <w:bCs w:val="1"/>
        </w:rPr>
      </w:pPr>
    </w:p>
    <w:p>
      <w:pPr>
        <w:pStyle w:val="Body"/>
        <w:rPr>
          <w:rFonts w:ascii="Tahoma" w:cs="Tahoma" w:hAnsi="Tahoma" w:eastAsia="Tahoma"/>
          <w:b w:val="1"/>
          <w:bCs w:val="1"/>
        </w:rPr>
      </w:pPr>
    </w:p>
    <w:p>
      <w:pPr>
        <w:pStyle w:val="Body"/>
        <w:rPr>
          <w:rFonts w:ascii="Tahoma" w:cs="Tahoma" w:hAnsi="Tahoma" w:eastAsia="Tahoma"/>
          <w:b w:val="1"/>
          <w:bCs w:val="1"/>
        </w:rPr>
      </w:pPr>
    </w:p>
    <w:p>
      <w:pPr>
        <w:pStyle w:val="Body"/>
        <w:rPr>
          <w:rFonts w:ascii="Tahoma" w:cs="Tahoma" w:hAnsi="Tahoma" w:eastAsia="Tahoma"/>
          <w:b w:val="1"/>
          <w:bCs w:val="1"/>
        </w:rPr>
      </w:pPr>
    </w:p>
    <w:p>
      <w:pPr>
        <w:pStyle w:val="Body"/>
      </w:pPr>
      <w:r>
        <w:rPr>
          <w:rFonts w:ascii="Tahoma" w:cs="Tahoma" w:hAnsi="Tahoma" w:eastAsia="Tahoma"/>
          <w:b w:val="1"/>
          <w:bCs w:val="1"/>
        </w:rPr>
      </w:r>
    </w:p>
    <w:sectPr>
      <w:headerReference w:type="default" r:id="rId4"/>
      <w:footerReference w:type="default" r:id="rId5"/>
      <w:pgSz w:w="11900" w:h="16840" w:orient="portrait"/>
      <w:pgMar w:top="360" w:right="357" w:bottom="0" w:left="357" w:header="709"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Tahoma">
    <w:charset w:val="00"/>
    <w:family w:val="roman"/>
    <w:pitch w:val="default"/>
  </w:font>
  <w:font w:name="Cambria">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right"/>
    </w:pPr>
    <w:r>
      <w:drawing xmlns:a="http://schemas.openxmlformats.org/drawingml/2006/main">
        <wp:anchor distT="152400" distB="152400" distL="152400" distR="152400" simplePos="0" relativeHeight="251658240" behindDoc="1" locked="0" layoutInCell="1" allowOverlap="1">
          <wp:simplePos x="0" y="0"/>
          <wp:positionH relativeFrom="page">
            <wp:posOffset>228075</wp:posOffset>
          </wp:positionH>
          <wp:positionV relativeFrom="page">
            <wp:posOffset>-129015</wp:posOffset>
          </wp:positionV>
          <wp:extent cx="2303780" cy="765175"/>
          <wp:effectExtent l="0" t="0" r="0" b="0"/>
          <wp:wrapNone/>
          <wp:docPr id="1073741825" name="officeArt object" descr="uwtsd-logo-bilingual"/>
          <wp:cNvGraphicFramePr/>
          <a:graphic xmlns:a="http://schemas.openxmlformats.org/drawingml/2006/main">
            <a:graphicData uri="http://schemas.openxmlformats.org/drawingml/2006/picture">
              <pic:pic xmlns:pic="http://schemas.openxmlformats.org/drawingml/2006/picture">
                <pic:nvPicPr>
                  <pic:cNvPr id="1073741825" name="uwtsd-logo-bilingual" descr="uwtsd-logo-bilingual"/>
                  <pic:cNvPicPr>
                    <a:picLocks noChangeAspect="1"/>
                  </pic:cNvPicPr>
                </pic:nvPicPr>
                <pic:blipFill>
                  <a:blip r:embed="rId1">
                    <a:extLst/>
                  </a:blip>
                  <a:stretch>
                    <a:fillRect/>
                  </a:stretch>
                </pic:blipFill>
                <pic:spPr>
                  <a:xfrm>
                    <a:off x="0" y="0"/>
                    <a:ext cx="2303780" cy="765175"/>
                  </a:xfrm>
                  <a:prstGeom prst="rect">
                    <a:avLst/>
                  </a:prstGeom>
                  <a:ln w="12700" cap="flat">
                    <a:noFill/>
                    <a:miter lim="400000"/>
                  </a:ln>
                  <a:effectLst/>
                </pic:spPr>
              </pic:pic>
            </a:graphicData>
          </a:graphic>
        </wp:anchor>
      </w:drawing>
    </w:r>
    <w:r>
      <w:rPr>
        <w:rFonts w:ascii="Calibri" w:hAnsi="Calibri"/>
        <w:rtl w:val="0"/>
        <w:lang w:val="en-US"/>
      </w:rPr>
      <w:t>International Hotel Management</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
      <w:lvlJc w:val="left"/>
      <w:pPr>
        <w:tabs>
          <w:tab w:val="left" w:pos="720"/>
        </w:tabs>
        <w:ind w:left="14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character" w:styleId="Link">
    <w:name w:val="Link"/>
    <w:rPr>
      <w:outline w:val="0"/>
      <w:color w:val="0563c1"/>
      <w:u w:val="single" w:color="0563c1"/>
      <w14:textFill>
        <w14:solidFill>
          <w14:srgbClr w14:val="0563C1"/>
        </w14:solidFill>
      </w14:textFill>
    </w:rPr>
  </w:style>
  <w:style w:type="character" w:styleId="Hyperlink.0">
    <w:name w:val="Hyperlink.0"/>
    <w:basedOn w:val="Link"/>
    <w:next w:val="Hyperlink.0"/>
    <w:rPr>
      <w:rFonts w:ascii="Helvetica Neue" w:cs="Helvetica Neue" w:hAnsi="Helvetica Neue" w:eastAsia="Helvetica Neue"/>
      <w:sz w:val="16"/>
      <w:szCs w:val="16"/>
      <w:shd w:val="nil" w:color="auto" w:fill="auto"/>
      <w:lang w:val="en-US"/>
    </w:rPr>
  </w:style>
  <w:style w:type="character" w:styleId="Hyperlink.1">
    <w:name w:val="Hyperlink.1"/>
    <w:basedOn w:val="Link"/>
    <w:next w:val="Hyperlink.1"/>
    <w:rPr>
      <w:shd w:val="nil" w:color="auto" w:fill="auto"/>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