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269C9" w14:textId="4DCB066E" w:rsidR="00B43C40" w:rsidRPr="00C94379" w:rsidRDefault="00C94379" w:rsidP="00C81727">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shd w:val="clear" w:color="auto" w:fill="FFFFFF" w:themeFill="background1"/>
        <w:jc w:val="center"/>
        <w:rPr>
          <w:rFonts w:ascii="Arial" w:hAnsi="Arial" w:cs="Arial"/>
          <w:b/>
          <w:bCs/>
          <w:sz w:val="56"/>
          <w:szCs w:val="56"/>
        </w:rPr>
      </w:pPr>
      <w:r w:rsidRPr="00C94379">
        <w:rPr>
          <w:rFonts w:ascii="Arial" w:hAnsi="Arial" w:cs="Arial"/>
          <w:b/>
          <w:bCs/>
          <w:color w:val="202124"/>
          <w:sz w:val="56"/>
          <w:szCs w:val="56"/>
          <w:shd w:val="clear" w:color="auto" w:fill="FFFFFF"/>
        </w:rPr>
        <w:t xml:space="preserve">CIPD Level 5 Associate Diploma </w:t>
      </w:r>
    </w:p>
    <w:p w14:paraId="1BA131CB" w14:textId="52A8B3F8" w:rsidR="00B43C40" w:rsidRPr="00B43C40" w:rsidRDefault="00B43C40" w:rsidP="00B43C40">
      <w:pPr>
        <w:rPr>
          <w:rFonts w:ascii="Arial" w:hAnsi="Arial" w:cs="Arial"/>
          <w:sz w:val="36"/>
          <w:szCs w:val="36"/>
        </w:rPr>
      </w:pPr>
    </w:p>
    <w:p w14:paraId="11FFF045" w14:textId="293F675B" w:rsidR="00B43C40" w:rsidRPr="00B43C40" w:rsidRDefault="00B43C40" w:rsidP="00B43C40">
      <w:pPr>
        <w:rPr>
          <w:rFonts w:ascii="Arial" w:hAnsi="Arial" w:cs="Arial"/>
          <w:sz w:val="36"/>
          <w:szCs w:val="36"/>
        </w:rPr>
      </w:pPr>
    </w:p>
    <w:p w14:paraId="22B15166" w14:textId="77777777" w:rsidR="00B43C40" w:rsidRPr="00B43C40" w:rsidRDefault="00B43C40" w:rsidP="00B43C40">
      <w:pPr>
        <w:rPr>
          <w:rFonts w:ascii="Arial" w:hAnsi="Arial" w:cs="Arial"/>
          <w:sz w:val="36"/>
          <w:szCs w:val="36"/>
        </w:rPr>
      </w:pPr>
    </w:p>
    <w:p w14:paraId="078C70BA" w14:textId="27E0DD74" w:rsidR="00B43C40" w:rsidRPr="00B43C40" w:rsidRDefault="00C94379" w:rsidP="00B43C40">
      <w:pP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7BE25E3F" wp14:editId="7D1D68A8">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31CD4BAA" w14:textId="3C3A6927" w:rsidR="00B43C40" w:rsidRPr="00B43C40" w:rsidRDefault="00B43C40" w:rsidP="00B43C40">
      <w:pPr>
        <w:rPr>
          <w:rFonts w:ascii="Arial" w:hAnsi="Arial" w:cs="Arial"/>
          <w:sz w:val="36"/>
          <w:szCs w:val="36"/>
        </w:rPr>
      </w:pPr>
    </w:p>
    <w:p w14:paraId="2BDC8629" w14:textId="77777777" w:rsidR="00B43C40" w:rsidRPr="00B43C40" w:rsidRDefault="00B43C40" w:rsidP="00B43C40">
      <w:pPr>
        <w:rPr>
          <w:rFonts w:ascii="Arial" w:hAnsi="Arial" w:cs="Arial"/>
          <w:sz w:val="36"/>
          <w:szCs w:val="36"/>
        </w:rPr>
      </w:pPr>
    </w:p>
    <w:p w14:paraId="46139EB9" w14:textId="77777777" w:rsidR="00B43C40" w:rsidRPr="00B43C40" w:rsidRDefault="00B43C40" w:rsidP="00B43C40">
      <w:pPr>
        <w:rPr>
          <w:rFonts w:ascii="Arial" w:hAnsi="Arial" w:cs="Arial"/>
          <w:sz w:val="36"/>
          <w:szCs w:val="36"/>
        </w:rPr>
      </w:pPr>
    </w:p>
    <w:p w14:paraId="79BCF226" w14:textId="77777777" w:rsidR="00B43C40" w:rsidRPr="00B43C40" w:rsidRDefault="00B43C40" w:rsidP="00B43C40">
      <w:pPr>
        <w:rPr>
          <w:rFonts w:ascii="Arial" w:hAnsi="Arial" w:cs="Arial"/>
          <w:sz w:val="36"/>
          <w:szCs w:val="36"/>
        </w:rPr>
      </w:pPr>
    </w:p>
    <w:p w14:paraId="60A29EED" w14:textId="77777777" w:rsidR="00B43C40" w:rsidRPr="00B43C40" w:rsidRDefault="00B43C40" w:rsidP="00B43C40">
      <w:pPr>
        <w:rPr>
          <w:rFonts w:ascii="Arial" w:hAnsi="Arial" w:cs="Arial"/>
          <w:sz w:val="36"/>
          <w:szCs w:val="36"/>
        </w:rPr>
      </w:pPr>
    </w:p>
    <w:p w14:paraId="59B7E581" w14:textId="77777777" w:rsidR="00B43C40" w:rsidRPr="00B43C40" w:rsidRDefault="00B43C40" w:rsidP="00B43C40">
      <w:pPr>
        <w:rPr>
          <w:rFonts w:ascii="Arial" w:hAnsi="Arial" w:cs="Arial"/>
          <w:sz w:val="36"/>
          <w:szCs w:val="36"/>
        </w:rPr>
      </w:pPr>
    </w:p>
    <w:p w14:paraId="2837E074" w14:textId="77777777" w:rsidR="00012729" w:rsidRDefault="00012729" w:rsidP="00B43C40">
      <w:pPr>
        <w:rPr>
          <w:rFonts w:ascii="Arial" w:hAnsi="Arial" w:cs="Arial"/>
          <w:sz w:val="36"/>
          <w:szCs w:val="36"/>
        </w:rPr>
      </w:pPr>
    </w:p>
    <w:p w14:paraId="0DC974E6" w14:textId="1D9E8E74" w:rsidR="00B51C68" w:rsidRDefault="00B43C40"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B43C40">
        <w:rPr>
          <w:rFonts w:ascii="Arial" w:hAnsi="Arial" w:cs="Arial"/>
          <w:sz w:val="44"/>
          <w:szCs w:val="44"/>
        </w:rPr>
        <w:t>NEFYN CARDWELL</w:t>
      </w:r>
    </w:p>
    <w:p w14:paraId="3CBD6B4C" w14:textId="77777777" w:rsidR="001E0789" w:rsidRDefault="001E0789"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1E0789">
        <w:rPr>
          <w:rFonts w:ascii="Arial" w:hAnsi="Arial" w:cs="Arial"/>
          <w:sz w:val="44"/>
          <w:szCs w:val="44"/>
        </w:rPr>
        <w:t>Talent management and workforce planning</w:t>
      </w:r>
    </w:p>
    <w:p w14:paraId="48E1DC5F" w14:textId="10202879" w:rsidR="003221C7" w:rsidRDefault="003221C7"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3221C7">
        <w:rPr>
          <w:rFonts w:ascii="Arial" w:hAnsi="Arial" w:cs="Arial"/>
          <w:sz w:val="44"/>
          <w:szCs w:val="44"/>
        </w:rPr>
        <w:t>CIPD</w:t>
      </w:r>
      <w:r w:rsidR="00DF73E3">
        <w:rPr>
          <w:rFonts w:ascii="Arial" w:hAnsi="Arial" w:cs="Arial"/>
          <w:sz w:val="44"/>
          <w:szCs w:val="44"/>
        </w:rPr>
        <w:t xml:space="preserve"> - </w:t>
      </w:r>
      <w:r w:rsidRPr="003221C7">
        <w:rPr>
          <w:rFonts w:ascii="Arial" w:hAnsi="Arial" w:cs="Arial"/>
          <w:sz w:val="44"/>
          <w:szCs w:val="44"/>
        </w:rPr>
        <w:t>5HR0</w:t>
      </w:r>
      <w:r w:rsidR="001E0789">
        <w:rPr>
          <w:rFonts w:ascii="Arial" w:hAnsi="Arial" w:cs="Arial"/>
          <w:sz w:val="44"/>
          <w:szCs w:val="44"/>
        </w:rPr>
        <w:t>2</w:t>
      </w:r>
    </w:p>
    <w:p w14:paraId="25D77813" w14:textId="6A11D33E" w:rsidR="00C94379" w:rsidRDefault="00C94379"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Student no – 0001268</w:t>
      </w:r>
    </w:p>
    <w:p w14:paraId="7DA7B4FE" w14:textId="4BD5FC59"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CIPD no -  88139558</w:t>
      </w:r>
    </w:p>
    <w:p w14:paraId="08E15F92" w14:textId="289E7C5E" w:rsidR="005709AA" w:rsidRDefault="005709AA"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Word Count -</w:t>
      </w:r>
      <w:r w:rsidR="008A6B9C">
        <w:rPr>
          <w:rFonts w:ascii="Arial" w:hAnsi="Arial" w:cs="Arial"/>
          <w:sz w:val="44"/>
          <w:szCs w:val="44"/>
        </w:rPr>
        <w:t xml:space="preserve"> </w:t>
      </w:r>
      <w:r w:rsidR="00F0468C">
        <w:rPr>
          <w:rFonts w:ascii="Arial" w:hAnsi="Arial" w:cs="Arial"/>
          <w:sz w:val="44"/>
          <w:szCs w:val="44"/>
        </w:rPr>
        <w:t>3444</w:t>
      </w:r>
    </w:p>
    <w:p w14:paraId="27BCFA9F" w14:textId="77777777" w:rsidR="001048CD" w:rsidRDefault="001048CD" w:rsidP="00E46AE8">
      <w:pPr>
        <w:rPr>
          <w:rFonts w:ascii="Arial" w:hAnsi="Arial" w:cs="Arial"/>
          <w:b/>
          <w:bCs/>
          <w:u w:val="single"/>
        </w:rPr>
      </w:pPr>
    </w:p>
    <w:p w14:paraId="54687788" w14:textId="544CF76D" w:rsidR="009279A0" w:rsidRPr="009279A0" w:rsidRDefault="009279A0" w:rsidP="00E46AE8">
      <w:pPr>
        <w:rPr>
          <w:rFonts w:ascii="Arial" w:hAnsi="Arial" w:cs="Arial"/>
          <w:b/>
          <w:bCs/>
          <w:u w:val="single"/>
        </w:rPr>
      </w:pPr>
      <w:r w:rsidRPr="009279A0">
        <w:rPr>
          <w:rFonts w:ascii="Arial" w:hAnsi="Arial" w:cs="Arial"/>
          <w:b/>
          <w:bCs/>
          <w:u w:val="single"/>
        </w:rPr>
        <w:lastRenderedPageBreak/>
        <w:t>Task 1</w:t>
      </w:r>
    </w:p>
    <w:p w14:paraId="5C432A19" w14:textId="311063F5" w:rsidR="00024020" w:rsidRDefault="003C52CE" w:rsidP="00024020">
      <w:pPr>
        <w:rPr>
          <w:rFonts w:ascii="Arial" w:hAnsi="Arial" w:cs="Arial"/>
          <w:b/>
          <w:bCs/>
        </w:rPr>
      </w:pPr>
      <w:r>
        <w:rPr>
          <w:rFonts w:ascii="Arial" w:hAnsi="Arial" w:cs="Arial"/>
          <w:b/>
          <w:bCs/>
        </w:rPr>
        <w:t>1.</w:t>
      </w:r>
      <w:r w:rsidR="00E46AE8" w:rsidRPr="003254B7">
        <w:rPr>
          <w:rFonts w:ascii="Arial" w:hAnsi="Arial" w:cs="Arial"/>
          <w:b/>
          <w:bCs/>
        </w:rPr>
        <w:t>1)</w:t>
      </w:r>
      <w:r w:rsidR="00E46AE8" w:rsidRPr="003254B7">
        <w:rPr>
          <w:rFonts w:ascii="Arial" w:hAnsi="Arial" w:cs="Arial"/>
          <w:b/>
          <w:bCs/>
        </w:rPr>
        <w:tab/>
      </w:r>
      <w:r w:rsidR="005847B6" w:rsidRPr="005847B6">
        <w:rPr>
          <w:rFonts w:ascii="Arial" w:hAnsi="Arial" w:cs="Arial"/>
          <w:b/>
          <w:bCs/>
        </w:rPr>
        <w:t xml:space="preserve">New entrants to the parcel delivery market and other labour market competitors have adversely affected ParcelCare’s ability to compete in labour markets. Explain how ParcelCare can strategically position themselves in competitive labour markets. </w:t>
      </w:r>
    </w:p>
    <w:p w14:paraId="660EDB77" w14:textId="64EFA3B2" w:rsidR="002B1A05" w:rsidRPr="002B1A05" w:rsidRDefault="002B1A05" w:rsidP="002B1A05">
      <w:pPr>
        <w:rPr>
          <w:rFonts w:ascii="Arial" w:hAnsi="Arial" w:cs="Arial"/>
        </w:rPr>
      </w:pPr>
      <w:r w:rsidRPr="002B1A05">
        <w:rPr>
          <w:rFonts w:ascii="Arial" w:hAnsi="Arial" w:cs="Arial"/>
        </w:rPr>
        <w:t>ParcelCare can enhance its competitive position in the labour market through a combination of strategic internal and external measures designed to attract and retain talent in a rapidly evolving industry.</w:t>
      </w:r>
    </w:p>
    <w:p w14:paraId="062B34CE" w14:textId="51364295" w:rsidR="002B1A05" w:rsidRPr="002B1A05" w:rsidRDefault="002B1A05" w:rsidP="002B1A05">
      <w:pPr>
        <w:rPr>
          <w:rFonts w:ascii="Arial" w:hAnsi="Arial" w:cs="Arial"/>
        </w:rPr>
      </w:pPr>
      <w:r w:rsidRPr="002B1A05">
        <w:rPr>
          <w:rFonts w:ascii="Arial" w:hAnsi="Arial" w:cs="Arial"/>
        </w:rPr>
        <w:t>To begin, ParcelCare should conduct a comprehensive competitor analysis to assess the compensation packages, benefits, and work environments offered by both new entrants and established firms within the parcel delivery sector (Boxall &amp; Purcell, 2016). This will enable ParcelCare to identify areas where it can differentiate itself and offer a more compelling employee value proposition. By focusing on gaps in competitor offerings, ParcelCare can fine-tune its strategy to present a superior workplace experience, which could include not only competitive pay but also unique perks, growth opportunities, and an inclusive, innovative culture.</w:t>
      </w:r>
    </w:p>
    <w:p w14:paraId="78BDE5B1" w14:textId="06FB3197" w:rsidR="002B1A05" w:rsidRPr="002B1A05" w:rsidRDefault="002B1A05" w:rsidP="002B1A05">
      <w:pPr>
        <w:rPr>
          <w:rFonts w:ascii="Arial" w:hAnsi="Arial" w:cs="Arial"/>
        </w:rPr>
      </w:pPr>
      <w:r w:rsidRPr="002B1A05">
        <w:rPr>
          <w:rFonts w:ascii="Arial" w:hAnsi="Arial" w:cs="Arial"/>
        </w:rPr>
        <w:t>ParcelCare’s internal strategy should focus on developing a robust employer brand, positioning itself as an employer of choice. This involves fostering a positive workplace environment by offering career development opportunities, supporting work-life balance, and demonstrating strong leadership (Armstrong &amp; Taylor, 2014). ParcelCare’s employer branding efforts should communicate its commitment to employee well-being, professional growth, and inclusivity. A clear articulation of the company’s values, mission, and culture can help attract a diverse and motivated workforce aligned with these principles (Edwards, 2010).</w:t>
      </w:r>
    </w:p>
    <w:p w14:paraId="2EEE9408" w14:textId="31D6A3A4" w:rsidR="002B1A05" w:rsidRPr="002B1A05" w:rsidRDefault="002B1A05" w:rsidP="002B1A05">
      <w:pPr>
        <w:rPr>
          <w:rFonts w:ascii="Arial" w:hAnsi="Arial" w:cs="Arial"/>
        </w:rPr>
      </w:pPr>
      <w:r w:rsidRPr="002B1A05">
        <w:rPr>
          <w:rFonts w:ascii="Arial" w:hAnsi="Arial" w:cs="Arial"/>
        </w:rPr>
        <w:t>A key component of ParcelCare’s strategic positioning is a comprehensive reward system that reflects the expectations of today’s workforce. Beyond offering competitive salaries, ParcelCare should emphasize flexible working arrangements and non-monetary benefits such as meaningful work, a supportive environment, and opportunities for innovation and creativity (Armstrong &amp; Taylor, 2014). By promoting a culture that values diversity, inclusion, and innovation, ParcelCare can differentiate itself from competitors and enhance employee engagement and retention.</w:t>
      </w:r>
    </w:p>
    <w:p w14:paraId="798A7383" w14:textId="77777777" w:rsidR="001324F9" w:rsidRDefault="002B1A05" w:rsidP="002B1A05">
      <w:pPr>
        <w:rPr>
          <w:rFonts w:ascii="Arial" w:hAnsi="Arial" w:cs="Arial"/>
        </w:rPr>
      </w:pPr>
      <w:r w:rsidRPr="002B1A05">
        <w:rPr>
          <w:rFonts w:ascii="Arial" w:hAnsi="Arial" w:cs="Arial"/>
        </w:rPr>
        <w:t>Additionally, ParcelCare can leverage its corporate social responsibility (CSR) initiatives to appeal to talent that values ethical business practices and sustainability. Aligning with the growing trend of socially conscious employment, ParcelCare’s strong CSR stance can further enhance its attractiveness as an employer (Edwards, 2010).</w:t>
      </w:r>
    </w:p>
    <w:p w14:paraId="07707CF3" w14:textId="2887B729" w:rsidR="00A2196A" w:rsidRDefault="003C52CE" w:rsidP="002B1A05">
      <w:pPr>
        <w:rPr>
          <w:rFonts w:ascii="Arial" w:hAnsi="Arial" w:cs="Arial"/>
          <w:b/>
          <w:bCs/>
        </w:rPr>
      </w:pPr>
      <w:r>
        <w:rPr>
          <w:rFonts w:ascii="Arial" w:hAnsi="Arial" w:cs="Arial"/>
          <w:b/>
          <w:bCs/>
        </w:rPr>
        <w:t>1.</w:t>
      </w:r>
      <w:r w:rsidR="00E46AE8" w:rsidRPr="003254B7">
        <w:rPr>
          <w:rFonts w:ascii="Arial" w:hAnsi="Arial" w:cs="Arial"/>
          <w:b/>
          <w:bCs/>
        </w:rPr>
        <w:t>2)</w:t>
      </w:r>
      <w:r w:rsidR="00E46AE8" w:rsidRPr="003254B7">
        <w:rPr>
          <w:rFonts w:ascii="Arial" w:hAnsi="Arial" w:cs="Arial"/>
          <w:b/>
          <w:bCs/>
        </w:rPr>
        <w:tab/>
      </w:r>
      <w:r w:rsidR="00A2196A" w:rsidRPr="00A2196A">
        <w:rPr>
          <w:rFonts w:ascii="Arial" w:hAnsi="Arial" w:cs="Arial"/>
          <w:b/>
          <w:bCs/>
        </w:rPr>
        <w:t xml:space="preserve">Explain the impact of changing labour market conditions on resourcing decisions at ParcelCare. </w:t>
      </w:r>
    </w:p>
    <w:p w14:paraId="13D59613" w14:textId="2DB1F9CB" w:rsidR="00856266" w:rsidRPr="00856266" w:rsidRDefault="00856266" w:rsidP="000A0A5E">
      <w:pPr>
        <w:rPr>
          <w:rFonts w:ascii="Arial" w:hAnsi="Arial" w:cs="Arial"/>
        </w:rPr>
      </w:pPr>
      <w:r w:rsidRPr="00856266">
        <w:rPr>
          <w:rFonts w:ascii="Arial" w:hAnsi="Arial" w:cs="Arial"/>
        </w:rPr>
        <w:t>Changing labour market conditions play a pivotal role in influencing ParcelCare's resourcing decisions, directly impacting how the organi</w:t>
      </w:r>
      <w:r w:rsidR="00EB7952">
        <w:rPr>
          <w:rFonts w:ascii="Arial" w:hAnsi="Arial" w:cs="Arial"/>
        </w:rPr>
        <w:t>s</w:t>
      </w:r>
      <w:r w:rsidRPr="00856266">
        <w:rPr>
          <w:rFonts w:ascii="Arial" w:hAnsi="Arial" w:cs="Arial"/>
        </w:rPr>
        <w:t>ation approaches talent acquisition, retention, and development. When labour markets are tight—characteri</w:t>
      </w:r>
      <w:r w:rsidR="00EB7952">
        <w:rPr>
          <w:rFonts w:ascii="Arial" w:hAnsi="Arial" w:cs="Arial"/>
        </w:rPr>
        <w:t>s</w:t>
      </w:r>
      <w:r w:rsidRPr="00856266">
        <w:rPr>
          <w:rFonts w:ascii="Arial" w:hAnsi="Arial" w:cs="Arial"/>
        </w:rPr>
        <w:t xml:space="preserve">ed by high demand for workers and limited supply—ParcelCare would likely struggle to attract sufficient talent, necessitating a more aggressive approach in terms of compensation packages, enhanced </w:t>
      </w:r>
      <w:r w:rsidRPr="00856266">
        <w:rPr>
          <w:rFonts w:ascii="Arial" w:hAnsi="Arial" w:cs="Arial"/>
        </w:rPr>
        <w:lastRenderedPageBreak/>
        <w:t>benefits, and a stronger focus on employer branding to remain competitive (Armstrong &amp; Taylor, 2014). By contrast, in looser labour markets, where labour supply exceeds demand, ParcelCare could adopt a more selective recruitment process, potentially lowering costs and focusing on retaining key personnel while minimi</w:t>
      </w:r>
      <w:r w:rsidR="000A0A5E">
        <w:rPr>
          <w:rFonts w:ascii="Arial" w:hAnsi="Arial" w:cs="Arial"/>
        </w:rPr>
        <w:t>s</w:t>
      </w:r>
      <w:r w:rsidRPr="00856266">
        <w:rPr>
          <w:rFonts w:ascii="Arial" w:hAnsi="Arial" w:cs="Arial"/>
        </w:rPr>
        <w:t>ing turnover (Boxall &amp; Purcell, 2016).</w:t>
      </w:r>
    </w:p>
    <w:p w14:paraId="6A78A2BA" w14:textId="74535FE1" w:rsidR="00856266" w:rsidRPr="00856266" w:rsidRDefault="00856266" w:rsidP="00AF5D0E">
      <w:pPr>
        <w:rPr>
          <w:rFonts w:ascii="Arial" w:hAnsi="Arial" w:cs="Arial"/>
        </w:rPr>
      </w:pPr>
      <w:r w:rsidRPr="00856266">
        <w:rPr>
          <w:rFonts w:ascii="Arial" w:hAnsi="Arial" w:cs="Arial"/>
        </w:rPr>
        <w:t>Labour market conditions are shaped by a variety of external factors, including political, economic, and social changes</w:t>
      </w:r>
      <w:r w:rsidR="00A62ACD">
        <w:rPr>
          <w:rFonts w:ascii="Arial" w:hAnsi="Arial" w:cs="Arial"/>
        </w:rPr>
        <w:t>,</w:t>
      </w:r>
      <w:r w:rsidR="00A62ACD" w:rsidRPr="00A62ACD">
        <w:t xml:space="preserve"> </w:t>
      </w:r>
      <w:r w:rsidRPr="00856266">
        <w:rPr>
          <w:rFonts w:ascii="Arial" w:hAnsi="Arial" w:cs="Arial"/>
        </w:rPr>
        <w:t>all of which influence the balance of labour supply and demand. For example, during an economic recession, the surplus of available workers may offer ParcelCare a larger candidate pool, providing opportunities for cost-saving measures in recruitment. However, such situations may require careful strategic decisions around workforce costs, especially in maintaining employee morale and managing redundancies. Technological advancements also exert considerable pressure on labour markets, shifting the skills required for many jobs. ParcelCare must be proactive in addressing these changes by investing in reskilling and upskilling employees to meet evolving technological demands (Edwards, 2010). The PESTLE framework (Political, Economic, Social, Technological, Legal, Environmental) can be used to systematically analyse these external factors and their effects on labour supply, allowing ParcelCare to anticipate shifts in skill requirements and adapt its resourcing strategies accordingly.</w:t>
      </w:r>
    </w:p>
    <w:p w14:paraId="1BCBBD15" w14:textId="44C1BA4F" w:rsidR="00856266" w:rsidRDefault="00856266" w:rsidP="00C52158">
      <w:pPr>
        <w:rPr>
          <w:rFonts w:ascii="Arial" w:hAnsi="Arial" w:cs="Arial"/>
        </w:rPr>
      </w:pPr>
      <w:r w:rsidRPr="00856266">
        <w:rPr>
          <w:rFonts w:ascii="Arial" w:hAnsi="Arial" w:cs="Arial"/>
        </w:rPr>
        <w:t>In response to market changes, ParcelCare needs to adopt flexible resourcing strategies. In tight labour markets, ParcelCare should invest heavily in its employer brand and workplace culture to ensure it remains an attractive destination for talent. Conversely, in a looser market, the emphasis may shift towards internal talent development and retention initiatives to ensure that key roles remain filled, while also controlling turnover rates (Armstrong &amp; Taylor, 2014). Long-term workforce planning, coupled with a focus on strategic flexibility, will allow ParcelCare to manage uncertainties, such as economic fluctuations or the growing prevalence of remote work, ensuring the organi</w:t>
      </w:r>
      <w:r w:rsidR="00FF2832">
        <w:rPr>
          <w:rFonts w:ascii="Arial" w:hAnsi="Arial" w:cs="Arial"/>
        </w:rPr>
        <w:t>s</w:t>
      </w:r>
      <w:r w:rsidRPr="00856266">
        <w:rPr>
          <w:rFonts w:ascii="Arial" w:hAnsi="Arial" w:cs="Arial"/>
        </w:rPr>
        <w:t>ation remains resilient and adaptable in its resourcing decisions</w:t>
      </w:r>
    </w:p>
    <w:p w14:paraId="0309762C" w14:textId="23AFBFCA" w:rsidR="003254B7" w:rsidRDefault="003A0C84" w:rsidP="00E46AE8">
      <w:pPr>
        <w:rPr>
          <w:rFonts w:ascii="Arial" w:hAnsi="Arial" w:cs="Arial"/>
          <w:b/>
          <w:bCs/>
        </w:rPr>
      </w:pPr>
      <w:r w:rsidRPr="003A0C84">
        <w:rPr>
          <w:rFonts w:ascii="Arial" w:hAnsi="Arial" w:cs="Arial"/>
          <w:b/>
          <w:bCs/>
        </w:rPr>
        <w:t>3</w:t>
      </w:r>
      <w:r w:rsidR="0005161F">
        <w:rPr>
          <w:rFonts w:ascii="Arial" w:hAnsi="Arial" w:cs="Arial"/>
          <w:b/>
          <w:bCs/>
        </w:rPr>
        <w:t xml:space="preserve">)      </w:t>
      </w:r>
      <w:r w:rsidR="001E0789" w:rsidRPr="001E0789">
        <w:rPr>
          <w:rFonts w:ascii="Arial" w:hAnsi="Arial" w:cs="Arial"/>
          <w:b/>
          <w:bCs/>
        </w:rPr>
        <w:t>Discuss the role of government, employers and trade unions in ensuring future skills needs are met.</w:t>
      </w:r>
      <w:r w:rsidR="00B87784" w:rsidRPr="00B87784">
        <w:rPr>
          <w:rFonts w:ascii="Arial" w:hAnsi="Arial" w:cs="Arial"/>
          <w:b/>
          <w:bCs/>
        </w:rPr>
        <w:t xml:space="preserve"> </w:t>
      </w:r>
    </w:p>
    <w:p w14:paraId="775A8284" w14:textId="3ECE8010" w:rsidR="008F68DE" w:rsidRPr="008F68DE" w:rsidRDefault="008F68DE" w:rsidP="008F68DE">
      <w:pPr>
        <w:rPr>
          <w:rFonts w:ascii="Arial" w:hAnsi="Arial" w:cs="Arial"/>
        </w:rPr>
      </w:pPr>
      <w:r w:rsidRPr="008F68DE">
        <w:rPr>
          <w:rFonts w:ascii="Arial" w:hAnsi="Arial" w:cs="Arial"/>
        </w:rPr>
        <w:t>The collaboration between government, employers, and trade unions is essential in ensuring that future skills needs are met within an evolving labour market. Each of these entities plays a distinct yet interconnected role in shaping the workforce of the future, and their cooperation is crucial for fostering a skilled and adaptable workforce.</w:t>
      </w:r>
    </w:p>
    <w:p w14:paraId="5A4543CF" w14:textId="371F3A14" w:rsidR="008F68DE" w:rsidRPr="008F68DE" w:rsidRDefault="008F68DE" w:rsidP="00C52158">
      <w:pPr>
        <w:rPr>
          <w:rFonts w:ascii="Arial" w:hAnsi="Arial" w:cs="Arial"/>
        </w:rPr>
      </w:pPr>
      <w:r w:rsidRPr="008F68DE">
        <w:rPr>
          <w:rFonts w:ascii="Arial" w:hAnsi="Arial" w:cs="Arial"/>
        </w:rPr>
        <w:t>Governments are responsible for setting the framework for skills development by providing the necessary policy support, funding, and infrastructure for education and vocational training programs. Through strategic interventions such as apprenticeships, grants, and upskilling initiatives, governments can align national education and training systems with the skills required by the labour market. They also play a crucial role in forecasting future skills needs by analysing labour market trends and economic developments, ensuring that the workforce is equipped with the skills needed to support industry growth (OECD, 2019).</w:t>
      </w:r>
    </w:p>
    <w:p w14:paraId="01889A6A" w14:textId="73248106" w:rsidR="008F68DE" w:rsidRPr="008F68DE" w:rsidRDefault="008F68DE" w:rsidP="00814E6C">
      <w:pPr>
        <w:rPr>
          <w:rFonts w:ascii="Arial" w:hAnsi="Arial" w:cs="Arial"/>
        </w:rPr>
      </w:pPr>
      <w:r w:rsidRPr="008F68DE">
        <w:rPr>
          <w:rFonts w:ascii="Arial" w:hAnsi="Arial" w:cs="Arial"/>
        </w:rPr>
        <w:t xml:space="preserve">Employers, on the other hand, have a direct influence on shaping workforce skills by identifying the competencies required for their business operations and collaborating with educational institutions and training providers. Through investments in employee development, including internal training programs and partnerships with local colleges or </w:t>
      </w:r>
      <w:r w:rsidRPr="008F68DE">
        <w:rPr>
          <w:rFonts w:ascii="Arial" w:hAnsi="Arial" w:cs="Arial"/>
        </w:rPr>
        <w:lastRenderedPageBreak/>
        <w:t>universities, employers can ensure their workforce is prepared for future technological and market changes. Additionally, employers can provide valuable insights into emerging industry needs, enabling more targeted and effective workforce planning (Armstrong &amp; Taylor, 2014).</w:t>
      </w:r>
    </w:p>
    <w:p w14:paraId="26F33CBB" w14:textId="322FF496" w:rsidR="008F68DE" w:rsidRPr="008F68DE" w:rsidRDefault="008F68DE" w:rsidP="00814E6C">
      <w:pPr>
        <w:rPr>
          <w:rFonts w:ascii="Arial" w:hAnsi="Arial" w:cs="Arial"/>
        </w:rPr>
      </w:pPr>
      <w:r w:rsidRPr="008F68DE">
        <w:rPr>
          <w:rFonts w:ascii="Arial" w:hAnsi="Arial" w:cs="Arial"/>
        </w:rPr>
        <w:t>Trade unions also play a vital role in representing the interests of workers and advocating for fair access to training and development opportunities. They ensure that skills development is equitable and that workers are not left behind due to technological disruptions or shifting market demands. Unions often collaborate with employers and government bodies to shape policies and programs that support continuous learning and career progression, thus ensuring a more inclusive approach to skills development (CIPD, 2020).</w:t>
      </w:r>
    </w:p>
    <w:p w14:paraId="7D753E9A" w14:textId="41374751" w:rsidR="008F68DE" w:rsidRPr="008F68DE" w:rsidRDefault="00566D67" w:rsidP="00C52158">
      <w:pPr>
        <w:rPr>
          <w:rFonts w:ascii="Arial" w:hAnsi="Arial" w:cs="Arial"/>
        </w:rPr>
      </w:pPr>
      <w:r>
        <w:rPr>
          <w:rFonts w:ascii="Arial" w:hAnsi="Arial" w:cs="Arial"/>
        </w:rPr>
        <w:t>T</w:t>
      </w:r>
      <w:r w:rsidR="008F68DE" w:rsidRPr="008F68DE">
        <w:rPr>
          <w:rFonts w:ascii="Arial" w:hAnsi="Arial" w:cs="Arial"/>
        </w:rPr>
        <w:t>he coordinated efforts of governments, employers, and trade unions are critical for meeting future skills needs, ensuring that the workforce remains competitive, adaptable, and equipped to meet the demands of a rapidly changing global economy.</w:t>
      </w:r>
    </w:p>
    <w:p w14:paraId="506383F4" w14:textId="720C41F3" w:rsidR="00E46AE8" w:rsidRDefault="0072348A" w:rsidP="00E46AE8">
      <w:pPr>
        <w:rPr>
          <w:rFonts w:ascii="Arial" w:hAnsi="Arial" w:cs="Arial"/>
          <w:b/>
          <w:bCs/>
        </w:rPr>
      </w:pPr>
      <w:r>
        <w:rPr>
          <w:rFonts w:ascii="Arial" w:hAnsi="Arial" w:cs="Arial"/>
        </w:rPr>
        <w:t xml:space="preserve">4)     </w:t>
      </w:r>
      <w:r w:rsidRPr="0072348A">
        <w:rPr>
          <w:rFonts w:ascii="Arial" w:hAnsi="Arial" w:cs="Arial"/>
          <w:b/>
          <w:bCs/>
        </w:rPr>
        <w:t xml:space="preserve">To strengthen your argument to introduce workforce planning, evaluate techniques that can be used to support the process of workforce planning. </w:t>
      </w:r>
    </w:p>
    <w:p w14:paraId="4E845B88" w14:textId="096D5EF2" w:rsidR="00FA2B07" w:rsidRPr="00FA2B07" w:rsidRDefault="00FA2B07" w:rsidP="00FA2B07">
      <w:pPr>
        <w:rPr>
          <w:rFonts w:ascii="Arial" w:hAnsi="Arial" w:cs="Arial"/>
        </w:rPr>
      </w:pPr>
      <w:r w:rsidRPr="00FA2B07">
        <w:rPr>
          <w:rFonts w:ascii="Arial" w:hAnsi="Arial" w:cs="Arial"/>
        </w:rPr>
        <w:t>Workforce planning is not a standalone activity; it involves multiple tools and strategies to ensure that an organi</w:t>
      </w:r>
      <w:r w:rsidR="001451DE">
        <w:rPr>
          <w:rFonts w:ascii="Arial" w:hAnsi="Arial" w:cs="Arial"/>
        </w:rPr>
        <w:t>s</w:t>
      </w:r>
      <w:r w:rsidRPr="00FA2B07">
        <w:rPr>
          <w:rFonts w:ascii="Arial" w:hAnsi="Arial" w:cs="Arial"/>
        </w:rPr>
        <w:t>ation can meet its future staffing needs. The following techniques are central to supporting workforce planning and ensuring that ParcelCare can remain agile and competitive.</w:t>
      </w:r>
    </w:p>
    <w:p w14:paraId="257E3626" w14:textId="6CB93469" w:rsidR="00FA2B07" w:rsidRPr="00FA2B07" w:rsidRDefault="00FA2B07" w:rsidP="00FA2B07">
      <w:pPr>
        <w:rPr>
          <w:rFonts w:ascii="Arial" w:hAnsi="Arial" w:cs="Arial"/>
        </w:rPr>
      </w:pPr>
      <w:r w:rsidRPr="00FA2B07">
        <w:rPr>
          <w:rFonts w:ascii="Arial" w:hAnsi="Arial" w:cs="Arial"/>
        </w:rPr>
        <w:t>Labour demand forecasting is one of the most effective methods for anticipating future workforce needs. By analysing business objectives, growth projections, and market trends, ParcelCare can predict when and where additional staff will be required (CIPD, 2020). This proactive approach minimi</w:t>
      </w:r>
      <w:r w:rsidR="00736F6E">
        <w:rPr>
          <w:rFonts w:ascii="Arial" w:hAnsi="Arial" w:cs="Arial"/>
        </w:rPr>
        <w:t>s</w:t>
      </w:r>
      <w:r w:rsidRPr="00FA2B07">
        <w:rPr>
          <w:rFonts w:ascii="Arial" w:hAnsi="Arial" w:cs="Arial"/>
        </w:rPr>
        <w:t>es the risks associated with talent shortages or surpluses, improving operational efficiency. However, the effectiveness of forecasting is dependent on how well ParcelCare can account for external factors such as economic shifts and technological advancements. Regular updates to forecasts are necessary to ensure they remain relevant amidst a rapidly changing business environment.</w:t>
      </w:r>
    </w:p>
    <w:p w14:paraId="172A4B42" w14:textId="16B07179" w:rsidR="00FA2B07" w:rsidRPr="00FA2B07" w:rsidRDefault="00FA2B07" w:rsidP="00C52158">
      <w:pPr>
        <w:rPr>
          <w:rFonts w:ascii="Arial" w:hAnsi="Arial" w:cs="Arial"/>
        </w:rPr>
      </w:pPr>
      <w:r w:rsidRPr="00FA2B07">
        <w:rPr>
          <w:rFonts w:ascii="Arial" w:hAnsi="Arial" w:cs="Arial"/>
        </w:rPr>
        <w:t>Labour supply analysis is another key technique, which involves assessing both internal and external labour market conditions. Internally, ParcelCare must evaluate its workforce's demographics, skills, and retirement projections, while externally, it must stay informed about trends in labour availability (Beardwell &amp; Thompson, 2021). This allows the company to plan for potential skills shortages or identify areas where it can leverage surplus talent. One limitation is that this technique relies heavily on accurate data collection about employees, which requires robust human resource management systems.</w:t>
      </w:r>
    </w:p>
    <w:p w14:paraId="2BFD6A0E" w14:textId="39B3051B" w:rsidR="00FA2B07" w:rsidRPr="00FA2B07" w:rsidRDefault="00FA2B07" w:rsidP="00FE3876">
      <w:pPr>
        <w:rPr>
          <w:rFonts w:ascii="Arial" w:hAnsi="Arial" w:cs="Arial"/>
        </w:rPr>
      </w:pPr>
      <w:r w:rsidRPr="00FA2B07">
        <w:rPr>
          <w:rFonts w:ascii="Arial" w:hAnsi="Arial" w:cs="Arial"/>
        </w:rPr>
        <w:t>Gap analysis plays an essential role in comparing the current workforce’s skills against future needs. It identifies areas where ParcelCare may face shortages or surpluses in skills, enabling the company to plan recruitment, reskilling, or redeployment efforts. While this method is effective, it relies on the availability of accurate data and the company's ability to implement corrective strategies in a timely manner.</w:t>
      </w:r>
    </w:p>
    <w:p w14:paraId="5C23D808" w14:textId="66DBA368" w:rsidR="00FA2B07" w:rsidRPr="00FA2B07" w:rsidRDefault="00FA2B07" w:rsidP="00FE3876">
      <w:pPr>
        <w:rPr>
          <w:rFonts w:ascii="Arial" w:hAnsi="Arial" w:cs="Arial"/>
        </w:rPr>
      </w:pPr>
      <w:r w:rsidRPr="00FA2B07">
        <w:rPr>
          <w:rFonts w:ascii="Arial" w:hAnsi="Arial" w:cs="Arial"/>
        </w:rPr>
        <w:t>Succession planning is critical for ensuring leadership continuity and minimi</w:t>
      </w:r>
      <w:r w:rsidR="00FE3876">
        <w:rPr>
          <w:rFonts w:ascii="Arial" w:hAnsi="Arial" w:cs="Arial"/>
        </w:rPr>
        <w:t>s</w:t>
      </w:r>
      <w:r w:rsidRPr="00FA2B07">
        <w:rPr>
          <w:rFonts w:ascii="Arial" w:hAnsi="Arial" w:cs="Arial"/>
        </w:rPr>
        <w:t xml:space="preserve">ing risks associated with key role vacancies. By identifying high-potential employees and developing their leadership capabilities, ParcelCare can maintain stability in key positions (CIPD, 2020). </w:t>
      </w:r>
      <w:r w:rsidRPr="00FA2B07">
        <w:rPr>
          <w:rFonts w:ascii="Arial" w:hAnsi="Arial" w:cs="Arial"/>
        </w:rPr>
        <w:lastRenderedPageBreak/>
        <w:t>However, effective succession planning requires significant investment in leadership development programs and frequent evaluations to remain aligned with business needs.</w:t>
      </w:r>
    </w:p>
    <w:p w14:paraId="586DCE86" w14:textId="77777777" w:rsidR="001451DE" w:rsidRDefault="00FA2B07" w:rsidP="00FA2B07">
      <w:pPr>
        <w:rPr>
          <w:rFonts w:ascii="Arial" w:hAnsi="Arial" w:cs="Arial"/>
        </w:rPr>
      </w:pPr>
      <w:r w:rsidRPr="00FA2B07">
        <w:rPr>
          <w:rFonts w:ascii="Arial" w:hAnsi="Arial" w:cs="Arial"/>
        </w:rPr>
        <w:t>Together, these techniques create a comprehensive approach to workforce planning, allowing ParcelCare to anticipate future challenges and strategically align its talent management practices with its long-term business goals.</w:t>
      </w:r>
    </w:p>
    <w:p w14:paraId="275BAD54" w14:textId="65DC8882" w:rsidR="00270E69" w:rsidRDefault="00350CCD" w:rsidP="00FA2B07">
      <w:pPr>
        <w:rPr>
          <w:rFonts w:ascii="Arial" w:hAnsi="Arial" w:cs="Arial"/>
          <w:b/>
          <w:bCs/>
        </w:rPr>
      </w:pPr>
      <w:r w:rsidRPr="00350CCD">
        <w:rPr>
          <w:rFonts w:ascii="Arial" w:hAnsi="Arial" w:cs="Arial"/>
          <w:b/>
          <w:bCs/>
        </w:rPr>
        <w:t>5</w:t>
      </w:r>
      <w:r>
        <w:rPr>
          <w:rFonts w:ascii="Arial" w:hAnsi="Arial" w:cs="Arial"/>
          <w:b/>
          <w:bCs/>
        </w:rPr>
        <w:t>)</w:t>
      </w:r>
      <w:r w:rsidRPr="00350CCD">
        <w:rPr>
          <w:rFonts w:ascii="Arial" w:hAnsi="Arial" w:cs="Arial"/>
          <w:b/>
          <w:bCs/>
        </w:rPr>
        <w:tab/>
        <w:t>Currently, vacancies are advertised on ParcelCare’s website. Line managers then interview shortlisted applicants. You feel that these are suitable recruitment and selection methods to use but want to broaden the methods used. Evaluate the strengths and weaknesses of two different recruitment methods and two different selection methods. (AC 2.3)</w:t>
      </w:r>
      <w:r w:rsidR="006B2F05">
        <w:rPr>
          <w:rFonts w:ascii="Arial" w:hAnsi="Arial" w:cs="Arial"/>
          <w:b/>
          <w:bCs/>
        </w:rPr>
        <w:t xml:space="preserve"> </w:t>
      </w:r>
    </w:p>
    <w:p w14:paraId="117EE1B1" w14:textId="2E41531D" w:rsidR="00C7016B" w:rsidRPr="00C7016B" w:rsidRDefault="00C7016B" w:rsidP="00C7016B">
      <w:pPr>
        <w:rPr>
          <w:rFonts w:ascii="Arial" w:hAnsi="Arial" w:cs="Arial"/>
        </w:rPr>
      </w:pPr>
      <w:r w:rsidRPr="00C7016B">
        <w:rPr>
          <w:rFonts w:ascii="Arial" w:hAnsi="Arial" w:cs="Arial"/>
        </w:rPr>
        <w:t>To enhance ParcelCare's recruitment and selection processes, it is valuable to evaluate alternative methods that could complement current practices, each offering distinct strengths and weaknesses. Expanding the range of recruitment and selection tools can improve the overall quality of hires and the efficiency of the hiring process.</w:t>
      </w:r>
    </w:p>
    <w:p w14:paraId="4BA501CA" w14:textId="77777777" w:rsidR="00C7016B" w:rsidRPr="00C7016B" w:rsidRDefault="00C7016B" w:rsidP="00C7016B">
      <w:pPr>
        <w:rPr>
          <w:rFonts w:ascii="Arial" w:hAnsi="Arial" w:cs="Arial"/>
        </w:rPr>
      </w:pPr>
      <w:r w:rsidRPr="00C7016B">
        <w:rPr>
          <w:rFonts w:ascii="Arial" w:hAnsi="Arial" w:cs="Arial"/>
        </w:rPr>
        <w:t>Recruitment Methods:</w:t>
      </w:r>
    </w:p>
    <w:p w14:paraId="5873080C" w14:textId="28DF1241" w:rsidR="00C7016B" w:rsidRPr="00C7016B" w:rsidRDefault="00C7016B" w:rsidP="00C7016B">
      <w:pPr>
        <w:rPr>
          <w:rFonts w:ascii="Arial" w:hAnsi="Arial" w:cs="Arial"/>
        </w:rPr>
      </w:pPr>
      <w:r w:rsidRPr="00C7016B">
        <w:rPr>
          <w:rFonts w:ascii="Arial" w:hAnsi="Arial" w:cs="Arial"/>
        </w:rPr>
        <w:t>Job boards, such as Indeed or LinkedIn, are a common tool for attracting a large and diverse pool of candidates. Their primary strength lies in their broad reach, allowing ParcelCare to access a wide audience, including both active job seekers and passive candidates who may not be actively searching but are open to new opportunities (Armstrong &amp; Taylor, 2014). Moreover, these platforms allow targeted advertisements based on specific skills, locations, or job roles, making them cost-effective for reaching suitable candidates. However, the major drawback of job boards is the volume of applications they generate, which can overwhelm HR teams. This influx often leads to time-consuming shortlisting processes and a higher likelihood of receiving unqualified or less engaged candidates (Beardwell &amp; Thompson, 2021).</w:t>
      </w:r>
    </w:p>
    <w:p w14:paraId="74078367" w14:textId="639DEA34" w:rsidR="00C7016B" w:rsidRPr="00C7016B" w:rsidRDefault="00C7016B" w:rsidP="00C52158">
      <w:pPr>
        <w:rPr>
          <w:rFonts w:ascii="Arial" w:hAnsi="Arial" w:cs="Arial"/>
        </w:rPr>
      </w:pPr>
      <w:r w:rsidRPr="00C7016B">
        <w:rPr>
          <w:rFonts w:ascii="Arial" w:hAnsi="Arial" w:cs="Arial"/>
        </w:rPr>
        <w:t>Employee referrals leverage the networks of current employees, offering an efficient way to find new talent. One of the main advantages is that referred candidates are likely to be a better cultural fit, as they come with insider knowledge of the organisation's values and work environment. This often results in higher retention rates and faster hiring times (CIPD, 2020). However, the reliance on referrals can unintentionally reduce diversity, as employees tend to recommend individuals similar to themselves in terms of background, experience, and perspective (Armstrong &amp; Taylor, 2014).</w:t>
      </w:r>
    </w:p>
    <w:p w14:paraId="5F48FA7B" w14:textId="77777777" w:rsidR="00C7016B" w:rsidRPr="00C7016B" w:rsidRDefault="00C7016B" w:rsidP="00C7016B">
      <w:pPr>
        <w:rPr>
          <w:rFonts w:ascii="Arial" w:hAnsi="Arial" w:cs="Arial"/>
        </w:rPr>
      </w:pPr>
      <w:r w:rsidRPr="00C7016B">
        <w:rPr>
          <w:rFonts w:ascii="Arial" w:hAnsi="Arial" w:cs="Arial"/>
        </w:rPr>
        <w:t>Selection Methods:</w:t>
      </w:r>
    </w:p>
    <w:p w14:paraId="5323004C" w14:textId="692E56C8" w:rsidR="00C7016B" w:rsidRPr="00C7016B" w:rsidRDefault="00C7016B" w:rsidP="00C7016B">
      <w:pPr>
        <w:rPr>
          <w:rFonts w:ascii="Arial" w:hAnsi="Arial" w:cs="Arial"/>
        </w:rPr>
      </w:pPr>
      <w:r w:rsidRPr="00C7016B">
        <w:rPr>
          <w:rFonts w:ascii="Arial" w:hAnsi="Arial" w:cs="Arial"/>
        </w:rPr>
        <w:t>Structured interviews involve asking each candidate the same set of predefined questions, promoting fairness and making it easier to compare applicants directly. This method is highly reliable and has been shown to predict job performance more accurately than unstructured interviews (CIPD, 2020). However, a weakness of structured interviews is that they can sometimes feel inflexible, limiting the opportunity for candidates to express their full personality or adapt their answers to the dynamic nature of the interview (Beardwell &amp; Thompson, 2021).</w:t>
      </w:r>
    </w:p>
    <w:p w14:paraId="52261FA6" w14:textId="50F9F463" w:rsidR="00C7016B" w:rsidRPr="00C52158" w:rsidRDefault="00C7016B" w:rsidP="00C52158">
      <w:pPr>
        <w:rPr>
          <w:rFonts w:ascii="Arial" w:hAnsi="Arial" w:cs="Arial"/>
        </w:rPr>
      </w:pPr>
      <w:r w:rsidRPr="00C7016B">
        <w:rPr>
          <w:rFonts w:ascii="Arial" w:hAnsi="Arial" w:cs="Arial"/>
        </w:rPr>
        <w:lastRenderedPageBreak/>
        <w:t>Psychometric tests assess a candidate’s cognitive abilities or personality traits, providing an objective measure that can help predict how well a candidate might perform in specific roles. These tests are particularly useful for jobs requiring particular skill sets or high levels of cognitive function (Armstrong &amp; Taylor, 2014). However, psychometric tests can be costly and time-consuming to administer, and they do not always guarantee an accurate prediction of a candidate’s real-world job performance (CIPD, 2020).</w:t>
      </w:r>
    </w:p>
    <w:p w14:paraId="30C01F07" w14:textId="77777777" w:rsidR="00B865E0" w:rsidRDefault="00B865E0" w:rsidP="00E676DF">
      <w:pPr>
        <w:rPr>
          <w:rFonts w:ascii="Arial" w:hAnsi="Arial" w:cs="Arial"/>
          <w:b/>
          <w:bCs/>
        </w:rPr>
      </w:pPr>
      <w:r w:rsidRPr="00B865E0">
        <w:rPr>
          <w:rFonts w:ascii="Arial" w:hAnsi="Arial" w:cs="Arial"/>
          <w:b/>
          <w:bCs/>
        </w:rPr>
        <w:t>6</w:t>
      </w:r>
      <w:r>
        <w:rPr>
          <w:rFonts w:ascii="Arial" w:hAnsi="Arial" w:cs="Arial"/>
          <w:b/>
          <w:bCs/>
        </w:rPr>
        <w:t xml:space="preserve">)   </w:t>
      </w:r>
      <w:r w:rsidRPr="00B865E0">
        <w:rPr>
          <w:rFonts w:ascii="Arial" w:hAnsi="Arial" w:cs="Arial"/>
          <w:b/>
          <w:bC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439AC46" w14:textId="7EF505A3" w:rsidR="00F709BD" w:rsidRPr="00F709BD" w:rsidRDefault="00F709BD" w:rsidP="00F709BD">
      <w:pPr>
        <w:rPr>
          <w:rFonts w:ascii="Arial" w:hAnsi="Arial" w:cs="Arial"/>
        </w:rPr>
      </w:pPr>
      <w:r w:rsidRPr="00F709BD">
        <w:rPr>
          <w:rFonts w:ascii="Arial" w:hAnsi="Arial" w:cs="Arial"/>
        </w:rPr>
        <w:t>Employee turnover can be categori</w:t>
      </w:r>
      <w:r>
        <w:rPr>
          <w:rFonts w:ascii="Arial" w:hAnsi="Arial" w:cs="Arial"/>
        </w:rPr>
        <w:t>s</w:t>
      </w:r>
      <w:r w:rsidRPr="00F709BD">
        <w:rPr>
          <w:rFonts w:ascii="Arial" w:hAnsi="Arial" w:cs="Arial"/>
        </w:rPr>
        <w:t>ed into two main types: avoidable and unavoidable turnover. Avoidable turnover refers to resignations that could have been prevented by the employer, often resulting from factors such as job dissatisfaction, lack of career development opportunities, inadequate compensation, or poor management (Boxall &amp; Purcell, 2016). This type of turnover indicates issues within the organi</w:t>
      </w:r>
      <w:r w:rsidR="00294895">
        <w:rPr>
          <w:rFonts w:ascii="Arial" w:hAnsi="Arial" w:cs="Arial"/>
        </w:rPr>
        <w:t>s</w:t>
      </w:r>
      <w:r w:rsidRPr="00F709BD">
        <w:rPr>
          <w:rFonts w:ascii="Arial" w:hAnsi="Arial" w:cs="Arial"/>
        </w:rPr>
        <w:t>ation that can be mitigated by improving employee engagement, offering competitive pay, enhancing career progression opportunities, and fostering positive leadership and workplace culture. Addressing these factors can lead to higher retention rates and lower recruitment costs.</w:t>
      </w:r>
    </w:p>
    <w:p w14:paraId="03526926" w14:textId="32AE2F0F" w:rsidR="00F709BD" w:rsidRPr="00F709BD" w:rsidRDefault="00F709BD" w:rsidP="00F709BD">
      <w:pPr>
        <w:rPr>
          <w:rFonts w:ascii="Arial" w:hAnsi="Arial" w:cs="Arial"/>
        </w:rPr>
      </w:pPr>
      <w:r w:rsidRPr="00F709BD">
        <w:rPr>
          <w:rFonts w:ascii="Arial" w:hAnsi="Arial" w:cs="Arial"/>
        </w:rPr>
        <w:t>On the other hand, unavoidable turnover occurs due to circumstances beyond the employer's control, such as retirement, relocation, health issues, or family commitments (Armstrong &amp; Taylor, 2014). While these departures are a natural part of workforce dynamics, they still require attention through effective workforce planning to manage transitions and ensure continuity of operations. For instance, succession planning and knowledge transfer initiatives can help mitigate the operational disruptions caused by unavoidable turnover.</w:t>
      </w:r>
    </w:p>
    <w:p w14:paraId="732C3E4A" w14:textId="23738104" w:rsidR="00F709BD" w:rsidRPr="00F709BD" w:rsidRDefault="00F709BD" w:rsidP="00C52158">
      <w:pPr>
        <w:rPr>
          <w:rFonts w:ascii="Arial" w:hAnsi="Arial" w:cs="Arial"/>
        </w:rPr>
      </w:pPr>
      <w:r w:rsidRPr="00F709BD">
        <w:rPr>
          <w:rFonts w:ascii="Arial" w:hAnsi="Arial" w:cs="Arial"/>
        </w:rPr>
        <w:t>Understanding employee turnover also involves examining push and pull factors, which explain why employees leave an organi</w:t>
      </w:r>
      <w:r w:rsidR="00294895">
        <w:rPr>
          <w:rFonts w:ascii="Arial" w:hAnsi="Arial" w:cs="Arial"/>
        </w:rPr>
        <w:t>s</w:t>
      </w:r>
      <w:r w:rsidRPr="00F709BD">
        <w:rPr>
          <w:rFonts w:ascii="Arial" w:hAnsi="Arial" w:cs="Arial"/>
        </w:rPr>
        <w:t>ation. Push factors are internal elements that drive employees to leave, such as poor working conditions, limited career development opportunities, unsupportive management, or a toxic workplace culture (CIPD, 2020). These factors often contribute to avoidable turnover, as they stem from issues that employers can address. Solutions include improving management practices, fostering better communication, and investing in employee development programs to create a more supportive work environment.</w:t>
      </w:r>
    </w:p>
    <w:p w14:paraId="5D27A878" w14:textId="4B9BAC64" w:rsidR="00F709BD" w:rsidRPr="00F709BD" w:rsidRDefault="00F709BD" w:rsidP="00F709BD">
      <w:pPr>
        <w:rPr>
          <w:rFonts w:ascii="Arial" w:hAnsi="Arial" w:cs="Arial"/>
        </w:rPr>
      </w:pPr>
      <w:r w:rsidRPr="00F709BD">
        <w:rPr>
          <w:rFonts w:ascii="Arial" w:hAnsi="Arial" w:cs="Arial"/>
        </w:rPr>
        <w:t>In contrast, pull factors are external attractions that draw employees to other organi</w:t>
      </w:r>
      <w:r w:rsidR="00294895">
        <w:rPr>
          <w:rFonts w:ascii="Arial" w:hAnsi="Arial" w:cs="Arial"/>
        </w:rPr>
        <w:t>s</w:t>
      </w:r>
      <w:r w:rsidRPr="00F709BD">
        <w:rPr>
          <w:rFonts w:ascii="Arial" w:hAnsi="Arial" w:cs="Arial"/>
        </w:rPr>
        <w:t>ations. These factors include better job offers, higher salaries, superior benefits, or more desirable work environments offered elsewhere (Beardwell &amp; Thompson, 2021). Although pull factors are more difficult for employers to control, creating a strong employee value proposition can make employees less likely to seek opportunities elsewhere.</w:t>
      </w:r>
    </w:p>
    <w:p w14:paraId="3ECAE23E" w14:textId="5576FCFA" w:rsidR="00E676DF" w:rsidRPr="009B0398" w:rsidRDefault="00F709BD" w:rsidP="00F709BD">
      <w:pPr>
        <w:rPr>
          <w:rFonts w:ascii="Arial" w:hAnsi="Arial" w:cs="Arial"/>
        </w:rPr>
      </w:pPr>
      <w:r w:rsidRPr="00F709BD">
        <w:rPr>
          <w:rFonts w:ascii="Arial" w:hAnsi="Arial" w:cs="Arial"/>
        </w:rPr>
        <w:t>By differentiating between avoidable/unavoidable turnover and push/pull factors, ParcelCare can craft targeted strategies to reduce turnover, improve retention, and better align with internal targets</w:t>
      </w:r>
      <w:r w:rsidR="002C29B0" w:rsidRPr="002C29B0">
        <w:rPr>
          <w:rFonts w:ascii="Arial" w:hAnsi="Arial" w:cs="Arial"/>
        </w:rPr>
        <w:t>.</w:t>
      </w:r>
    </w:p>
    <w:p w14:paraId="2070D24F" w14:textId="132AB9D1" w:rsidR="00250097" w:rsidRDefault="004075B2" w:rsidP="003334E1">
      <w:pPr>
        <w:rPr>
          <w:rFonts w:ascii="Arial" w:hAnsi="Arial" w:cs="Arial"/>
          <w:b/>
          <w:bCs/>
        </w:rPr>
      </w:pPr>
      <w:r>
        <w:rPr>
          <w:rFonts w:ascii="Arial" w:hAnsi="Arial" w:cs="Arial"/>
          <w:b/>
          <w:bCs/>
        </w:rPr>
        <w:lastRenderedPageBreak/>
        <w:t xml:space="preserve">7)  </w:t>
      </w:r>
      <w:r w:rsidRPr="004075B2">
        <w:rPr>
          <w:rFonts w:ascii="Arial" w:hAnsi="Arial" w:cs="Arial"/>
          <w:b/>
          <w:bCs/>
        </w:rPr>
        <w:t xml:space="preserve">Retention of warehouse staff is an issue, as there are many labour market competitors. Compare the following retention approaches: realistic job previews; induction; job enrichment; and reward. </w:t>
      </w:r>
      <w:r>
        <w:rPr>
          <w:rFonts w:ascii="Arial" w:hAnsi="Arial" w:cs="Arial"/>
          <w:b/>
          <w:bCs/>
        </w:rPr>
        <w:t xml:space="preserve"> </w:t>
      </w:r>
    </w:p>
    <w:p w14:paraId="5E1780E4" w14:textId="3CE1739B" w:rsidR="00CF0855" w:rsidRPr="00CF0855" w:rsidRDefault="00CF0855" w:rsidP="00CF0855">
      <w:pPr>
        <w:rPr>
          <w:rFonts w:ascii="Arial" w:hAnsi="Arial" w:cs="Arial"/>
        </w:rPr>
      </w:pPr>
      <w:r w:rsidRPr="00CF0855">
        <w:rPr>
          <w:rFonts w:ascii="Arial" w:hAnsi="Arial" w:cs="Arial"/>
        </w:rPr>
        <w:t>Retention of warehouse staff can be challenging in competitive labour markets. ParcelCare can benefit from implementing various retention approaches, including realistic job previews, induction, job enrichment, and rewards.</w:t>
      </w:r>
    </w:p>
    <w:p w14:paraId="32C02386" w14:textId="11F52F33" w:rsidR="00CF0855" w:rsidRPr="00CF0855" w:rsidRDefault="00CF0855" w:rsidP="00CF0855">
      <w:pPr>
        <w:rPr>
          <w:rFonts w:ascii="Arial" w:hAnsi="Arial" w:cs="Arial"/>
        </w:rPr>
      </w:pPr>
      <w:r w:rsidRPr="00CF0855">
        <w:rPr>
          <w:rFonts w:ascii="Arial" w:hAnsi="Arial" w:cs="Arial"/>
        </w:rPr>
        <w:t>Realistic Job Previews (RJPs) involve providing potential employees with an accurate and honest depiction of their future role, including both the positive and negative aspects of the job. Research shows that RJPs reduce turnover by managing expectations and helping candidates determine if the role is suitable for them before accepting the position (CIPD, 2022). For ParcelCare, using RJPs can lower early-stage attrition by ensuring that new hires have a clear understanding of the physical demands and operational realities of warehouse work.</w:t>
      </w:r>
    </w:p>
    <w:p w14:paraId="265D70AD" w14:textId="3406C209" w:rsidR="00CF0855" w:rsidRPr="00CF0855" w:rsidRDefault="00CF0855" w:rsidP="00CF0855">
      <w:pPr>
        <w:rPr>
          <w:rFonts w:ascii="Arial" w:hAnsi="Arial" w:cs="Arial"/>
        </w:rPr>
      </w:pPr>
      <w:r w:rsidRPr="00CF0855">
        <w:rPr>
          <w:rFonts w:ascii="Arial" w:hAnsi="Arial" w:cs="Arial"/>
        </w:rPr>
        <w:t>Induction programs help new employees integrate into the organisation, fostering a sense of belonging and improving engagement. A well-structured induction process, including on-the-job training and socialisation, can significantly boost retention by making employees feel supported from the outset (Armstrong &amp; Taylor, 2023). ParcelCare should ensure that its induction programs provide clarity about job roles, performance expectations, and safety protocols, which are crucial for warehouse staff.</w:t>
      </w:r>
    </w:p>
    <w:p w14:paraId="60B19D85" w14:textId="4E1DB6DC" w:rsidR="00CF0855" w:rsidRPr="00CF0855" w:rsidRDefault="00CF0855" w:rsidP="00CF0855">
      <w:pPr>
        <w:rPr>
          <w:rFonts w:ascii="Arial" w:hAnsi="Arial" w:cs="Arial"/>
        </w:rPr>
      </w:pPr>
      <w:r w:rsidRPr="00CF0855">
        <w:rPr>
          <w:rFonts w:ascii="Arial" w:hAnsi="Arial" w:cs="Arial"/>
        </w:rPr>
        <w:t>Job Enrichment refers to enhancing job roles to make them more fulfilling by increasing autonomy, variety, and opportunities for growth. Studies suggest that enriched jobs improve employee satisfaction and reduce turnover, as employees find their roles more engaging and meaningful (Beardwell &amp; Thompson, 2023). ParcelCare could redesign warehouse roles to include more responsibility, such as team leadership or process improvement opportunities, which m</w:t>
      </w:r>
      <w:r>
        <w:rPr>
          <w:rFonts w:ascii="Arial" w:hAnsi="Arial" w:cs="Arial"/>
        </w:rPr>
        <w:t>a</w:t>
      </w:r>
      <w:r w:rsidRPr="00CF0855">
        <w:rPr>
          <w:rFonts w:ascii="Arial" w:hAnsi="Arial" w:cs="Arial"/>
        </w:rPr>
        <w:t>y enhance job satisfaction and retention.</w:t>
      </w:r>
    </w:p>
    <w:p w14:paraId="2214E64A" w14:textId="18F4D5E1" w:rsidR="004075B2" w:rsidRPr="004075B2" w:rsidRDefault="00CF0855" w:rsidP="00CF0855">
      <w:pPr>
        <w:rPr>
          <w:rFonts w:ascii="Arial" w:hAnsi="Arial" w:cs="Arial"/>
        </w:rPr>
      </w:pPr>
      <w:r w:rsidRPr="00CF0855">
        <w:rPr>
          <w:rFonts w:ascii="Arial" w:hAnsi="Arial" w:cs="Arial"/>
        </w:rPr>
        <w:t>Rewards are a key motivator in retaining staff. A comprehensive reward strategy, including competitive pay, bonuses, and non-monetary benefits like recognition, can help retain employees in competitive labour markets (CIPD, 2022). ParcelCare could develop a performance-based reward system to recognise high-performing warehouse staff, thus improving retention.</w:t>
      </w:r>
    </w:p>
    <w:p w14:paraId="6FB486AE" w14:textId="36E245EB" w:rsidR="00E676DF" w:rsidRDefault="004A374F" w:rsidP="003334E1">
      <w:pPr>
        <w:rPr>
          <w:rFonts w:ascii="Arial" w:hAnsi="Arial" w:cs="Arial"/>
          <w:b/>
          <w:bCs/>
        </w:rPr>
      </w:pPr>
      <w:r>
        <w:rPr>
          <w:rFonts w:ascii="Arial" w:hAnsi="Arial" w:cs="Arial"/>
          <w:b/>
          <w:bCs/>
        </w:rPr>
        <w:t xml:space="preserve">8) </w:t>
      </w:r>
      <w:r w:rsidRPr="004A374F">
        <w:rPr>
          <w:rFonts w:ascii="Arial" w:hAnsi="Arial" w:cs="Arial"/>
          <w:b/>
          <w:bCs/>
        </w:rPr>
        <w:t>To influence the senior leadership team to accept that employee turnover should be addressed, explain the impact of dysfunctional employee turnover</w:t>
      </w:r>
    </w:p>
    <w:p w14:paraId="7305223A" w14:textId="7F5F2C54" w:rsidR="00C27BE2" w:rsidRPr="00C27BE2" w:rsidRDefault="00C27BE2" w:rsidP="00C27BE2">
      <w:pPr>
        <w:rPr>
          <w:rFonts w:ascii="Arial" w:hAnsi="Arial" w:cs="Arial"/>
        </w:rPr>
      </w:pPr>
      <w:r w:rsidRPr="00C27BE2">
        <w:rPr>
          <w:rFonts w:ascii="Arial" w:hAnsi="Arial" w:cs="Arial"/>
        </w:rPr>
        <w:t>Dysfunctional employee turnover, where high-performing or essential employees leave an organi</w:t>
      </w:r>
      <w:r w:rsidR="00867CF9">
        <w:rPr>
          <w:rFonts w:ascii="Arial" w:hAnsi="Arial" w:cs="Arial"/>
        </w:rPr>
        <w:t>s</w:t>
      </w:r>
      <w:r w:rsidRPr="00C27BE2">
        <w:rPr>
          <w:rFonts w:ascii="Arial" w:hAnsi="Arial" w:cs="Arial"/>
        </w:rPr>
        <w:t>ation, poses significant risks to its performance and long-term viability. For ParcelCare, addressing this issue is crucial, as the consequences can be particularly harmful to both operational efficiency and employee morale.</w:t>
      </w:r>
    </w:p>
    <w:p w14:paraId="21AB0AD1" w14:textId="7EB2B31B" w:rsidR="00C27BE2" w:rsidRPr="00C27BE2" w:rsidRDefault="00C27BE2" w:rsidP="00284FAF">
      <w:pPr>
        <w:rPr>
          <w:rFonts w:ascii="Arial" w:hAnsi="Arial" w:cs="Arial"/>
        </w:rPr>
      </w:pPr>
      <w:r w:rsidRPr="00C27BE2">
        <w:rPr>
          <w:rFonts w:ascii="Arial" w:hAnsi="Arial" w:cs="Arial"/>
        </w:rPr>
        <w:t>One major impact of dysfunctional turnover is the loss of critical organi</w:t>
      </w:r>
      <w:r w:rsidR="00284FAF">
        <w:rPr>
          <w:rFonts w:ascii="Arial" w:hAnsi="Arial" w:cs="Arial"/>
        </w:rPr>
        <w:t>s</w:t>
      </w:r>
      <w:r w:rsidRPr="00C27BE2">
        <w:rPr>
          <w:rFonts w:ascii="Arial" w:hAnsi="Arial" w:cs="Arial"/>
        </w:rPr>
        <w:t>ational knowledge and skills. High-performing employees often possess valuable expertise and institutional knowledge, which are difficult and costly to replace. Their departure can lead to operational disruptions, especially in roles where speciali</w:t>
      </w:r>
      <w:r w:rsidR="00284FAF">
        <w:rPr>
          <w:rFonts w:ascii="Arial" w:hAnsi="Arial" w:cs="Arial"/>
        </w:rPr>
        <w:t>s</w:t>
      </w:r>
      <w:r w:rsidRPr="00C27BE2">
        <w:rPr>
          <w:rFonts w:ascii="Arial" w:hAnsi="Arial" w:cs="Arial"/>
        </w:rPr>
        <w:t xml:space="preserve">ed skills or in-depth understanding of the company’s processes are required (Armstrong &amp; Taylor, 2023). In a logistics-driven </w:t>
      </w:r>
      <w:r w:rsidRPr="00C27BE2">
        <w:rPr>
          <w:rFonts w:ascii="Arial" w:hAnsi="Arial" w:cs="Arial"/>
        </w:rPr>
        <w:lastRenderedPageBreak/>
        <w:t>environment like ParcelCare’s, this loss can result in reduced productivity and inefficiencies, affecting delivery times and customer satisfaction.</w:t>
      </w:r>
    </w:p>
    <w:p w14:paraId="30AFB322" w14:textId="36CF1D54" w:rsidR="00C27BE2" w:rsidRPr="00C27BE2" w:rsidRDefault="00C27BE2" w:rsidP="00284FAF">
      <w:pPr>
        <w:rPr>
          <w:rFonts w:ascii="Arial" w:hAnsi="Arial" w:cs="Arial"/>
        </w:rPr>
      </w:pPr>
      <w:r w:rsidRPr="00C27BE2">
        <w:rPr>
          <w:rFonts w:ascii="Arial" w:hAnsi="Arial" w:cs="Arial"/>
        </w:rPr>
        <w:t>A second impact is the increased recruitment and training costs. Replacing highly skilled employees requires significant investment in recruitment, onboarding, and training, all of which drain organi</w:t>
      </w:r>
      <w:r w:rsidR="00284FAF">
        <w:rPr>
          <w:rFonts w:ascii="Arial" w:hAnsi="Arial" w:cs="Arial"/>
        </w:rPr>
        <w:t>s</w:t>
      </w:r>
      <w:r w:rsidRPr="00C27BE2">
        <w:rPr>
          <w:rFonts w:ascii="Arial" w:hAnsi="Arial" w:cs="Arial"/>
        </w:rPr>
        <w:t>ational resources. New hires typically take time to reach the same productivity levels as their predecessors, which means that during this adjustment period, overall performance can suffer (Beardwell &amp; Thompson, 2023). For ParcelCare, this could result in missed deadlines or compromised service quality, ultimately affecting its competitive position in the market.</w:t>
      </w:r>
    </w:p>
    <w:p w14:paraId="14586FC0" w14:textId="4D8AA4F1" w:rsidR="00C27BE2" w:rsidRPr="00C27BE2" w:rsidRDefault="00C27BE2" w:rsidP="00284FAF">
      <w:pPr>
        <w:rPr>
          <w:rFonts w:ascii="Arial" w:hAnsi="Arial" w:cs="Arial"/>
        </w:rPr>
      </w:pPr>
      <w:r w:rsidRPr="00C27BE2">
        <w:rPr>
          <w:rFonts w:ascii="Arial" w:hAnsi="Arial" w:cs="Arial"/>
        </w:rPr>
        <w:t>Declining employee morale and engagement is another serious consequence of dysfunctional turnover. When high-performing employees leave, remaining staff may perceive this as a sign of dissatisfaction or instability within the organization. This can lead to reduced motivation, increased workloads for those who remain, and a higher risk of further turnover (CIPD, 2022). In a competitive labour market, especially in sectors requiring skilled warehouse and delivery workers, low morale and disengagement can further exacerbate retention challenges.</w:t>
      </w:r>
    </w:p>
    <w:p w14:paraId="119389B3" w14:textId="493C91EA" w:rsidR="008B3F4C" w:rsidRPr="008B3F4C" w:rsidRDefault="00C27BE2" w:rsidP="00C27BE2">
      <w:pPr>
        <w:rPr>
          <w:rFonts w:ascii="Arial" w:hAnsi="Arial" w:cs="Arial"/>
        </w:rPr>
      </w:pPr>
      <w:r w:rsidRPr="00C27BE2">
        <w:rPr>
          <w:rFonts w:ascii="Arial" w:hAnsi="Arial" w:cs="Arial"/>
        </w:rPr>
        <w:t>By understanding the significant impacts of dysfunctional turnover, ParcelCare's senior leadership team can see the importance of investing in retention strategies that prioriti</w:t>
      </w:r>
      <w:r w:rsidR="00867CF9">
        <w:rPr>
          <w:rFonts w:ascii="Arial" w:hAnsi="Arial" w:cs="Arial"/>
        </w:rPr>
        <w:t>s</w:t>
      </w:r>
      <w:r w:rsidRPr="00C27BE2">
        <w:rPr>
          <w:rFonts w:ascii="Arial" w:hAnsi="Arial" w:cs="Arial"/>
        </w:rPr>
        <w:t>e employee satisfaction, development, and engagement. Effective retention strategies will not only help retain key talent but also improve organi</w:t>
      </w:r>
      <w:r w:rsidR="00867CF9">
        <w:rPr>
          <w:rFonts w:ascii="Arial" w:hAnsi="Arial" w:cs="Arial"/>
        </w:rPr>
        <w:t>s</w:t>
      </w:r>
      <w:r w:rsidRPr="00C27BE2">
        <w:rPr>
          <w:rFonts w:ascii="Arial" w:hAnsi="Arial" w:cs="Arial"/>
        </w:rPr>
        <w:t>ational resilience, operational efficiency, and long-term profitability. This, in turn, enhances the overall business performance of ParcelCare.</w:t>
      </w:r>
    </w:p>
    <w:p w14:paraId="3E3CDCB2" w14:textId="1E7AF5B1" w:rsidR="004A374F" w:rsidRDefault="002711AE" w:rsidP="003334E1">
      <w:pPr>
        <w:rPr>
          <w:rFonts w:ascii="Arial" w:hAnsi="Arial" w:cs="Arial"/>
          <w:b/>
          <w:bCs/>
        </w:rPr>
      </w:pPr>
      <w:r w:rsidRPr="002711AE">
        <w:rPr>
          <w:rFonts w:ascii="Arial" w:hAnsi="Arial" w:cs="Arial"/>
          <w:b/>
          <w:bCs/>
        </w:rPr>
        <w:t>9.</w:t>
      </w:r>
      <w:r>
        <w:rPr>
          <w:rFonts w:ascii="Arial" w:hAnsi="Arial" w:cs="Arial"/>
          <w:b/>
          <w:bCs/>
        </w:rPr>
        <w:t xml:space="preserve">   </w:t>
      </w:r>
      <w:r w:rsidRPr="002711AE">
        <w:rPr>
          <w:rFonts w:ascii="Arial" w:hAnsi="Arial" w:cs="Arial"/>
          <w:b/>
          <w:bC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w:t>
      </w:r>
    </w:p>
    <w:p w14:paraId="2527BE93" w14:textId="14449519" w:rsidR="0007647E" w:rsidRPr="0007647E" w:rsidRDefault="0007647E" w:rsidP="0007647E">
      <w:pPr>
        <w:rPr>
          <w:rFonts w:ascii="Arial" w:hAnsi="Arial" w:cs="Arial"/>
        </w:rPr>
      </w:pPr>
      <w:r w:rsidRPr="0007647E">
        <w:rPr>
          <w:rFonts w:ascii="Arial" w:hAnsi="Arial" w:cs="Arial"/>
        </w:rPr>
        <w:t>Permanent, full-time contracts are commonly used in many organisations, including ParcelCare. These contracts offer job security, consistent pay, and benefits such as paid leave and pensions. For ParcelCare’s delivery drivers, permanent contracts can foster employee loyalty, reduce turnover, and ensure a stable workforce. Moreover, employees on permanent contracts tend to develop a deeper understanding of organisational processes, improving efficiency and customer satisfaction (Armstrong &amp; Taylor, 2023). However, the downside is inflexibility, particularly when delivery demand fluctuates. During periods of low demand, ParcelCare may face higher operational costs, paying for underutilised staff.</w:t>
      </w:r>
    </w:p>
    <w:p w14:paraId="65CDEA4C" w14:textId="6C5A45A5" w:rsidR="0007647E" w:rsidRPr="0007647E" w:rsidRDefault="0007647E" w:rsidP="0007647E">
      <w:pPr>
        <w:rPr>
          <w:rFonts w:ascii="Arial" w:hAnsi="Arial" w:cs="Arial"/>
        </w:rPr>
      </w:pPr>
      <w:r w:rsidRPr="0007647E">
        <w:rPr>
          <w:rFonts w:ascii="Arial" w:hAnsi="Arial" w:cs="Arial"/>
        </w:rPr>
        <w:t xml:space="preserve">An alternative option is zero-hours contracts, which offer flexibility to both the employer and employees. Zero-hours contracts allow ParcelCare to adjust staffing levels based on demand, reducing labour costs during quieter periods. Employees, meanwhile, benefit from the ability to choose when they work, which could appeal to individuals seeking flexibility, such as students or retirees. However, zero-hours contracts can lead to lower employee engagement and loyalty due to a lack of job security and consistent income (Beardwell &amp; </w:t>
      </w:r>
      <w:r w:rsidRPr="0007647E">
        <w:rPr>
          <w:rFonts w:ascii="Arial" w:hAnsi="Arial" w:cs="Arial"/>
        </w:rPr>
        <w:lastRenderedPageBreak/>
        <w:t>Thompson, 2023). While suitable for fluctuating demand, over-reliance on these contracts could affect the quality of service, as employees may not be as committed to the company.</w:t>
      </w:r>
    </w:p>
    <w:p w14:paraId="189C6291" w14:textId="22527D60" w:rsidR="0007647E" w:rsidRDefault="0007647E" w:rsidP="0007647E">
      <w:pPr>
        <w:rPr>
          <w:rFonts w:ascii="Arial" w:hAnsi="Arial" w:cs="Arial"/>
        </w:rPr>
      </w:pPr>
      <w:r w:rsidRPr="0007647E">
        <w:rPr>
          <w:rFonts w:ascii="Arial" w:hAnsi="Arial" w:cs="Arial"/>
        </w:rPr>
        <w:t>Another option is fixed-term contracts, which are useful for meeting temporary increases in demand, such as during holiday seasons or promotional events. Fixed-term contracts provide ParcelCare with flexibility, as the company can employ drivers for a specific period without long-term commitment. This helps in managing short-term increases in workload without incurring the costs of permanent staff. However, fixed-term employees may not feel as integrated into the organisational culture as permanent staff, which can affect performance and engagement (CIPD, 2022).</w:t>
      </w:r>
    </w:p>
    <w:p w14:paraId="378EA063" w14:textId="20CDEB89" w:rsidR="00005675" w:rsidRPr="0007647E" w:rsidRDefault="00005675" w:rsidP="0007647E">
      <w:pPr>
        <w:rPr>
          <w:rFonts w:ascii="Arial" w:hAnsi="Arial" w:cs="Arial"/>
        </w:rPr>
      </w:pPr>
      <w:r w:rsidRPr="00005675">
        <w:rPr>
          <w:rFonts w:ascii="Arial" w:hAnsi="Arial" w:cs="Arial"/>
        </w:rPr>
        <w:t>For highly specialised tasks or projects, engaging contractors or gig economy workers can be advantageous. These arrangements provide expertise and flexibility but come with less control over working practices and no long-term commitment from the worker. This is effective for projects requiring specific skills on a short-term basis (CIPD, 2022).</w:t>
      </w:r>
    </w:p>
    <w:p w14:paraId="43C310FF" w14:textId="7BA6A0A9" w:rsidR="004A374F" w:rsidRPr="004A374F" w:rsidRDefault="004B22DC" w:rsidP="00C52158">
      <w:pPr>
        <w:rPr>
          <w:rFonts w:ascii="Arial" w:hAnsi="Arial" w:cs="Arial"/>
        </w:rPr>
      </w:pPr>
      <w:r>
        <w:rPr>
          <w:rFonts w:ascii="Arial" w:hAnsi="Arial" w:cs="Arial"/>
        </w:rPr>
        <w:t xml:space="preserve">What can be seen is </w:t>
      </w:r>
      <w:r w:rsidR="0007647E" w:rsidRPr="0007647E">
        <w:rPr>
          <w:rFonts w:ascii="Arial" w:hAnsi="Arial" w:cs="Arial"/>
        </w:rPr>
        <w:t>while permanent, full-time contracts provide stability and foster loyalty, ParcelCare should also consider zero-hours and fixed-term contracts to manage fluctuating demand. A combination of these contract types could offer the right balance between flexibility and workforce stability, improving overall operational efficiency.</w:t>
      </w:r>
    </w:p>
    <w:p w14:paraId="194A5E60" w14:textId="77777777" w:rsidR="006A214B" w:rsidRDefault="006A214B" w:rsidP="00647074">
      <w:pPr>
        <w:rPr>
          <w:rFonts w:ascii="Arial" w:hAnsi="Arial" w:cs="Arial"/>
          <w:b/>
          <w:bCs/>
        </w:rPr>
      </w:pPr>
      <w:r w:rsidRPr="006A214B">
        <w:rPr>
          <w:rFonts w:ascii="Arial" w:hAnsi="Arial" w:cs="Arial"/>
          <w:b/>
          <w:bCs/>
        </w:rPr>
        <w:t>10.</w:t>
      </w:r>
      <w:r w:rsidRPr="006A214B">
        <w:rPr>
          <w:rFonts w:ascii="Arial" w:hAnsi="Arial" w:cs="Arial"/>
          <w:b/>
          <w:bCs/>
        </w:rPr>
        <w:tab/>
        <w:t xml:space="preserve">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w:t>
      </w:r>
    </w:p>
    <w:p w14:paraId="44100CBA" w14:textId="01FCBBDC" w:rsidR="00E400B3" w:rsidRPr="00E400B3" w:rsidRDefault="00E400B3" w:rsidP="00E400B3">
      <w:pPr>
        <w:rPr>
          <w:rFonts w:ascii="Arial" w:hAnsi="Arial" w:cs="Arial"/>
        </w:rPr>
      </w:pPr>
      <w:r w:rsidRPr="00E400B3">
        <w:rPr>
          <w:rFonts w:ascii="Arial" w:hAnsi="Arial" w:cs="Arial"/>
        </w:rPr>
        <w:t>Effective onboarding is essential for successfully integrating new employees into an organi</w:t>
      </w:r>
      <w:r w:rsidR="006415FA">
        <w:rPr>
          <w:rFonts w:ascii="Arial" w:hAnsi="Arial" w:cs="Arial"/>
        </w:rPr>
        <w:t>s</w:t>
      </w:r>
      <w:r w:rsidRPr="00E400B3">
        <w:rPr>
          <w:rFonts w:ascii="Arial" w:hAnsi="Arial" w:cs="Arial"/>
        </w:rPr>
        <w:t>ation and ensuring their swift adaptation to their roles. Investing in this process offers several key benefits that can significantly improve the overall performance and retention of new hires at ParcelCare.</w:t>
      </w:r>
    </w:p>
    <w:p w14:paraId="4140956A" w14:textId="5E70F7CD" w:rsidR="00E400B3" w:rsidRPr="00E400B3" w:rsidRDefault="00E400B3" w:rsidP="00E400B3">
      <w:pPr>
        <w:rPr>
          <w:rFonts w:ascii="Arial" w:hAnsi="Arial" w:cs="Arial"/>
        </w:rPr>
      </w:pPr>
      <w:r w:rsidRPr="00E400B3">
        <w:rPr>
          <w:rFonts w:ascii="Arial" w:hAnsi="Arial" w:cs="Arial"/>
        </w:rPr>
        <w:t>One of the primary benefits of effective onboarding is that it helps reduce first-day anxieties by providing new employees with crucial information before they begin. This can include details about company policies, dress code, and the agenda for their first day, which allows employees to feel more prepared and confident (Klein &amp; Weaver, 2023). This preparation fosters a smoother transition into the organization, reducing the likelihood of early-stage frustration or confusion.</w:t>
      </w:r>
    </w:p>
    <w:p w14:paraId="4A17B44F" w14:textId="7F5C7DA5" w:rsidR="00E400B3" w:rsidRPr="00E400B3" w:rsidRDefault="00E400B3" w:rsidP="00F0468C">
      <w:pPr>
        <w:rPr>
          <w:rFonts w:ascii="Arial" w:hAnsi="Arial" w:cs="Arial"/>
        </w:rPr>
      </w:pPr>
      <w:r w:rsidRPr="00E400B3">
        <w:rPr>
          <w:rFonts w:ascii="Arial" w:hAnsi="Arial" w:cs="Arial"/>
        </w:rPr>
        <w:t>Additionally, a comprehensive onboarding process ensures that new employees gain a deeper understanding of the organi</w:t>
      </w:r>
      <w:r w:rsidR="004A31D1">
        <w:rPr>
          <w:rFonts w:ascii="Arial" w:hAnsi="Arial" w:cs="Arial"/>
        </w:rPr>
        <w:t>s</w:t>
      </w:r>
      <w:r w:rsidRPr="00E400B3">
        <w:rPr>
          <w:rFonts w:ascii="Arial" w:hAnsi="Arial" w:cs="Arial"/>
        </w:rPr>
        <w:t>ation’s structure, culture, and their specific department. This fosters alignment with ParcelCare’s mission, values, and objectives, helping new hires see how their roles contribute to broader organizational goals (Brewster et al., 2023). When new employees understand how their work fits into the overall company strategy, they are more likely to be engaged and motivated to perform well.</w:t>
      </w:r>
    </w:p>
    <w:p w14:paraId="17888EFC" w14:textId="6ADE1487" w:rsidR="00E400B3" w:rsidRPr="00E400B3" w:rsidRDefault="00E400B3" w:rsidP="00E400B3">
      <w:pPr>
        <w:rPr>
          <w:rFonts w:ascii="Arial" w:hAnsi="Arial" w:cs="Arial"/>
        </w:rPr>
      </w:pPr>
      <w:r w:rsidRPr="00E400B3">
        <w:rPr>
          <w:rFonts w:ascii="Arial" w:hAnsi="Arial" w:cs="Arial"/>
        </w:rPr>
        <w:t>Furthermore, clearly defining job responsibilities and performance expectations is a crucial component of onboarding. Providing this clarity early on ensures that new employees know what is expected of them, which reduces uncertainty and helps them achieve better job performance from the outset. Offering opportunities for sociali</w:t>
      </w:r>
      <w:r w:rsidR="00C6519E">
        <w:rPr>
          <w:rFonts w:ascii="Arial" w:hAnsi="Arial" w:cs="Arial"/>
        </w:rPr>
        <w:t>s</w:t>
      </w:r>
      <w:r w:rsidRPr="00E400B3">
        <w:rPr>
          <w:rFonts w:ascii="Arial" w:hAnsi="Arial" w:cs="Arial"/>
        </w:rPr>
        <w:t xml:space="preserve">ation with colleagues and </w:t>
      </w:r>
      <w:r w:rsidRPr="00E400B3">
        <w:rPr>
          <w:rFonts w:ascii="Arial" w:hAnsi="Arial" w:cs="Arial"/>
        </w:rPr>
        <w:lastRenderedPageBreak/>
        <w:t>access to ongoing support, such as mentoring or coaching, can also play a vital role in helping new hires adapt to the company’s culture and work environment (Klein &amp; Weaver, 2023).</w:t>
      </w:r>
    </w:p>
    <w:p w14:paraId="3B16E2F1" w14:textId="547450E4" w:rsidR="00E400B3" w:rsidRPr="00E400B3" w:rsidRDefault="00E400B3" w:rsidP="00E400B3">
      <w:pPr>
        <w:rPr>
          <w:rFonts w:ascii="Arial" w:hAnsi="Arial" w:cs="Arial"/>
        </w:rPr>
      </w:pPr>
      <w:r w:rsidRPr="00E400B3">
        <w:rPr>
          <w:rFonts w:ascii="Arial" w:hAnsi="Arial" w:cs="Arial"/>
        </w:rPr>
        <w:t>The long-term benefits of effective onboarding include higher employee retention and job satisfaction, as new hires are less likely to leave if they feel well-supported during their transition into the organi</w:t>
      </w:r>
      <w:r w:rsidR="00876E3A">
        <w:rPr>
          <w:rFonts w:ascii="Arial" w:hAnsi="Arial" w:cs="Arial"/>
        </w:rPr>
        <w:t>s</w:t>
      </w:r>
      <w:r w:rsidRPr="00E400B3">
        <w:rPr>
          <w:rFonts w:ascii="Arial" w:hAnsi="Arial" w:cs="Arial"/>
        </w:rPr>
        <w:t>ation. A well-structured onboarding program contributes to reduced turnover, enhanced job performance, and greater overall employee engagement, ultimately benefiting ParcelCare’s long-term success (Brewster et al., 2023).</w:t>
      </w:r>
    </w:p>
    <w:p w14:paraId="439306C1" w14:textId="56F3163D" w:rsidR="003A6893" w:rsidRPr="00E400B3" w:rsidRDefault="00E400B3" w:rsidP="00E400B3">
      <w:pPr>
        <w:rPr>
          <w:rFonts w:ascii="Arial" w:hAnsi="Arial" w:cs="Arial"/>
        </w:rPr>
      </w:pPr>
      <w:r w:rsidRPr="00E400B3">
        <w:rPr>
          <w:rFonts w:ascii="Arial" w:hAnsi="Arial" w:cs="Arial"/>
        </w:rPr>
        <w:t>By investing in effective onboarding, ParcelCare can ensure that new employees are fully integrated, productive, and aligned with the company’s goals, contributing to improved organi</w:t>
      </w:r>
      <w:r w:rsidR="00876E3A">
        <w:rPr>
          <w:rFonts w:ascii="Arial" w:hAnsi="Arial" w:cs="Arial"/>
        </w:rPr>
        <w:t>s</w:t>
      </w:r>
      <w:r w:rsidRPr="00E400B3">
        <w:rPr>
          <w:rFonts w:ascii="Arial" w:hAnsi="Arial" w:cs="Arial"/>
        </w:rPr>
        <w:t>ational performance</w:t>
      </w:r>
    </w:p>
    <w:p w14:paraId="42FD8C58" w14:textId="77777777" w:rsidR="003A6893" w:rsidRDefault="003A6893" w:rsidP="003334E1">
      <w:pPr>
        <w:rPr>
          <w:rFonts w:ascii="Arial" w:hAnsi="Arial" w:cs="Arial"/>
          <w:b/>
          <w:bCs/>
        </w:rPr>
      </w:pPr>
    </w:p>
    <w:p w14:paraId="6D5C3FCF" w14:textId="77777777" w:rsidR="001E205A" w:rsidRDefault="001E205A" w:rsidP="003334E1">
      <w:pPr>
        <w:rPr>
          <w:rFonts w:ascii="Arial" w:hAnsi="Arial" w:cs="Arial"/>
          <w:b/>
          <w:bCs/>
        </w:rPr>
      </w:pPr>
    </w:p>
    <w:p w14:paraId="798C82D3" w14:textId="77777777" w:rsidR="001E205A" w:rsidRDefault="001E205A" w:rsidP="003334E1">
      <w:pPr>
        <w:rPr>
          <w:rFonts w:ascii="Arial" w:hAnsi="Arial" w:cs="Arial"/>
          <w:b/>
          <w:bCs/>
        </w:rPr>
      </w:pPr>
    </w:p>
    <w:p w14:paraId="3F7CE569" w14:textId="77777777" w:rsidR="001E205A" w:rsidRDefault="001E205A" w:rsidP="003334E1">
      <w:pPr>
        <w:rPr>
          <w:rFonts w:ascii="Arial" w:hAnsi="Arial" w:cs="Arial"/>
          <w:b/>
          <w:bCs/>
        </w:rPr>
      </w:pPr>
    </w:p>
    <w:p w14:paraId="1D5791C3" w14:textId="77777777" w:rsidR="001E205A" w:rsidRDefault="001E205A" w:rsidP="003334E1">
      <w:pPr>
        <w:rPr>
          <w:rFonts w:ascii="Arial" w:hAnsi="Arial" w:cs="Arial"/>
          <w:b/>
          <w:bCs/>
        </w:rPr>
      </w:pPr>
    </w:p>
    <w:p w14:paraId="13F549E6" w14:textId="77777777" w:rsidR="001E205A" w:rsidRDefault="001E205A" w:rsidP="003334E1">
      <w:pPr>
        <w:rPr>
          <w:rFonts w:ascii="Arial" w:hAnsi="Arial" w:cs="Arial"/>
          <w:b/>
          <w:bCs/>
        </w:rPr>
      </w:pPr>
    </w:p>
    <w:p w14:paraId="366F84AC" w14:textId="77777777" w:rsidR="001E205A" w:rsidRDefault="001E205A" w:rsidP="003334E1">
      <w:pPr>
        <w:rPr>
          <w:rFonts w:ascii="Arial" w:hAnsi="Arial" w:cs="Arial"/>
          <w:b/>
          <w:bCs/>
        </w:rPr>
      </w:pPr>
    </w:p>
    <w:p w14:paraId="409974B2" w14:textId="77777777" w:rsidR="001E205A" w:rsidRDefault="001E205A" w:rsidP="003334E1">
      <w:pPr>
        <w:rPr>
          <w:rFonts w:ascii="Arial" w:hAnsi="Arial" w:cs="Arial"/>
          <w:b/>
          <w:bCs/>
        </w:rPr>
      </w:pPr>
    </w:p>
    <w:p w14:paraId="6779D1C6" w14:textId="77777777" w:rsidR="001E205A" w:rsidRDefault="001E205A" w:rsidP="003334E1">
      <w:pPr>
        <w:rPr>
          <w:rFonts w:ascii="Arial" w:hAnsi="Arial" w:cs="Arial"/>
          <w:b/>
          <w:bCs/>
        </w:rPr>
      </w:pPr>
    </w:p>
    <w:p w14:paraId="66C57BCE" w14:textId="77777777" w:rsidR="001E205A" w:rsidRDefault="001E205A" w:rsidP="003334E1">
      <w:pPr>
        <w:rPr>
          <w:rFonts w:ascii="Arial" w:hAnsi="Arial" w:cs="Arial"/>
          <w:b/>
          <w:bCs/>
        </w:rPr>
      </w:pPr>
    </w:p>
    <w:p w14:paraId="3BF289F7" w14:textId="77777777" w:rsidR="001E205A" w:rsidRDefault="001E205A" w:rsidP="003334E1">
      <w:pPr>
        <w:rPr>
          <w:rFonts w:ascii="Arial" w:hAnsi="Arial" w:cs="Arial"/>
          <w:b/>
          <w:bCs/>
        </w:rPr>
      </w:pPr>
    </w:p>
    <w:p w14:paraId="0DFE8C88" w14:textId="77777777" w:rsidR="003A6893" w:rsidRDefault="003A6893" w:rsidP="003334E1">
      <w:pPr>
        <w:rPr>
          <w:rFonts w:ascii="Arial" w:hAnsi="Arial" w:cs="Arial"/>
          <w:b/>
          <w:bCs/>
        </w:rPr>
      </w:pPr>
    </w:p>
    <w:p w14:paraId="234F9B28" w14:textId="77777777" w:rsidR="00C52158" w:rsidRDefault="00C52158" w:rsidP="003334E1">
      <w:pPr>
        <w:rPr>
          <w:rFonts w:ascii="Arial" w:hAnsi="Arial" w:cs="Arial"/>
          <w:b/>
          <w:bCs/>
        </w:rPr>
      </w:pPr>
    </w:p>
    <w:p w14:paraId="5B3C1B02" w14:textId="77777777" w:rsidR="00C52158" w:rsidRDefault="00C52158" w:rsidP="003334E1">
      <w:pPr>
        <w:rPr>
          <w:rFonts w:ascii="Arial" w:hAnsi="Arial" w:cs="Arial"/>
          <w:b/>
          <w:bCs/>
        </w:rPr>
      </w:pPr>
    </w:p>
    <w:p w14:paraId="0D81C140" w14:textId="77777777" w:rsidR="00C52158" w:rsidRDefault="00C52158" w:rsidP="003334E1">
      <w:pPr>
        <w:rPr>
          <w:rFonts w:ascii="Arial" w:hAnsi="Arial" w:cs="Arial"/>
          <w:b/>
          <w:bCs/>
        </w:rPr>
      </w:pPr>
    </w:p>
    <w:p w14:paraId="28A92494" w14:textId="77777777" w:rsidR="00C52158" w:rsidRDefault="00C52158" w:rsidP="003334E1">
      <w:pPr>
        <w:rPr>
          <w:rFonts w:ascii="Arial" w:hAnsi="Arial" w:cs="Arial"/>
          <w:b/>
          <w:bCs/>
        </w:rPr>
      </w:pPr>
    </w:p>
    <w:p w14:paraId="4E6EE757" w14:textId="77777777" w:rsidR="00C52158" w:rsidRDefault="00C52158" w:rsidP="003334E1">
      <w:pPr>
        <w:rPr>
          <w:rFonts w:ascii="Arial" w:hAnsi="Arial" w:cs="Arial"/>
          <w:b/>
          <w:bCs/>
        </w:rPr>
      </w:pPr>
    </w:p>
    <w:p w14:paraId="18E447F4" w14:textId="77777777" w:rsidR="00C52158" w:rsidRDefault="00C52158" w:rsidP="003334E1">
      <w:pPr>
        <w:rPr>
          <w:rFonts w:ascii="Arial" w:hAnsi="Arial" w:cs="Arial"/>
          <w:b/>
          <w:bCs/>
        </w:rPr>
      </w:pPr>
    </w:p>
    <w:p w14:paraId="58C702CB" w14:textId="77777777" w:rsidR="00C52158" w:rsidRDefault="00C52158" w:rsidP="003334E1">
      <w:pPr>
        <w:rPr>
          <w:rFonts w:ascii="Arial" w:hAnsi="Arial" w:cs="Arial"/>
          <w:b/>
          <w:bCs/>
        </w:rPr>
      </w:pPr>
    </w:p>
    <w:p w14:paraId="06CDD868" w14:textId="77777777" w:rsidR="00C52158" w:rsidRDefault="00C52158" w:rsidP="003334E1">
      <w:pPr>
        <w:rPr>
          <w:rFonts w:ascii="Arial" w:hAnsi="Arial" w:cs="Arial"/>
          <w:b/>
          <w:bCs/>
        </w:rPr>
      </w:pPr>
    </w:p>
    <w:p w14:paraId="3C8E2958" w14:textId="77777777" w:rsidR="003A6893" w:rsidRPr="001E0789" w:rsidRDefault="003A6893" w:rsidP="003334E1">
      <w:pPr>
        <w:rPr>
          <w:rFonts w:ascii="Arial" w:hAnsi="Arial" w:cs="Arial"/>
          <w:b/>
          <w:bCs/>
        </w:rPr>
      </w:pPr>
    </w:p>
    <w:p w14:paraId="66D350C9" w14:textId="562520B4" w:rsidR="001E0789" w:rsidRDefault="009E7BBE" w:rsidP="003334E1">
      <w:pPr>
        <w:rPr>
          <w:rFonts w:ascii="Arial" w:hAnsi="Arial" w:cs="Arial"/>
          <w:b/>
          <w:bCs/>
        </w:rPr>
      </w:pPr>
      <w:r>
        <w:rPr>
          <w:rFonts w:ascii="Arial" w:hAnsi="Arial" w:cs="Arial"/>
          <w:b/>
          <w:bCs/>
        </w:rPr>
        <w:lastRenderedPageBreak/>
        <w:t>References</w:t>
      </w:r>
    </w:p>
    <w:p w14:paraId="794F5755" w14:textId="77777777" w:rsidR="009E7BBE" w:rsidRPr="00777523" w:rsidRDefault="009E7BBE" w:rsidP="00777523">
      <w:pPr>
        <w:pStyle w:val="ListParagraph"/>
        <w:numPr>
          <w:ilvl w:val="0"/>
          <w:numId w:val="36"/>
        </w:numPr>
        <w:rPr>
          <w:rFonts w:ascii="Arial" w:hAnsi="Arial" w:cs="Arial"/>
        </w:rPr>
      </w:pPr>
      <w:r w:rsidRPr="00777523">
        <w:rPr>
          <w:rFonts w:ascii="Arial" w:hAnsi="Arial" w:cs="Arial"/>
        </w:rPr>
        <w:t>Armstrong, M., &amp; Taylor, S. (2014). Armstrong's Handbook of Human Resource Management Practice. Kogan Page Publishers.</w:t>
      </w:r>
    </w:p>
    <w:p w14:paraId="684EC811" w14:textId="69B3BD24" w:rsidR="00250097" w:rsidRPr="00777523" w:rsidRDefault="00250097" w:rsidP="00777523">
      <w:pPr>
        <w:pStyle w:val="ListParagraph"/>
        <w:numPr>
          <w:ilvl w:val="0"/>
          <w:numId w:val="36"/>
        </w:numPr>
        <w:rPr>
          <w:rFonts w:ascii="Arial" w:hAnsi="Arial" w:cs="Arial"/>
        </w:rPr>
      </w:pPr>
      <w:r w:rsidRPr="00777523">
        <w:rPr>
          <w:rFonts w:ascii="Arial" w:hAnsi="Arial" w:cs="Arial"/>
        </w:rPr>
        <w:t>Armstrong, M., &amp; Taylor, S. (2023). Armstrong's Handbook of Human Resource Management Practice. Kogan Page.</w:t>
      </w:r>
    </w:p>
    <w:p w14:paraId="7BAE6485" w14:textId="2EA18E51" w:rsidR="006A60CE" w:rsidRPr="00777523" w:rsidRDefault="006A60CE" w:rsidP="00777523">
      <w:pPr>
        <w:pStyle w:val="ListParagraph"/>
        <w:numPr>
          <w:ilvl w:val="0"/>
          <w:numId w:val="36"/>
        </w:numPr>
        <w:rPr>
          <w:rFonts w:ascii="Arial" w:hAnsi="Arial" w:cs="Arial"/>
        </w:rPr>
      </w:pPr>
      <w:r w:rsidRPr="00777523">
        <w:rPr>
          <w:rFonts w:ascii="Arial" w:hAnsi="Arial" w:cs="Arial"/>
        </w:rPr>
        <w:t>Beardwell, J., &amp; Thompson, A. (2021). Human Resource Management: A Contemporary Approach. Pearson.</w:t>
      </w:r>
    </w:p>
    <w:p w14:paraId="73D64C8A" w14:textId="77777777" w:rsidR="009E7BBE" w:rsidRPr="00777523" w:rsidRDefault="009E7BBE" w:rsidP="00777523">
      <w:pPr>
        <w:pStyle w:val="ListParagraph"/>
        <w:numPr>
          <w:ilvl w:val="0"/>
          <w:numId w:val="36"/>
        </w:numPr>
        <w:rPr>
          <w:rFonts w:ascii="Arial" w:hAnsi="Arial" w:cs="Arial"/>
        </w:rPr>
      </w:pPr>
      <w:r w:rsidRPr="00777523">
        <w:rPr>
          <w:rFonts w:ascii="Arial" w:hAnsi="Arial" w:cs="Arial"/>
        </w:rPr>
        <w:t>Boxall, P., &amp; Purcell, J. (2016). Strategy and Human Resource Management. Palgrave.</w:t>
      </w:r>
    </w:p>
    <w:p w14:paraId="3F641994" w14:textId="1AEDADD9" w:rsidR="00DD19F2" w:rsidRPr="00777523" w:rsidRDefault="00DD19F2" w:rsidP="00777523">
      <w:pPr>
        <w:pStyle w:val="ListParagraph"/>
        <w:numPr>
          <w:ilvl w:val="0"/>
          <w:numId w:val="36"/>
        </w:numPr>
        <w:rPr>
          <w:rFonts w:ascii="Arial" w:hAnsi="Arial" w:cs="Arial"/>
        </w:rPr>
      </w:pPr>
      <w:r w:rsidRPr="00777523">
        <w:rPr>
          <w:rFonts w:ascii="Arial" w:hAnsi="Arial" w:cs="Arial"/>
        </w:rPr>
        <w:t>Brewster, C., Chung, C., &amp; Sparrow, P. (2023). Globalizing Human Resource Management. Routledge.</w:t>
      </w:r>
    </w:p>
    <w:p w14:paraId="23BA74CE" w14:textId="38700F43" w:rsidR="00226A1D" w:rsidRPr="00777523" w:rsidRDefault="00226A1D" w:rsidP="00777523">
      <w:pPr>
        <w:pStyle w:val="ListParagraph"/>
        <w:numPr>
          <w:ilvl w:val="0"/>
          <w:numId w:val="36"/>
        </w:numPr>
        <w:rPr>
          <w:rFonts w:ascii="Arial" w:hAnsi="Arial" w:cs="Arial"/>
        </w:rPr>
      </w:pPr>
      <w:r w:rsidRPr="00777523">
        <w:rPr>
          <w:rFonts w:ascii="Arial" w:hAnsi="Arial" w:cs="Arial"/>
        </w:rPr>
        <w:t>CIPD (2020). Learning and Development: Annual Survey Report. Chartered Institute of Personnel and Development.</w:t>
      </w:r>
    </w:p>
    <w:p w14:paraId="7E16C17C" w14:textId="791CBCA6" w:rsidR="006A60CE" w:rsidRPr="00777523" w:rsidRDefault="006A60CE" w:rsidP="00777523">
      <w:pPr>
        <w:pStyle w:val="ListParagraph"/>
        <w:numPr>
          <w:ilvl w:val="0"/>
          <w:numId w:val="36"/>
        </w:numPr>
        <w:rPr>
          <w:rFonts w:ascii="Arial" w:hAnsi="Arial" w:cs="Arial"/>
        </w:rPr>
      </w:pPr>
      <w:r w:rsidRPr="00777523">
        <w:rPr>
          <w:rFonts w:ascii="Arial" w:hAnsi="Arial" w:cs="Arial"/>
        </w:rPr>
        <w:t>CIPD (2020). Workforce Planning: Practice Guidance. Chartered Institute of Personnel and Development.</w:t>
      </w:r>
    </w:p>
    <w:p w14:paraId="58D0A01A" w14:textId="77777777" w:rsidR="00E676DF" w:rsidRPr="00777523" w:rsidRDefault="00E676DF" w:rsidP="00777523">
      <w:pPr>
        <w:pStyle w:val="ListParagraph"/>
        <w:numPr>
          <w:ilvl w:val="0"/>
          <w:numId w:val="36"/>
        </w:numPr>
        <w:rPr>
          <w:rFonts w:ascii="Arial" w:hAnsi="Arial" w:cs="Arial"/>
        </w:rPr>
      </w:pPr>
      <w:r w:rsidRPr="00777523">
        <w:rPr>
          <w:rFonts w:ascii="Arial" w:hAnsi="Arial" w:cs="Arial"/>
        </w:rPr>
        <w:t>CIPD (2022). Succession Planning and Talent Management. Chartered Institute of Personnel and Development.</w:t>
      </w:r>
    </w:p>
    <w:p w14:paraId="1AD53478" w14:textId="7B646A33" w:rsidR="00DD19F2" w:rsidRPr="00777523" w:rsidRDefault="00DD19F2" w:rsidP="00777523">
      <w:pPr>
        <w:pStyle w:val="ListParagraph"/>
        <w:numPr>
          <w:ilvl w:val="0"/>
          <w:numId w:val="36"/>
        </w:numPr>
        <w:rPr>
          <w:rFonts w:ascii="Arial" w:hAnsi="Arial" w:cs="Arial"/>
        </w:rPr>
      </w:pPr>
      <w:r w:rsidRPr="00777523">
        <w:rPr>
          <w:rFonts w:ascii="Arial" w:hAnsi="Arial" w:cs="Arial"/>
        </w:rPr>
        <w:t>CIPD (2022). Employment Contracts: Understanding Different Types. Chartered Institute of Personnel and Development.</w:t>
      </w:r>
    </w:p>
    <w:p w14:paraId="1727B304" w14:textId="569AF157" w:rsidR="00E676DF" w:rsidRPr="00777523" w:rsidRDefault="00E676DF" w:rsidP="00777523">
      <w:pPr>
        <w:pStyle w:val="ListParagraph"/>
        <w:numPr>
          <w:ilvl w:val="0"/>
          <w:numId w:val="36"/>
        </w:numPr>
        <w:rPr>
          <w:rFonts w:ascii="Arial" w:hAnsi="Arial" w:cs="Arial"/>
        </w:rPr>
      </w:pPr>
      <w:r w:rsidRPr="002B1A05">
        <w:rPr>
          <w:rFonts w:ascii="Arial" w:hAnsi="Arial" w:cs="Arial"/>
          <w:lang w:val="it-IT"/>
        </w:rPr>
        <w:t xml:space="preserve">Collings, D. G., Mellahi, K., &amp; Cascio, W. F. (2021). </w:t>
      </w:r>
      <w:r w:rsidRPr="00777523">
        <w:rPr>
          <w:rFonts w:ascii="Arial" w:hAnsi="Arial" w:cs="Arial"/>
        </w:rPr>
        <w:t>Global Talent Management: Trends, Challenges, and Opportunities. Academy of Management Perspectives.</w:t>
      </w:r>
    </w:p>
    <w:p w14:paraId="51AA81CE" w14:textId="7F43434A" w:rsidR="009E7BBE" w:rsidRPr="00777523" w:rsidRDefault="009E7BBE" w:rsidP="00777523">
      <w:pPr>
        <w:pStyle w:val="ListParagraph"/>
        <w:numPr>
          <w:ilvl w:val="0"/>
          <w:numId w:val="36"/>
        </w:numPr>
        <w:rPr>
          <w:rFonts w:ascii="Arial" w:hAnsi="Arial" w:cs="Arial"/>
          <w:lang w:val="it-IT"/>
        </w:rPr>
      </w:pPr>
      <w:r w:rsidRPr="00777523">
        <w:rPr>
          <w:rFonts w:ascii="Arial" w:hAnsi="Arial" w:cs="Arial"/>
        </w:rPr>
        <w:t xml:space="preserve">Edwards, M. R. (2010). An integrative review of employer branding and OB theory. </w:t>
      </w:r>
      <w:r w:rsidRPr="00777523">
        <w:rPr>
          <w:rFonts w:ascii="Arial" w:hAnsi="Arial" w:cs="Arial"/>
          <w:lang w:val="it-IT"/>
        </w:rPr>
        <w:t>Personnel Review.</w:t>
      </w:r>
    </w:p>
    <w:p w14:paraId="688880B6" w14:textId="51A55B28" w:rsidR="00135DA4" w:rsidRPr="00777523" w:rsidRDefault="00135DA4" w:rsidP="00777523">
      <w:pPr>
        <w:pStyle w:val="ListParagraph"/>
        <w:numPr>
          <w:ilvl w:val="0"/>
          <w:numId w:val="36"/>
        </w:numPr>
        <w:rPr>
          <w:rFonts w:ascii="Arial" w:hAnsi="Arial" w:cs="Arial"/>
        </w:rPr>
      </w:pPr>
      <w:r w:rsidRPr="00777523">
        <w:rPr>
          <w:rFonts w:ascii="Arial" w:hAnsi="Arial" w:cs="Arial"/>
          <w:lang w:val="it-IT"/>
        </w:rPr>
        <w:t xml:space="preserve">Hancock, J. I., Allen, D. G., Bosco, S. M., McDaniel, M. A., &amp; Pierce, C. A. (2023). </w:t>
      </w:r>
      <w:r w:rsidRPr="00777523">
        <w:rPr>
          <w:rFonts w:ascii="Arial" w:hAnsi="Arial" w:cs="Arial"/>
        </w:rPr>
        <w:t>Meta-Analysis of the Relationship Between Turnover Intentions and Actual Turnover. Journal of Applied Psychology.</w:t>
      </w:r>
    </w:p>
    <w:p w14:paraId="08BBAFD9" w14:textId="5294D0AC" w:rsidR="00DD19F2" w:rsidRPr="00777523" w:rsidRDefault="00DD19F2" w:rsidP="00777523">
      <w:pPr>
        <w:pStyle w:val="ListParagraph"/>
        <w:numPr>
          <w:ilvl w:val="0"/>
          <w:numId w:val="36"/>
        </w:numPr>
        <w:rPr>
          <w:rFonts w:ascii="Arial" w:hAnsi="Arial" w:cs="Arial"/>
        </w:rPr>
      </w:pPr>
      <w:r w:rsidRPr="00777523">
        <w:rPr>
          <w:rFonts w:ascii="Arial" w:hAnsi="Arial" w:cs="Arial"/>
        </w:rPr>
        <w:t>Harris, L., &amp; Brewster, C. (2023). Managing Employee Relations and Contractual Arrangements. Palgrave Macmillan.</w:t>
      </w:r>
    </w:p>
    <w:p w14:paraId="2E5BF6CA" w14:textId="238579C6" w:rsidR="00523DD0" w:rsidRPr="00777523" w:rsidRDefault="00226A1D" w:rsidP="00777523">
      <w:pPr>
        <w:pStyle w:val="ListParagraph"/>
        <w:numPr>
          <w:ilvl w:val="0"/>
          <w:numId w:val="36"/>
        </w:numPr>
        <w:rPr>
          <w:rFonts w:ascii="Arial" w:hAnsi="Arial" w:cs="Arial"/>
        </w:rPr>
      </w:pPr>
      <w:r w:rsidRPr="00777523">
        <w:rPr>
          <w:rFonts w:ascii="Arial" w:hAnsi="Arial" w:cs="Arial"/>
        </w:rPr>
        <w:t>Keep, E. (2012). Skills for Life and Work: What Is Needed? Foresight, Government Office for Science.</w:t>
      </w:r>
    </w:p>
    <w:p w14:paraId="2D2FF347" w14:textId="41A6DAD3" w:rsidR="00DD19F2" w:rsidRPr="00777523" w:rsidRDefault="00DD19F2" w:rsidP="00777523">
      <w:pPr>
        <w:pStyle w:val="ListParagraph"/>
        <w:numPr>
          <w:ilvl w:val="0"/>
          <w:numId w:val="36"/>
        </w:numPr>
        <w:rPr>
          <w:rFonts w:ascii="Arial" w:hAnsi="Arial" w:cs="Arial"/>
        </w:rPr>
      </w:pPr>
      <w:r w:rsidRPr="00777523">
        <w:rPr>
          <w:rFonts w:ascii="Arial" w:hAnsi="Arial" w:cs="Arial"/>
          <w:lang w:val="nl-NL"/>
        </w:rPr>
        <w:t xml:space="preserve">Klein, H. J., &amp; Weaver, N. A. (2023). </w:t>
      </w:r>
      <w:r w:rsidRPr="00777523">
        <w:rPr>
          <w:rFonts w:ascii="Arial" w:hAnsi="Arial" w:cs="Arial"/>
        </w:rPr>
        <w:t>The Effectiveness of Induction Programs in Enhancing New Employee Adjustment. Journal of Organizational Behavior.</w:t>
      </w:r>
    </w:p>
    <w:p w14:paraId="5F195594" w14:textId="628558E4" w:rsidR="00250097" w:rsidRDefault="00250097" w:rsidP="00777523">
      <w:pPr>
        <w:pStyle w:val="ListParagraph"/>
        <w:numPr>
          <w:ilvl w:val="0"/>
          <w:numId w:val="36"/>
        </w:numPr>
        <w:rPr>
          <w:rFonts w:ascii="Arial" w:hAnsi="Arial" w:cs="Arial"/>
        </w:rPr>
      </w:pPr>
      <w:r w:rsidRPr="00777523">
        <w:rPr>
          <w:rFonts w:ascii="Arial" w:hAnsi="Arial" w:cs="Arial"/>
        </w:rPr>
        <w:t>Torrington, D., Hall, L., Taylor, S., &amp; Atkinson, C. (2023). Human Resource Management. Pearson.</w:t>
      </w:r>
    </w:p>
    <w:p w14:paraId="0F1AE460" w14:textId="470016AA" w:rsidR="003A1B22" w:rsidRPr="003C7FB2" w:rsidRDefault="003A1B22" w:rsidP="00777523">
      <w:pPr>
        <w:pStyle w:val="ListParagraph"/>
        <w:numPr>
          <w:ilvl w:val="0"/>
          <w:numId w:val="36"/>
        </w:numPr>
        <w:rPr>
          <w:rFonts w:ascii="Arial" w:hAnsi="Arial" w:cs="Arial"/>
        </w:rPr>
      </w:pPr>
      <w:r w:rsidRPr="003C7FB2">
        <w:rPr>
          <w:rFonts w:ascii="Arial" w:hAnsi="Arial" w:cs="Arial"/>
        </w:rPr>
        <w:t xml:space="preserve">OECD (2019) internet source URL: </w:t>
      </w:r>
      <w:hyperlink r:id="rId12" w:anchor=":~:text=OECD's%20annual%20Education%20at%20a%20Glance" w:history="1">
        <w:r w:rsidRPr="003C7FB2">
          <w:rPr>
            <w:rStyle w:val="Hyperlink"/>
            <w:rFonts w:ascii="Arial" w:hAnsi="Arial" w:cs="Arial"/>
          </w:rPr>
          <w:t>https://www.oecd-ilibrary.org/education/education-at-a-glance-2019_f8d7880d-en#:~:text=OECD's%20annual%20Education%20at%20a%20Glance</w:t>
        </w:r>
      </w:hyperlink>
      <w:r w:rsidRPr="003C7FB2">
        <w:rPr>
          <w:rFonts w:ascii="Arial" w:hAnsi="Arial" w:cs="Arial"/>
        </w:rPr>
        <w:t xml:space="preserve"> Accessed </w:t>
      </w:r>
      <w:r w:rsidR="003C7FB2" w:rsidRPr="003C7FB2">
        <w:rPr>
          <w:rFonts w:ascii="Arial" w:hAnsi="Arial" w:cs="Arial"/>
        </w:rPr>
        <w:t>4</w:t>
      </w:r>
      <w:r w:rsidR="003C7FB2" w:rsidRPr="003C7FB2">
        <w:rPr>
          <w:rFonts w:ascii="Arial" w:hAnsi="Arial" w:cs="Arial"/>
          <w:vertAlign w:val="superscript"/>
        </w:rPr>
        <w:t>th</w:t>
      </w:r>
      <w:r w:rsidR="003C7FB2">
        <w:rPr>
          <w:rFonts w:ascii="Arial" w:hAnsi="Arial" w:cs="Arial"/>
        </w:rPr>
        <w:t xml:space="preserve"> October 2024 at 07:30.</w:t>
      </w:r>
    </w:p>
    <w:p w14:paraId="3BFF9942" w14:textId="77777777" w:rsidR="00135DA4" w:rsidRPr="00777523" w:rsidRDefault="00135DA4" w:rsidP="00777523">
      <w:pPr>
        <w:pStyle w:val="ListParagraph"/>
        <w:numPr>
          <w:ilvl w:val="0"/>
          <w:numId w:val="36"/>
        </w:numPr>
        <w:rPr>
          <w:rFonts w:ascii="Arial" w:hAnsi="Arial" w:cs="Arial"/>
        </w:rPr>
      </w:pPr>
      <w:r w:rsidRPr="00777523">
        <w:rPr>
          <w:rFonts w:ascii="Arial" w:hAnsi="Arial" w:cs="Arial"/>
        </w:rPr>
        <w:t>Page, S. E. (2022). The Diversity Bonus: How Great Teams Pay Off in the Knowledge Economy. Princeton University Press.</w:t>
      </w:r>
    </w:p>
    <w:p w14:paraId="474EC585" w14:textId="1C515C7B" w:rsidR="006A214B" w:rsidRPr="00777523" w:rsidRDefault="006A214B" w:rsidP="00777523">
      <w:pPr>
        <w:pStyle w:val="ListParagraph"/>
        <w:numPr>
          <w:ilvl w:val="0"/>
          <w:numId w:val="36"/>
        </w:numPr>
        <w:rPr>
          <w:rFonts w:ascii="Arial" w:hAnsi="Arial" w:cs="Arial"/>
        </w:rPr>
      </w:pPr>
      <w:r w:rsidRPr="002B1A05">
        <w:rPr>
          <w:rFonts w:ascii="Arial" w:hAnsi="Arial" w:cs="Arial"/>
          <w:lang w:val="nb-NO"/>
        </w:rPr>
        <w:t xml:space="preserve">Saks, A. M., &amp; Gruman, J. A. (2022). </w:t>
      </w:r>
      <w:r w:rsidRPr="00777523">
        <w:rPr>
          <w:rFonts w:ascii="Arial" w:hAnsi="Arial" w:cs="Arial"/>
        </w:rPr>
        <w:t>Making Onboarding Work: A Review of the Literature and Implications for Human Resource Management. Journal of Human Resource Management.</w:t>
      </w:r>
    </w:p>
    <w:p w14:paraId="3EE2F0A2" w14:textId="57A75476" w:rsidR="00135DA4" w:rsidRPr="00777523" w:rsidRDefault="00135DA4" w:rsidP="00777523">
      <w:pPr>
        <w:pStyle w:val="ListParagraph"/>
        <w:numPr>
          <w:ilvl w:val="0"/>
          <w:numId w:val="36"/>
        </w:numPr>
        <w:rPr>
          <w:rFonts w:ascii="Arial" w:hAnsi="Arial" w:cs="Arial"/>
        </w:rPr>
      </w:pPr>
      <w:r w:rsidRPr="00777523">
        <w:rPr>
          <w:rFonts w:ascii="Arial" w:hAnsi="Arial" w:cs="Arial"/>
        </w:rPr>
        <w:t>Shin, D., Kim, S., &amp; Lee, J. (2022). Diversity and Creativity: The Role of Diverse Perspectives in Innovation. Journal of Business Research.</w:t>
      </w:r>
    </w:p>
    <w:p w14:paraId="5C02FDAC" w14:textId="77777777" w:rsidR="00CB76E3" w:rsidRDefault="00CB76E3" w:rsidP="003334E1">
      <w:pPr>
        <w:rPr>
          <w:rFonts w:ascii="Arial" w:hAnsi="Arial" w:cs="Arial"/>
          <w:b/>
          <w:bCs/>
        </w:rPr>
      </w:pPr>
    </w:p>
    <w:sectPr w:rsidR="00CB76E3" w:rsidSect="00521ADE">
      <w:footerReference w:type="default" r:id="rId1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0E35E8" w14:textId="77777777" w:rsidR="00880634" w:rsidRDefault="00880634" w:rsidP="00C81727">
      <w:pPr>
        <w:spacing w:after="0" w:line="240" w:lineRule="auto"/>
      </w:pPr>
      <w:r>
        <w:separator/>
      </w:r>
    </w:p>
  </w:endnote>
  <w:endnote w:type="continuationSeparator" w:id="0">
    <w:p w14:paraId="5F9BD41D" w14:textId="77777777" w:rsidR="00880634" w:rsidRDefault="00880634" w:rsidP="00C8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142666"/>
      <w:docPartObj>
        <w:docPartGallery w:val="Page Numbers (Bottom of Page)"/>
        <w:docPartUnique/>
      </w:docPartObj>
    </w:sdtPr>
    <w:sdtEndPr>
      <w:rPr>
        <w:noProof/>
      </w:rPr>
    </w:sdtEndPr>
    <w:sdtContent>
      <w:p w14:paraId="608CD16B" w14:textId="743CF1B2" w:rsidR="00DF417E" w:rsidRDefault="00DF4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C4FE" w14:textId="77777777" w:rsidR="00DF417E" w:rsidRDefault="00DF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262BC" w14:textId="77777777" w:rsidR="00880634" w:rsidRDefault="00880634" w:rsidP="00C81727">
      <w:pPr>
        <w:spacing w:after="0" w:line="240" w:lineRule="auto"/>
      </w:pPr>
      <w:r>
        <w:separator/>
      </w:r>
    </w:p>
  </w:footnote>
  <w:footnote w:type="continuationSeparator" w:id="0">
    <w:p w14:paraId="7980D837" w14:textId="77777777" w:rsidR="00880634" w:rsidRDefault="00880634" w:rsidP="00C8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C43"/>
    <w:multiLevelType w:val="multilevel"/>
    <w:tmpl w:val="F628E742"/>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AE4139"/>
    <w:multiLevelType w:val="hybridMultilevel"/>
    <w:tmpl w:val="F616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96627D"/>
    <w:multiLevelType w:val="hybridMultilevel"/>
    <w:tmpl w:val="63B2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2" w15:restartNumberingAfterBreak="0">
    <w:nsid w:val="2E7452A2"/>
    <w:multiLevelType w:val="hybridMultilevel"/>
    <w:tmpl w:val="059691EA"/>
    <w:lvl w:ilvl="0" w:tplc="51186D78">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43065E"/>
    <w:multiLevelType w:val="multilevel"/>
    <w:tmpl w:val="E0D26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BF68FB"/>
    <w:multiLevelType w:val="hybridMultilevel"/>
    <w:tmpl w:val="6E425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977BF6"/>
    <w:multiLevelType w:val="hybridMultilevel"/>
    <w:tmpl w:val="C0DA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3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CB46725"/>
    <w:multiLevelType w:val="hybridMultilevel"/>
    <w:tmpl w:val="62DAD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4511523">
    <w:abstractNumId w:val="22"/>
  </w:num>
  <w:num w:numId="2" w16cid:durableId="1647541990">
    <w:abstractNumId w:val="24"/>
  </w:num>
  <w:num w:numId="3" w16cid:durableId="84957453">
    <w:abstractNumId w:val="5"/>
  </w:num>
  <w:num w:numId="4" w16cid:durableId="1942488619">
    <w:abstractNumId w:val="10"/>
  </w:num>
  <w:num w:numId="5" w16cid:durableId="880291334">
    <w:abstractNumId w:val="25"/>
  </w:num>
  <w:num w:numId="6" w16cid:durableId="21564407">
    <w:abstractNumId w:val="13"/>
  </w:num>
  <w:num w:numId="7" w16cid:durableId="848445314">
    <w:abstractNumId w:val="6"/>
  </w:num>
  <w:num w:numId="8" w16cid:durableId="1846555915">
    <w:abstractNumId w:val="26"/>
  </w:num>
  <w:num w:numId="9" w16cid:durableId="832646285">
    <w:abstractNumId w:val="9"/>
  </w:num>
  <w:num w:numId="10" w16cid:durableId="782116674">
    <w:abstractNumId w:val="16"/>
  </w:num>
  <w:num w:numId="11" w16cid:durableId="2048917739">
    <w:abstractNumId w:val="0"/>
  </w:num>
  <w:num w:numId="12" w16cid:durableId="835530872">
    <w:abstractNumId w:val="18"/>
  </w:num>
  <w:num w:numId="13" w16cid:durableId="1467702196">
    <w:abstractNumId w:val="11"/>
  </w:num>
  <w:num w:numId="14" w16cid:durableId="256063931">
    <w:abstractNumId w:val="34"/>
  </w:num>
  <w:num w:numId="15" w16cid:durableId="1252156344">
    <w:abstractNumId w:val="32"/>
  </w:num>
  <w:num w:numId="16" w16cid:durableId="1580018845">
    <w:abstractNumId w:val="4"/>
  </w:num>
  <w:num w:numId="17" w16cid:durableId="966084908">
    <w:abstractNumId w:val="19"/>
  </w:num>
  <w:num w:numId="18" w16cid:durableId="821433662">
    <w:abstractNumId w:val="1"/>
  </w:num>
  <w:num w:numId="19" w16cid:durableId="1593320311">
    <w:abstractNumId w:val="23"/>
  </w:num>
  <w:num w:numId="20" w16cid:durableId="276257143">
    <w:abstractNumId w:val="31"/>
  </w:num>
  <w:num w:numId="21" w16cid:durableId="2032295918">
    <w:abstractNumId w:val="33"/>
  </w:num>
  <w:num w:numId="22" w16cid:durableId="574435787">
    <w:abstractNumId w:val="3"/>
  </w:num>
  <w:num w:numId="23" w16cid:durableId="1706828690">
    <w:abstractNumId w:val="30"/>
  </w:num>
  <w:num w:numId="24" w16cid:durableId="1338922284">
    <w:abstractNumId w:val="17"/>
  </w:num>
  <w:num w:numId="25" w16cid:durableId="1137332056">
    <w:abstractNumId w:val="8"/>
  </w:num>
  <w:num w:numId="26" w16cid:durableId="1771587036">
    <w:abstractNumId w:val="28"/>
  </w:num>
  <w:num w:numId="27" w16cid:durableId="1111391643">
    <w:abstractNumId w:val="29"/>
  </w:num>
  <w:num w:numId="28" w16cid:durableId="1707946552">
    <w:abstractNumId w:val="27"/>
  </w:num>
  <w:num w:numId="29" w16cid:durableId="1419985442">
    <w:abstractNumId w:val="20"/>
  </w:num>
  <w:num w:numId="30" w16cid:durableId="1098136863">
    <w:abstractNumId w:val="7"/>
  </w:num>
  <w:num w:numId="31" w16cid:durableId="1151023075">
    <w:abstractNumId w:val="21"/>
  </w:num>
  <w:num w:numId="32" w16cid:durableId="1674382439">
    <w:abstractNumId w:val="2"/>
  </w:num>
  <w:num w:numId="33" w16cid:durableId="1378050325">
    <w:abstractNumId w:val="14"/>
  </w:num>
  <w:num w:numId="34" w16cid:durableId="1836609966">
    <w:abstractNumId w:val="35"/>
  </w:num>
  <w:num w:numId="35" w16cid:durableId="2015640890">
    <w:abstractNumId w:val="12"/>
  </w:num>
  <w:num w:numId="36" w16cid:durableId="13575795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40"/>
    <w:rsid w:val="00000B50"/>
    <w:rsid w:val="0000507A"/>
    <w:rsid w:val="00005675"/>
    <w:rsid w:val="00012729"/>
    <w:rsid w:val="00022333"/>
    <w:rsid w:val="00024020"/>
    <w:rsid w:val="00026321"/>
    <w:rsid w:val="0003057D"/>
    <w:rsid w:val="0003654D"/>
    <w:rsid w:val="00040B62"/>
    <w:rsid w:val="00040DFA"/>
    <w:rsid w:val="00041CC4"/>
    <w:rsid w:val="00044D10"/>
    <w:rsid w:val="0005161F"/>
    <w:rsid w:val="00052246"/>
    <w:rsid w:val="00052B37"/>
    <w:rsid w:val="00053DA2"/>
    <w:rsid w:val="00054BB3"/>
    <w:rsid w:val="00057432"/>
    <w:rsid w:val="00061271"/>
    <w:rsid w:val="000621C0"/>
    <w:rsid w:val="00072CFF"/>
    <w:rsid w:val="00072DD9"/>
    <w:rsid w:val="00073C79"/>
    <w:rsid w:val="00073D6B"/>
    <w:rsid w:val="0007647E"/>
    <w:rsid w:val="00077DAD"/>
    <w:rsid w:val="00080D5E"/>
    <w:rsid w:val="00081276"/>
    <w:rsid w:val="00081FB4"/>
    <w:rsid w:val="0008667E"/>
    <w:rsid w:val="00093C85"/>
    <w:rsid w:val="00094C81"/>
    <w:rsid w:val="00097A19"/>
    <w:rsid w:val="000A0A5E"/>
    <w:rsid w:val="000B14A4"/>
    <w:rsid w:val="000B564E"/>
    <w:rsid w:val="000B5983"/>
    <w:rsid w:val="000B6F3A"/>
    <w:rsid w:val="000B7EC5"/>
    <w:rsid w:val="000C2A66"/>
    <w:rsid w:val="000C5D8F"/>
    <w:rsid w:val="000D5293"/>
    <w:rsid w:val="000E6FB2"/>
    <w:rsid w:val="000F09F2"/>
    <w:rsid w:val="000F3AE9"/>
    <w:rsid w:val="001008BA"/>
    <w:rsid w:val="00100B7B"/>
    <w:rsid w:val="001048CD"/>
    <w:rsid w:val="0011038D"/>
    <w:rsid w:val="00115943"/>
    <w:rsid w:val="00122DA4"/>
    <w:rsid w:val="0012505E"/>
    <w:rsid w:val="001250B9"/>
    <w:rsid w:val="001258C4"/>
    <w:rsid w:val="001319A2"/>
    <w:rsid w:val="001324F9"/>
    <w:rsid w:val="00135DA4"/>
    <w:rsid w:val="00141C07"/>
    <w:rsid w:val="00141DBF"/>
    <w:rsid w:val="00142405"/>
    <w:rsid w:val="001451DE"/>
    <w:rsid w:val="00146E97"/>
    <w:rsid w:val="001521E2"/>
    <w:rsid w:val="001601E3"/>
    <w:rsid w:val="001631BC"/>
    <w:rsid w:val="001766F4"/>
    <w:rsid w:val="00190FDD"/>
    <w:rsid w:val="00195A7E"/>
    <w:rsid w:val="001A27CF"/>
    <w:rsid w:val="001B070D"/>
    <w:rsid w:val="001B093D"/>
    <w:rsid w:val="001B1233"/>
    <w:rsid w:val="001C74C0"/>
    <w:rsid w:val="001D21E8"/>
    <w:rsid w:val="001D738F"/>
    <w:rsid w:val="001E0789"/>
    <w:rsid w:val="001E205A"/>
    <w:rsid w:val="00221ED3"/>
    <w:rsid w:val="00225D6C"/>
    <w:rsid w:val="00225ECD"/>
    <w:rsid w:val="00226A1D"/>
    <w:rsid w:val="002301D8"/>
    <w:rsid w:val="00235F94"/>
    <w:rsid w:val="002477D6"/>
    <w:rsid w:val="00250097"/>
    <w:rsid w:val="00254183"/>
    <w:rsid w:val="0026666C"/>
    <w:rsid w:val="00270E69"/>
    <w:rsid w:val="002711AE"/>
    <w:rsid w:val="00284FAF"/>
    <w:rsid w:val="0029410A"/>
    <w:rsid w:val="00294895"/>
    <w:rsid w:val="002B1A05"/>
    <w:rsid w:val="002B4318"/>
    <w:rsid w:val="002B4482"/>
    <w:rsid w:val="002C29B0"/>
    <w:rsid w:val="002C50D2"/>
    <w:rsid w:val="002C764A"/>
    <w:rsid w:val="002E25BC"/>
    <w:rsid w:val="002E2B36"/>
    <w:rsid w:val="00301179"/>
    <w:rsid w:val="003221C7"/>
    <w:rsid w:val="00323B43"/>
    <w:rsid w:val="003253FC"/>
    <w:rsid w:val="003254B7"/>
    <w:rsid w:val="003255A1"/>
    <w:rsid w:val="00330E5B"/>
    <w:rsid w:val="003334E1"/>
    <w:rsid w:val="00333665"/>
    <w:rsid w:val="003344BA"/>
    <w:rsid w:val="00345BE4"/>
    <w:rsid w:val="00350CCD"/>
    <w:rsid w:val="00360D5F"/>
    <w:rsid w:val="00360E14"/>
    <w:rsid w:val="00366120"/>
    <w:rsid w:val="00375289"/>
    <w:rsid w:val="003757E2"/>
    <w:rsid w:val="00395538"/>
    <w:rsid w:val="003A0C84"/>
    <w:rsid w:val="003A1B22"/>
    <w:rsid w:val="003A2035"/>
    <w:rsid w:val="003A21BB"/>
    <w:rsid w:val="003A6606"/>
    <w:rsid w:val="003A6893"/>
    <w:rsid w:val="003B2567"/>
    <w:rsid w:val="003B4E30"/>
    <w:rsid w:val="003B7F8C"/>
    <w:rsid w:val="003C146C"/>
    <w:rsid w:val="003C52CE"/>
    <w:rsid w:val="003C7FB2"/>
    <w:rsid w:val="003D3C93"/>
    <w:rsid w:val="003D3FB7"/>
    <w:rsid w:val="003D491B"/>
    <w:rsid w:val="003D662A"/>
    <w:rsid w:val="003D6BDF"/>
    <w:rsid w:val="003E1BA8"/>
    <w:rsid w:val="003E2167"/>
    <w:rsid w:val="003F0C6C"/>
    <w:rsid w:val="003F20AD"/>
    <w:rsid w:val="003F5B32"/>
    <w:rsid w:val="003F7866"/>
    <w:rsid w:val="00400708"/>
    <w:rsid w:val="00404FEC"/>
    <w:rsid w:val="004075B2"/>
    <w:rsid w:val="00426C09"/>
    <w:rsid w:val="00427E04"/>
    <w:rsid w:val="00433ACD"/>
    <w:rsid w:val="00437D2F"/>
    <w:rsid w:val="00437D34"/>
    <w:rsid w:val="00440DD0"/>
    <w:rsid w:val="00446C2F"/>
    <w:rsid w:val="00456572"/>
    <w:rsid w:val="00457E4B"/>
    <w:rsid w:val="00460327"/>
    <w:rsid w:val="004665A6"/>
    <w:rsid w:val="0047249E"/>
    <w:rsid w:val="00476C73"/>
    <w:rsid w:val="0047763C"/>
    <w:rsid w:val="00485E27"/>
    <w:rsid w:val="0049282C"/>
    <w:rsid w:val="00494299"/>
    <w:rsid w:val="00494991"/>
    <w:rsid w:val="004962F9"/>
    <w:rsid w:val="004A164E"/>
    <w:rsid w:val="004A31D1"/>
    <w:rsid w:val="004A374F"/>
    <w:rsid w:val="004B22DC"/>
    <w:rsid w:val="004C1EDC"/>
    <w:rsid w:val="004C2C44"/>
    <w:rsid w:val="004C5318"/>
    <w:rsid w:val="004C6ED9"/>
    <w:rsid w:val="004E0410"/>
    <w:rsid w:val="004E05E3"/>
    <w:rsid w:val="004E622D"/>
    <w:rsid w:val="004E6A45"/>
    <w:rsid w:val="005025E8"/>
    <w:rsid w:val="00503FBA"/>
    <w:rsid w:val="0051521F"/>
    <w:rsid w:val="00521ADE"/>
    <w:rsid w:val="00522BDB"/>
    <w:rsid w:val="005235E8"/>
    <w:rsid w:val="00523DD0"/>
    <w:rsid w:val="00524141"/>
    <w:rsid w:val="00525092"/>
    <w:rsid w:val="00540E4A"/>
    <w:rsid w:val="0054645B"/>
    <w:rsid w:val="005469A5"/>
    <w:rsid w:val="00551DE7"/>
    <w:rsid w:val="00552752"/>
    <w:rsid w:val="00554D5B"/>
    <w:rsid w:val="00554DF4"/>
    <w:rsid w:val="00555879"/>
    <w:rsid w:val="00556AC7"/>
    <w:rsid w:val="00566D67"/>
    <w:rsid w:val="005709AA"/>
    <w:rsid w:val="00572BFA"/>
    <w:rsid w:val="00576BFA"/>
    <w:rsid w:val="0057714B"/>
    <w:rsid w:val="00577DF7"/>
    <w:rsid w:val="0058380F"/>
    <w:rsid w:val="005847B6"/>
    <w:rsid w:val="00590899"/>
    <w:rsid w:val="005A3057"/>
    <w:rsid w:val="005A59E3"/>
    <w:rsid w:val="005D6F99"/>
    <w:rsid w:val="005F7D5B"/>
    <w:rsid w:val="006010DB"/>
    <w:rsid w:val="006032CF"/>
    <w:rsid w:val="00604A0F"/>
    <w:rsid w:val="00617D4F"/>
    <w:rsid w:val="0062033A"/>
    <w:rsid w:val="0062051E"/>
    <w:rsid w:val="00626246"/>
    <w:rsid w:val="00626D8A"/>
    <w:rsid w:val="006312DA"/>
    <w:rsid w:val="00632B5D"/>
    <w:rsid w:val="006332D1"/>
    <w:rsid w:val="006336F9"/>
    <w:rsid w:val="00641061"/>
    <w:rsid w:val="0064135B"/>
    <w:rsid w:val="006415FA"/>
    <w:rsid w:val="00642DDC"/>
    <w:rsid w:val="00647074"/>
    <w:rsid w:val="0064763A"/>
    <w:rsid w:val="00656783"/>
    <w:rsid w:val="00661286"/>
    <w:rsid w:val="006717B4"/>
    <w:rsid w:val="00683A4B"/>
    <w:rsid w:val="006863F6"/>
    <w:rsid w:val="00693601"/>
    <w:rsid w:val="006945E8"/>
    <w:rsid w:val="0069493F"/>
    <w:rsid w:val="00696234"/>
    <w:rsid w:val="006A214B"/>
    <w:rsid w:val="006A60CE"/>
    <w:rsid w:val="006A686C"/>
    <w:rsid w:val="006B2F05"/>
    <w:rsid w:val="006C6A4B"/>
    <w:rsid w:val="006D33FB"/>
    <w:rsid w:val="006E7A14"/>
    <w:rsid w:val="00714B0C"/>
    <w:rsid w:val="00721533"/>
    <w:rsid w:val="0072348A"/>
    <w:rsid w:val="00736CA5"/>
    <w:rsid w:val="00736F6E"/>
    <w:rsid w:val="00743E7F"/>
    <w:rsid w:val="007467AD"/>
    <w:rsid w:val="00761428"/>
    <w:rsid w:val="00761F3B"/>
    <w:rsid w:val="00777523"/>
    <w:rsid w:val="00780283"/>
    <w:rsid w:val="00786C22"/>
    <w:rsid w:val="0079357C"/>
    <w:rsid w:val="00795C34"/>
    <w:rsid w:val="007A386A"/>
    <w:rsid w:val="007A395B"/>
    <w:rsid w:val="007A5F6D"/>
    <w:rsid w:val="007A7D47"/>
    <w:rsid w:val="007A7FCC"/>
    <w:rsid w:val="007C1FF6"/>
    <w:rsid w:val="007C2A08"/>
    <w:rsid w:val="007C2ADF"/>
    <w:rsid w:val="007C6E6F"/>
    <w:rsid w:val="007D07C0"/>
    <w:rsid w:val="007D61CA"/>
    <w:rsid w:val="007D7D66"/>
    <w:rsid w:val="007F0AB8"/>
    <w:rsid w:val="007F66BD"/>
    <w:rsid w:val="00802D62"/>
    <w:rsid w:val="00804524"/>
    <w:rsid w:val="0080576B"/>
    <w:rsid w:val="00812D28"/>
    <w:rsid w:val="00814E6C"/>
    <w:rsid w:val="0081622D"/>
    <w:rsid w:val="0082488C"/>
    <w:rsid w:val="00831453"/>
    <w:rsid w:val="00833ACA"/>
    <w:rsid w:val="0083732B"/>
    <w:rsid w:val="0084373C"/>
    <w:rsid w:val="00843E09"/>
    <w:rsid w:val="00844067"/>
    <w:rsid w:val="008500DD"/>
    <w:rsid w:val="00851FBF"/>
    <w:rsid w:val="00856266"/>
    <w:rsid w:val="00863654"/>
    <w:rsid w:val="00867CF9"/>
    <w:rsid w:val="00872B35"/>
    <w:rsid w:val="00876E3A"/>
    <w:rsid w:val="00880634"/>
    <w:rsid w:val="00881E0F"/>
    <w:rsid w:val="00886507"/>
    <w:rsid w:val="00890F41"/>
    <w:rsid w:val="00896F03"/>
    <w:rsid w:val="008979A7"/>
    <w:rsid w:val="00897EB7"/>
    <w:rsid w:val="008A2943"/>
    <w:rsid w:val="008A40AE"/>
    <w:rsid w:val="008A6B9C"/>
    <w:rsid w:val="008B03AE"/>
    <w:rsid w:val="008B3F4C"/>
    <w:rsid w:val="008B6DBD"/>
    <w:rsid w:val="008B717E"/>
    <w:rsid w:val="008C5FD4"/>
    <w:rsid w:val="008C7385"/>
    <w:rsid w:val="008E2386"/>
    <w:rsid w:val="008E54A2"/>
    <w:rsid w:val="008F1673"/>
    <w:rsid w:val="008F68DE"/>
    <w:rsid w:val="00903264"/>
    <w:rsid w:val="00926501"/>
    <w:rsid w:val="00926DA3"/>
    <w:rsid w:val="009272F2"/>
    <w:rsid w:val="009279A0"/>
    <w:rsid w:val="009322F6"/>
    <w:rsid w:val="00933F4A"/>
    <w:rsid w:val="00934176"/>
    <w:rsid w:val="00937918"/>
    <w:rsid w:val="00943E67"/>
    <w:rsid w:val="00953DD9"/>
    <w:rsid w:val="00953F55"/>
    <w:rsid w:val="0095573E"/>
    <w:rsid w:val="009613CD"/>
    <w:rsid w:val="00980CC5"/>
    <w:rsid w:val="00981F22"/>
    <w:rsid w:val="009844AF"/>
    <w:rsid w:val="009935DB"/>
    <w:rsid w:val="0099547A"/>
    <w:rsid w:val="009A572A"/>
    <w:rsid w:val="009B0398"/>
    <w:rsid w:val="009B26DA"/>
    <w:rsid w:val="009B71DE"/>
    <w:rsid w:val="009C09ED"/>
    <w:rsid w:val="009C0DF4"/>
    <w:rsid w:val="009C39DF"/>
    <w:rsid w:val="009D0E33"/>
    <w:rsid w:val="009D4491"/>
    <w:rsid w:val="009D5589"/>
    <w:rsid w:val="009E7BBE"/>
    <w:rsid w:val="009F36DE"/>
    <w:rsid w:val="00A05DBC"/>
    <w:rsid w:val="00A13748"/>
    <w:rsid w:val="00A2196A"/>
    <w:rsid w:val="00A252F7"/>
    <w:rsid w:val="00A274A7"/>
    <w:rsid w:val="00A31CB5"/>
    <w:rsid w:val="00A33E1C"/>
    <w:rsid w:val="00A435F1"/>
    <w:rsid w:val="00A55392"/>
    <w:rsid w:val="00A62ACD"/>
    <w:rsid w:val="00A64C67"/>
    <w:rsid w:val="00A91634"/>
    <w:rsid w:val="00A95B56"/>
    <w:rsid w:val="00AA1F99"/>
    <w:rsid w:val="00AA6072"/>
    <w:rsid w:val="00AA7E68"/>
    <w:rsid w:val="00AB2676"/>
    <w:rsid w:val="00AB2EE9"/>
    <w:rsid w:val="00AB53F4"/>
    <w:rsid w:val="00AC2338"/>
    <w:rsid w:val="00AC5C66"/>
    <w:rsid w:val="00AD293D"/>
    <w:rsid w:val="00AF5D0E"/>
    <w:rsid w:val="00B003C9"/>
    <w:rsid w:val="00B02045"/>
    <w:rsid w:val="00B10619"/>
    <w:rsid w:val="00B10782"/>
    <w:rsid w:val="00B15CE1"/>
    <w:rsid w:val="00B17F8A"/>
    <w:rsid w:val="00B306B2"/>
    <w:rsid w:val="00B40551"/>
    <w:rsid w:val="00B43C40"/>
    <w:rsid w:val="00B46BEB"/>
    <w:rsid w:val="00B471B6"/>
    <w:rsid w:val="00B51C68"/>
    <w:rsid w:val="00B53032"/>
    <w:rsid w:val="00B574F0"/>
    <w:rsid w:val="00B72650"/>
    <w:rsid w:val="00B72F69"/>
    <w:rsid w:val="00B7695E"/>
    <w:rsid w:val="00B85197"/>
    <w:rsid w:val="00B865E0"/>
    <w:rsid w:val="00B87784"/>
    <w:rsid w:val="00B90E4A"/>
    <w:rsid w:val="00B90F81"/>
    <w:rsid w:val="00B93ECD"/>
    <w:rsid w:val="00B952DF"/>
    <w:rsid w:val="00B97DAB"/>
    <w:rsid w:val="00BA2B3A"/>
    <w:rsid w:val="00BA5345"/>
    <w:rsid w:val="00BA5683"/>
    <w:rsid w:val="00BB35BF"/>
    <w:rsid w:val="00BC013E"/>
    <w:rsid w:val="00BC5593"/>
    <w:rsid w:val="00BD06C7"/>
    <w:rsid w:val="00BD0BCE"/>
    <w:rsid w:val="00BE0CFD"/>
    <w:rsid w:val="00BE4E1D"/>
    <w:rsid w:val="00C02044"/>
    <w:rsid w:val="00C029FC"/>
    <w:rsid w:val="00C04EE8"/>
    <w:rsid w:val="00C116D9"/>
    <w:rsid w:val="00C139CF"/>
    <w:rsid w:val="00C14BFD"/>
    <w:rsid w:val="00C17943"/>
    <w:rsid w:val="00C27BE2"/>
    <w:rsid w:val="00C31147"/>
    <w:rsid w:val="00C35476"/>
    <w:rsid w:val="00C36E6C"/>
    <w:rsid w:val="00C37924"/>
    <w:rsid w:val="00C46D4A"/>
    <w:rsid w:val="00C47814"/>
    <w:rsid w:val="00C509AC"/>
    <w:rsid w:val="00C51651"/>
    <w:rsid w:val="00C52158"/>
    <w:rsid w:val="00C6519E"/>
    <w:rsid w:val="00C677D5"/>
    <w:rsid w:val="00C7016B"/>
    <w:rsid w:val="00C7124C"/>
    <w:rsid w:val="00C71645"/>
    <w:rsid w:val="00C71A9E"/>
    <w:rsid w:val="00C7424B"/>
    <w:rsid w:val="00C76AA8"/>
    <w:rsid w:val="00C804BA"/>
    <w:rsid w:val="00C81727"/>
    <w:rsid w:val="00C82419"/>
    <w:rsid w:val="00C83693"/>
    <w:rsid w:val="00C83EF9"/>
    <w:rsid w:val="00C84088"/>
    <w:rsid w:val="00C8652D"/>
    <w:rsid w:val="00C865F3"/>
    <w:rsid w:val="00C90262"/>
    <w:rsid w:val="00C9241B"/>
    <w:rsid w:val="00C94379"/>
    <w:rsid w:val="00C967DA"/>
    <w:rsid w:val="00CA5117"/>
    <w:rsid w:val="00CA70EE"/>
    <w:rsid w:val="00CB2870"/>
    <w:rsid w:val="00CB54E4"/>
    <w:rsid w:val="00CB76E3"/>
    <w:rsid w:val="00CD61BD"/>
    <w:rsid w:val="00CE48FD"/>
    <w:rsid w:val="00CE5311"/>
    <w:rsid w:val="00CF0855"/>
    <w:rsid w:val="00D01200"/>
    <w:rsid w:val="00D1503E"/>
    <w:rsid w:val="00D160E5"/>
    <w:rsid w:val="00D214BB"/>
    <w:rsid w:val="00D26CBB"/>
    <w:rsid w:val="00D31B01"/>
    <w:rsid w:val="00D33E70"/>
    <w:rsid w:val="00D43BA6"/>
    <w:rsid w:val="00D46AF3"/>
    <w:rsid w:val="00D70251"/>
    <w:rsid w:val="00D86C91"/>
    <w:rsid w:val="00D936A9"/>
    <w:rsid w:val="00D95B5A"/>
    <w:rsid w:val="00DB297F"/>
    <w:rsid w:val="00DD0E81"/>
    <w:rsid w:val="00DD19F2"/>
    <w:rsid w:val="00DD4229"/>
    <w:rsid w:val="00DE4316"/>
    <w:rsid w:val="00DE7F41"/>
    <w:rsid w:val="00DF0DFC"/>
    <w:rsid w:val="00DF28F4"/>
    <w:rsid w:val="00DF307B"/>
    <w:rsid w:val="00DF3F8E"/>
    <w:rsid w:val="00DF417E"/>
    <w:rsid w:val="00DF627D"/>
    <w:rsid w:val="00DF73E3"/>
    <w:rsid w:val="00E13434"/>
    <w:rsid w:val="00E22460"/>
    <w:rsid w:val="00E2480B"/>
    <w:rsid w:val="00E35B0D"/>
    <w:rsid w:val="00E400B3"/>
    <w:rsid w:val="00E439AD"/>
    <w:rsid w:val="00E46AE8"/>
    <w:rsid w:val="00E47A1D"/>
    <w:rsid w:val="00E503C7"/>
    <w:rsid w:val="00E51549"/>
    <w:rsid w:val="00E51AEB"/>
    <w:rsid w:val="00E53BFC"/>
    <w:rsid w:val="00E56157"/>
    <w:rsid w:val="00E60DEC"/>
    <w:rsid w:val="00E64C06"/>
    <w:rsid w:val="00E65851"/>
    <w:rsid w:val="00E676DF"/>
    <w:rsid w:val="00E8385B"/>
    <w:rsid w:val="00E841FF"/>
    <w:rsid w:val="00E84A94"/>
    <w:rsid w:val="00E903E0"/>
    <w:rsid w:val="00EA068C"/>
    <w:rsid w:val="00EA5DF4"/>
    <w:rsid w:val="00EB2013"/>
    <w:rsid w:val="00EB6540"/>
    <w:rsid w:val="00EB7952"/>
    <w:rsid w:val="00EC040E"/>
    <w:rsid w:val="00EC16C5"/>
    <w:rsid w:val="00EC6CF3"/>
    <w:rsid w:val="00ED64C2"/>
    <w:rsid w:val="00ED6BE4"/>
    <w:rsid w:val="00EE1F39"/>
    <w:rsid w:val="00F0088F"/>
    <w:rsid w:val="00F03E1A"/>
    <w:rsid w:val="00F0468C"/>
    <w:rsid w:val="00F17CEB"/>
    <w:rsid w:val="00F211A6"/>
    <w:rsid w:val="00F229DD"/>
    <w:rsid w:val="00F446AE"/>
    <w:rsid w:val="00F5348D"/>
    <w:rsid w:val="00F649B0"/>
    <w:rsid w:val="00F709BD"/>
    <w:rsid w:val="00F82311"/>
    <w:rsid w:val="00F86BF8"/>
    <w:rsid w:val="00F908DE"/>
    <w:rsid w:val="00FA2B07"/>
    <w:rsid w:val="00FC2C9E"/>
    <w:rsid w:val="00FC32A5"/>
    <w:rsid w:val="00FD0409"/>
    <w:rsid w:val="00FD1A6A"/>
    <w:rsid w:val="00FD3E44"/>
    <w:rsid w:val="00FD4A12"/>
    <w:rsid w:val="00FE3876"/>
    <w:rsid w:val="00FE4E98"/>
    <w:rsid w:val="00FF0BE4"/>
    <w:rsid w:val="00FF28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E9F1C"/>
  <w15:docId w15:val="{26EE017E-4243-440D-BC1B-65C24485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C40"/>
    <w:rPr>
      <w:rFonts w:ascii="Tahoma" w:hAnsi="Tahoma" w:cs="Tahoma"/>
      <w:sz w:val="16"/>
      <w:szCs w:val="16"/>
    </w:rPr>
  </w:style>
  <w:style w:type="paragraph" w:styleId="Header">
    <w:name w:val="header"/>
    <w:basedOn w:val="Normal"/>
    <w:link w:val="HeaderChar"/>
    <w:uiPriority w:val="99"/>
    <w:unhideWhenUsed/>
    <w:rsid w:val="00C8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27"/>
  </w:style>
  <w:style w:type="paragraph" w:styleId="Footer">
    <w:name w:val="footer"/>
    <w:basedOn w:val="Normal"/>
    <w:link w:val="FooterChar"/>
    <w:uiPriority w:val="99"/>
    <w:unhideWhenUsed/>
    <w:rsid w:val="00C8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27"/>
  </w:style>
  <w:style w:type="paragraph" w:styleId="ListParagraph">
    <w:name w:val="List Paragraph"/>
    <w:basedOn w:val="Normal"/>
    <w:link w:val="ListParagraphChar"/>
    <w:uiPriority w:val="1"/>
    <w:qFormat/>
    <w:rsid w:val="00B51C68"/>
    <w:pPr>
      <w:ind w:left="720"/>
      <w:contextualSpacing/>
    </w:pPr>
  </w:style>
  <w:style w:type="character" w:styleId="Hyperlink">
    <w:name w:val="Hyperlink"/>
    <w:basedOn w:val="DefaultParagraphFont"/>
    <w:uiPriority w:val="99"/>
    <w:unhideWhenUsed/>
    <w:rsid w:val="00804524"/>
    <w:rPr>
      <w:color w:val="0000FF" w:themeColor="hyperlink"/>
      <w:u w:val="single"/>
    </w:rPr>
  </w:style>
  <w:style w:type="character" w:styleId="UnresolvedMention">
    <w:name w:val="Unresolved Mention"/>
    <w:basedOn w:val="DefaultParagraphFont"/>
    <w:uiPriority w:val="99"/>
    <w:semiHidden/>
    <w:unhideWhenUsed/>
    <w:rsid w:val="00804524"/>
    <w:rPr>
      <w:color w:val="605E5C"/>
      <w:shd w:val="clear" w:color="auto" w:fill="E1DFDD"/>
    </w:rPr>
  </w:style>
  <w:style w:type="table" w:styleId="TableGrid">
    <w:name w:val="Table Grid"/>
    <w:basedOn w:val="TableNormal"/>
    <w:uiPriority w:val="59"/>
    <w:rsid w:val="00404F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5D6F99"/>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D6F99"/>
    <w:rPr>
      <w:rFonts w:ascii="Arial" w:eastAsia="Arial" w:hAnsi="Arial" w:cs="Arial"/>
    </w:rPr>
  </w:style>
  <w:style w:type="character" w:customStyle="1" w:styleId="ListParagraphChar">
    <w:name w:val="List Paragraph Char"/>
    <w:basedOn w:val="DefaultParagraphFont"/>
    <w:link w:val="ListParagraph"/>
    <w:uiPriority w:val="1"/>
    <w:rsid w:val="005D6F99"/>
  </w:style>
  <w:style w:type="paragraph" w:customStyle="1" w:styleId="Listparag">
    <w:name w:val="List parag"/>
    <w:basedOn w:val="ListParagraph"/>
    <w:link w:val="ListparagChar"/>
    <w:qFormat/>
    <w:rsid w:val="005D6F99"/>
    <w:pPr>
      <w:numPr>
        <w:numId w:val="18"/>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D6F99"/>
    <w:rPr>
      <w:rFonts w:ascii="Arial" w:eastAsia="Times New Roman" w:hAnsi="Arial" w:cs="Arial"/>
      <w:szCs w:val="24"/>
      <w:lang w:eastAsia="en-GB"/>
    </w:rPr>
  </w:style>
  <w:style w:type="paragraph" w:customStyle="1" w:styleId="Nornal">
    <w:name w:val="Nornal"/>
    <w:basedOn w:val="Normal"/>
    <w:link w:val="NornalChar"/>
    <w:qFormat/>
    <w:rsid w:val="005D6F99"/>
    <w:pPr>
      <w:spacing w:after="160" w:line="264" w:lineRule="auto"/>
    </w:pPr>
    <w:rPr>
      <w:rFonts w:ascii="Arial" w:hAnsi="Arial" w:cs="Arial"/>
    </w:rPr>
  </w:style>
  <w:style w:type="character" w:customStyle="1" w:styleId="NornalChar">
    <w:name w:val="Nornal Char"/>
    <w:basedOn w:val="DefaultParagraphFont"/>
    <w:link w:val="Nornal"/>
    <w:rsid w:val="005D6F99"/>
    <w:rPr>
      <w:rFonts w:ascii="Arial" w:hAnsi="Arial" w:cs="Arial"/>
    </w:rPr>
  </w:style>
  <w:style w:type="paragraph" w:styleId="Caption">
    <w:name w:val="caption"/>
    <w:basedOn w:val="Normal"/>
    <w:next w:val="Normal"/>
    <w:uiPriority w:val="35"/>
    <w:unhideWhenUsed/>
    <w:qFormat/>
    <w:rsid w:val="005D6F99"/>
    <w:pPr>
      <w:widowControl w:val="0"/>
      <w:autoSpaceDE w:val="0"/>
      <w:autoSpaceDN w:val="0"/>
      <w:spacing w:line="240" w:lineRule="auto"/>
    </w:pPr>
    <w:rPr>
      <w:rFonts w:ascii="Arial" w:eastAsia="Arial" w:hAnsi="Arial" w:cs="Arial"/>
      <w:i/>
      <w:iCs/>
      <w:color w:val="1F497D" w:themeColor="text2"/>
      <w:sz w:val="18"/>
      <w:szCs w:val="18"/>
    </w:rPr>
  </w:style>
  <w:style w:type="paragraph" w:styleId="NormalWeb">
    <w:name w:val="Normal (Web)"/>
    <w:basedOn w:val="Normal"/>
    <w:uiPriority w:val="99"/>
    <w:semiHidden/>
    <w:unhideWhenUsed/>
    <w:rsid w:val="007C6E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55879"/>
    <w:rPr>
      <w:sz w:val="16"/>
      <w:szCs w:val="16"/>
    </w:rPr>
  </w:style>
  <w:style w:type="paragraph" w:styleId="CommentText">
    <w:name w:val="annotation text"/>
    <w:basedOn w:val="Normal"/>
    <w:link w:val="CommentTextChar"/>
    <w:uiPriority w:val="99"/>
    <w:unhideWhenUsed/>
    <w:rsid w:val="00555879"/>
    <w:pPr>
      <w:spacing w:line="240" w:lineRule="auto"/>
    </w:pPr>
    <w:rPr>
      <w:sz w:val="20"/>
      <w:szCs w:val="20"/>
    </w:rPr>
  </w:style>
  <w:style w:type="character" w:customStyle="1" w:styleId="CommentTextChar">
    <w:name w:val="Comment Text Char"/>
    <w:basedOn w:val="DefaultParagraphFont"/>
    <w:link w:val="CommentText"/>
    <w:uiPriority w:val="99"/>
    <w:rsid w:val="00555879"/>
    <w:rPr>
      <w:sz w:val="20"/>
      <w:szCs w:val="20"/>
    </w:rPr>
  </w:style>
  <w:style w:type="paragraph" w:styleId="CommentSubject">
    <w:name w:val="annotation subject"/>
    <w:basedOn w:val="CommentText"/>
    <w:next w:val="CommentText"/>
    <w:link w:val="CommentSubjectChar"/>
    <w:uiPriority w:val="99"/>
    <w:semiHidden/>
    <w:unhideWhenUsed/>
    <w:rsid w:val="00555879"/>
    <w:rPr>
      <w:b/>
      <w:bCs/>
    </w:rPr>
  </w:style>
  <w:style w:type="character" w:customStyle="1" w:styleId="CommentSubjectChar">
    <w:name w:val="Comment Subject Char"/>
    <w:basedOn w:val="CommentTextChar"/>
    <w:link w:val="CommentSubject"/>
    <w:uiPriority w:val="99"/>
    <w:semiHidden/>
    <w:rsid w:val="00555879"/>
    <w:rPr>
      <w:b/>
      <w:bCs/>
      <w:sz w:val="20"/>
      <w:szCs w:val="20"/>
    </w:rPr>
  </w:style>
  <w:style w:type="paragraph" w:styleId="Revision">
    <w:name w:val="Revision"/>
    <w:hidden/>
    <w:uiPriority w:val="99"/>
    <w:semiHidden/>
    <w:rsid w:val="00D95B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73254">
      <w:bodyDiv w:val="1"/>
      <w:marLeft w:val="0"/>
      <w:marRight w:val="0"/>
      <w:marTop w:val="0"/>
      <w:marBottom w:val="0"/>
      <w:divBdr>
        <w:top w:val="none" w:sz="0" w:space="0" w:color="auto"/>
        <w:left w:val="none" w:sz="0" w:space="0" w:color="auto"/>
        <w:bottom w:val="none" w:sz="0" w:space="0" w:color="auto"/>
        <w:right w:val="none" w:sz="0" w:space="0" w:color="auto"/>
      </w:divBdr>
    </w:div>
    <w:div w:id="356466132">
      <w:bodyDiv w:val="1"/>
      <w:marLeft w:val="0"/>
      <w:marRight w:val="0"/>
      <w:marTop w:val="0"/>
      <w:marBottom w:val="0"/>
      <w:divBdr>
        <w:top w:val="none" w:sz="0" w:space="0" w:color="auto"/>
        <w:left w:val="none" w:sz="0" w:space="0" w:color="auto"/>
        <w:bottom w:val="none" w:sz="0" w:space="0" w:color="auto"/>
        <w:right w:val="none" w:sz="0" w:space="0" w:color="auto"/>
      </w:divBdr>
    </w:div>
    <w:div w:id="540900195">
      <w:bodyDiv w:val="1"/>
      <w:marLeft w:val="0"/>
      <w:marRight w:val="0"/>
      <w:marTop w:val="0"/>
      <w:marBottom w:val="0"/>
      <w:divBdr>
        <w:top w:val="none" w:sz="0" w:space="0" w:color="auto"/>
        <w:left w:val="none" w:sz="0" w:space="0" w:color="auto"/>
        <w:bottom w:val="none" w:sz="0" w:space="0" w:color="auto"/>
        <w:right w:val="none" w:sz="0" w:space="0" w:color="auto"/>
      </w:divBdr>
    </w:div>
    <w:div w:id="761343421">
      <w:bodyDiv w:val="1"/>
      <w:marLeft w:val="0"/>
      <w:marRight w:val="0"/>
      <w:marTop w:val="0"/>
      <w:marBottom w:val="0"/>
      <w:divBdr>
        <w:top w:val="none" w:sz="0" w:space="0" w:color="auto"/>
        <w:left w:val="none" w:sz="0" w:space="0" w:color="auto"/>
        <w:bottom w:val="none" w:sz="0" w:space="0" w:color="auto"/>
        <w:right w:val="none" w:sz="0" w:space="0" w:color="auto"/>
      </w:divBdr>
    </w:div>
    <w:div w:id="890113555">
      <w:bodyDiv w:val="1"/>
      <w:marLeft w:val="0"/>
      <w:marRight w:val="0"/>
      <w:marTop w:val="0"/>
      <w:marBottom w:val="0"/>
      <w:divBdr>
        <w:top w:val="none" w:sz="0" w:space="0" w:color="auto"/>
        <w:left w:val="none" w:sz="0" w:space="0" w:color="auto"/>
        <w:bottom w:val="none" w:sz="0" w:space="0" w:color="auto"/>
        <w:right w:val="none" w:sz="0" w:space="0" w:color="auto"/>
      </w:divBdr>
    </w:div>
    <w:div w:id="1194418984">
      <w:bodyDiv w:val="1"/>
      <w:marLeft w:val="0"/>
      <w:marRight w:val="0"/>
      <w:marTop w:val="0"/>
      <w:marBottom w:val="0"/>
      <w:divBdr>
        <w:top w:val="none" w:sz="0" w:space="0" w:color="auto"/>
        <w:left w:val="none" w:sz="0" w:space="0" w:color="auto"/>
        <w:bottom w:val="none" w:sz="0" w:space="0" w:color="auto"/>
        <w:right w:val="none" w:sz="0" w:space="0" w:color="auto"/>
      </w:divBdr>
    </w:div>
    <w:div w:id="1366640064">
      <w:bodyDiv w:val="1"/>
      <w:marLeft w:val="0"/>
      <w:marRight w:val="0"/>
      <w:marTop w:val="0"/>
      <w:marBottom w:val="0"/>
      <w:divBdr>
        <w:top w:val="none" w:sz="0" w:space="0" w:color="auto"/>
        <w:left w:val="none" w:sz="0" w:space="0" w:color="auto"/>
        <w:bottom w:val="none" w:sz="0" w:space="0" w:color="auto"/>
        <w:right w:val="none" w:sz="0" w:space="0" w:color="auto"/>
      </w:divBdr>
    </w:div>
    <w:div w:id="1561210984">
      <w:bodyDiv w:val="1"/>
      <w:marLeft w:val="0"/>
      <w:marRight w:val="0"/>
      <w:marTop w:val="0"/>
      <w:marBottom w:val="0"/>
      <w:divBdr>
        <w:top w:val="none" w:sz="0" w:space="0" w:color="auto"/>
        <w:left w:val="none" w:sz="0" w:space="0" w:color="auto"/>
        <w:bottom w:val="none" w:sz="0" w:space="0" w:color="auto"/>
        <w:right w:val="none" w:sz="0" w:space="0" w:color="auto"/>
      </w:divBdr>
    </w:div>
    <w:div w:id="207126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ecd-ilibrary.org/education/education-at-a-glance-2019_f8d7880d-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DD222E-F756-4E1A-9DB9-893750B6A3BA}">
  <ds:schemaRefs>
    <ds:schemaRef ds:uri="http://schemas.openxmlformats.org/officeDocument/2006/bibliography"/>
  </ds:schemaRefs>
</ds:datastoreItem>
</file>

<file path=customXml/itemProps2.xml><?xml version="1.0" encoding="utf-8"?>
<ds:datastoreItem xmlns:ds="http://schemas.openxmlformats.org/officeDocument/2006/customXml" ds:itemID="{09E94952-2542-4FFC-851B-CC9CA1491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361014-0BCE-46AB-9B95-40450913804D}">
  <ds:schemaRefs>
    <ds:schemaRef ds:uri="http://schemas.microsoft.com/sharepoint/v3/contenttype/forms"/>
  </ds:schemaRefs>
</ds:datastoreItem>
</file>

<file path=customXml/itemProps4.xml><?xml version="1.0" encoding="utf-8"?>
<ds:datastoreItem xmlns:ds="http://schemas.openxmlformats.org/officeDocument/2006/customXml" ds:itemID="{B0AA50E5-29B4-4F95-8878-150C55CD4DB5}">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4542</Words>
  <Characters>25892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zsu</dc:creator>
  <cp:lastModifiedBy>Nefyn Cardwell</cp:lastModifiedBy>
  <cp:revision>2</cp:revision>
  <cp:lastPrinted>2010-10-26T14:35:00Z</cp:lastPrinted>
  <dcterms:created xsi:type="dcterms:W3CDTF">2024-10-04T10:52:00Z</dcterms:created>
  <dcterms:modified xsi:type="dcterms:W3CDTF">2024-10-04T10:52:00Z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