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C8865" w14:textId="797A4FDD" w:rsidR="00CC3BC1" w:rsidRDefault="00C85CE0">
      <w:pPr>
        <w:rPr>
          <w:color w:val="156082" w:themeColor="accent1"/>
        </w:rPr>
      </w:pPr>
      <w:r w:rsidRPr="00C85CE0">
        <w:rPr>
          <w:noProof/>
          <w:color w:val="156082" w:themeColor="accent1"/>
        </w:rPr>
        <mc:AlternateContent>
          <mc:Choice Requires="wps">
            <w:drawing>
              <wp:anchor distT="45720" distB="45720" distL="114300" distR="114300" simplePos="0" relativeHeight="251658241" behindDoc="1" locked="0" layoutInCell="1" allowOverlap="1" wp14:anchorId="2C706DA2" wp14:editId="542336CC">
                <wp:simplePos x="0" y="0"/>
                <wp:positionH relativeFrom="column">
                  <wp:posOffset>2675043</wp:posOffset>
                </wp:positionH>
                <wp:positionV relativeFrom="paragraph">
                  <wp:posOffset>6420696</wp:posOffset>
                </wp:positionV>
                <wp:extent cx="948055" cy="3251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251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D3BE7F5" w14:textId="5CCC1F3B" w:rsidR="00C85CE0" w:rsidRPr="00A74180" w:rsidRDefault="00C85CE0" w:rsidP="00A74180">
                            <w:pPr>
                              <w:jc w:val="center"/>
                              <w:rPr>
                                <w:rFonts w:ascii="Californian FB" w:hAnsi="Californian FB"/>
                                <w:i/>
                                <w:iCs/>
                                <w:sz w:val="32"/>
                                <w:szCs w:val="32"/>
                              </w:rPr>
                            </w:pPr>
                            <w:r w:rsidRPr="00A74180">
                              <w:rPr>
                                <w:rFonts w:ascii="Californian FB" w:hAnsi="Californian FB"/>
                                <w:i/>
                                <w:iCs/>
                                <w:sz w:val="32"/>
                                <w:szCs w:val="32"/>
                              </w:rPr>
                              <w:t>30/04/26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706DA2" id="_x0000_t202" coordsize="21600,21600" o:spt="202" path="m,l,21600r21600,l21600,xe">
                <v:stroke joinstyle="miter"/>
                <v:path gradientshapeok="t" o:connecttype="rect"/>
              </v:shapetype>
              <v:shape id="Text Box 2" o:spid="_x0000_s1026" type="#_x0000_t202" style="position:absolute;margin-left:210.65pt;margin-top:505.55pt;width:74.65pt;height:25.6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" filled="f" stroked="f">
                <v:textbox>
                  <w:txbxContent>
                    <w:p w14:paraId="4D3BE7F5" w14:textId="5CCC1F3B" w:rsidR="00C85CE0" w:rsidRPr="00A74180" w:rsidRDefault="00C85CE0" w:rsidP="00A74180">
                      <w:pPr>
                        <w:jc w:val="center"/>
                        <w:rPr>
                          <w:rFonts w:ascii="Californian FB" w:hAnsi="Californian FB"/>
                          <w:i/>
                          <w:iCs/>
                          <w:sz w:val="32"/>
                          <w:szCs w:val="32"/>
                        </w:rPr>
                      </w:pPr>
                      <w:r w:rsidRPr="00A74180">
                        <w:rPr>
                          <w:rFonts w:ascii="Californian FB" w:hAnsi="Californian FB"/>
                          <w:i/>
                          <w:iCs/>
                          <w:sz w:val="32"/>
                          <w:szCs w:val="32"/>
                        </w:rPr>
                        <w:t>30/04/26</w:t>
                      </w:r>
                    </w:p>
                  </w:txbxContent>
                </v:textbox>
                <w10:wrap type="square"/>
              </v:shape>
            </w:pict>
          </mc:Fallback>
        </mc:AlternateContent>
      </w:r>
      <w:sdt>
        <w:sdtPr>
          <w:rPr>
            <w:color w:val="156082" w:themeColor="accent1"/>
          </w:rPr>
          <w:id w:val="-1281650037"/>
          <w:docPartObj>
            <w:docPartGallery w:val="Cover Pages"/>
            <w:docPartUnique/>
          </w:docPartObj>
        </w:sdtPr>
        <w:sdtEndPr/>
        <w:sdtContent>
          <w:r w:rsidR="00CC3BC1" w:rsidRPr="00CC3BC1">
            <w:rPr>
              <w:noProof/>
              <w:color w:val="156082" w:themeColor="accent1"/>
            </w:rPr>
            <mc:AlternateContent>
              <mc:Choice Requires="wps">
                <w:drawing>
                  <wp:anchor distT="0" distB="0" distL="114300" distR="114300" simplePos="0" relativeHeight="251658240" behindDoc="0" locked="0" layoutInCell="1" allowOverlap="1" wp14:anchorId="21083603" wp14:editId="6EBB7C18">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410"/>
                                  <w:gridCol w:w="1787"/>
                                </w:tblGrid>
                                <w:tr w:rsidR="00790BAE" w14:paraId="1F823C8F" w14:textId="77777777">
                                  <w:trPr>
                                    <w:jc w:val="center"/>
                                  </w:trPr>
                                  <w:tc>
                                    <w:tcPr>
                                      <w:tcW w:w="2568" w:type="pct"/>
                                      <w:vAlign w:val="center"/>
                                    </w:tcPr>
                                    <w:p w14:paraId="67A957DE" w14:textId="547C9485" w:rsidR="00CC3BC1" w:rsidRDefault="004A5D54">
                                      <w:pPr>
                                        <w:jc w:val="right"/>
                                      </w:pPr>
                                      <w:r>
                                        <w:rPr>
                                          <w:noProof/>
                                        </w:rPr>
                                        <w:drawing>
                                          <wp:inline distT="0" distB="0" distL="0" distR="0" wp14:anchorId="4A5A9C1D" wp14:editId="6C7A2947">
                                            <wp:extent cx="3733800" cy="2498430"/>
                                            <wp:effectExtent l="152400" t="152400" r="361950" b="359410"/>
                                            <wp:docPr id="21158994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034402" name="Picture 1798034402"/>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flipH="1">
                                                      <a:off x="0" y="0"/>
                                                      <a:ext cx="3789460" cy="2535674"/>
                                                    </a:xfrm>
                                                    <a:prstGeom prst="rect">
                                                      <a:avLst/>
                                                    </a:prstGeom>
                                                    <a:ln>
                                                      <a:noFill/>
                                                    </a:ln>
                                                    <a:effectLst>
                                                      <a:outerShdw blurRad="292100" dist="139700" dir="2700000" algn="tl" rotWithShape="0">
                                                        <a:srgbClr val="333333">
                                                          <a:alpha val="65000"/>
                                                        </a:srgbClr>
                                                      </a:outerShdw>
                                                    </a:effectLst>
                                                  </pic:spPr>
                                                </pic:pic>
                                              </a:graphicData>
                                            </a:graphic>
                                          </wp:inline>
                                        </w:drawing>
                                      </w:r>
                                    </w:p>
                                    <w:sdt>
                                      <w:sdtPr>
                                        <w:rPr>
                                          <w:rFonts w:ascii="Bodoni MT Condensed" w:hAnsi="Bodoni MT Condensed"/>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69CBCEF" w14:textId="3788D39F" w:rsidR="00CC3BC1" w:rsidRPr="00DD5EB4" w:rsidRDefault="00CC3BC1" w:rsidP="006E3FA7">
                                          <w:pPr>
                                            <w:pStyle w:val="NoSpacing"/>
                                            <w:spacing w:line="312" w:lineRule="auto"/>
                                            <w:jc w:val="center"/>
                                            <w:rPr>
                                              <w:rFonts w:ascii="Bodoni MT Condensed" w:hAnsi="Bodoni MT Condensed"/>
                                              <w:caps/>
                                              <w:color w:val="191919" w:themeColor="text1" w:themeTint="E6"/>
                                              <w:sz w:val="72"/>
                                              <w:szCs w:val="72"/>
                                            </w:rPr>
                                          </w:pPr>
                                          <w:r w:rsidRPr="00DD5EB4">
                                            <w:rPr>
                                              <w:rFonts w:ascii="Bodoni MT Condensed" w:hAnsi="Bodoni MT Condensed"/>
                                              <w:caps/>
                                              <w:color w:val="191919" w:themeColor="text1" w:themeTint="E6"/>
                                              <w:sz w:val="72"/>
                                              <w:szCs w:val="72"/>
                                            </w:rPr>
                                            <w:t>ASSESSMENT 1</w:t>
                                          </w:r>
                                        </w:p>
                                      </w:sdtContent>
                                    </w:sdt>
                                    <w:sdt>
                                      <w:sdtPr>
                                        <w:rPr>
                                          <w:rFonts w:ascii="Californian FB" w:hAnsi="Californian FB"/>
                                          <w:i/>
                                          <w:iCs/>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608FC23" w14:textId="6F1C63B2" w:rsidR="00CC3BC1" w:rsidRDefault="00CC3BC1" w:rsidP="006E3FA7">
                                          <w:pPr>
                                            <w:jc w:val="center"/>
                                          </w:pPr>
                                          <w:r w:rsidRPr="00DD5EB4">
                                            <w:rPr>
                                              <w:rFonts w:ascii="Californian FB" w:hAnsi="Californian FB"/>
                                              <w:i/>
                                              <w:iCs/>
                                              <w:color w:val="000000" w:themeColor="text1"/>
                                              <w:sz w:val="28"/>
                                              <w:szCs w:val="28"/>
                                            </w:rPr>
                                            <w:t xml:space="preserve">Synthesize a solution to a potential </w:t>
                                          </w:r>
                                          <w:r w:rsidR="007F0E03" w:rsidRPr="00DD5EB4">
                                            <w:rPr>
                                              <w:rFonts w:ascii="Californian FB" w:hAnsi="Californian FB"/>
                                              <w:i/>
                                              <w:iCs/>
                                              <w:color w:val="000000" w:themeColor="text1"/>
                                              <w:sz w:val="28"/>
                                              <w:szCs w:val="28"/>
                                            </w:rPr>
                                            <w:t>real-life</w:t>
                                          </w:r>
                                          <w:r w:rsidRPr="00DD5EB4">
                                            <w:rPr>
                                              <w:rFonts w:ascii="Californian FB" w:hAnsi="Californian FB"/>
                                              <w:i/>
                                              <w:iCs/>
                                              <w:color w:val="000000" w:themeColor="text1"/>
                                              <w:sz w:val="28"/>
                                              <w:szCs w:val="28"/>
                                            </w:rPr>
                                            <w:t xml:space="preserve"> scenario</w:t>
                                          </w:r>
                                        </w:p>
                                      </w:sdtContent>
                                    </w:sdt>
                                  </w:tc>
                                  <w:tc>
                                    <w:tcPr>
                                      <w:tcW w:w="2432" w:type="pct"/>
                                      <w:vAlign w:val="center"/>
                                    </w:tcPr>
                                    <w:p w14:paraId="7F495D9F" w14:textId="77777777" w:rsidR="00CC3BC1" w:rsidRPr="00D65B2F" w:rsidRDefault="00CC3BC1" w:rsidP="00CC3BC1">
                                      <w:pPr>
                                        <w:rPr>
                                          <w:rFonts w:asciiTheme="majorHAnsi" w:hAnsiTheme="majorHAnsi" w:cs="Aptos Serif"/>
                                        </w:rPr>
                                      </w:pPr>
                                      <w:r w:rsidRPr="00D65B2F">
                                        <w:rPr>
                                          <w:rFonts w:asciiTheme="majorHAnsi" w:hAnsiTheme="majorHAnsi" w:cs="Aptos Serif"/>
                                          <w:b/>
                                          <w:bCs/>
                                          <w:i/>
                                          <w:iCs/>
                                        </w:rPr>
                                        <w:t>Module Name:</w:t>
                                      </w:r>
                                      <w:r w:rsidRPr="00D65B2F">
                                        <w:rPr>
                                          <w:rFonts w:asciiTheme="majorHAnsi" w:hAnsiTheme="majorHAnsi" w:cs="Aptos Serif"/>
                                        </w:rPr>
                                        <w:t xml:space="preserve"> Networks and Cyber Security Essentials</w:t>
                                      </w:r>
                                    </w:p>
                                    <w:p w14:paraId="3C99A163" w14:textId="77777777" w:rsidR="00CC3BC1" w:rsidRPr="00D65B2F" w:rsidRDefault="00CC3BC1" w:rsidP="00CC3BC1">
                                      <w:pPr>
                                        <w:rPr>
                                          <w:rFonts w:asciiTheme="majorHAnsi" w:hAnsiTheme="majorHAnsi" w:cs="Aptos Serif"/>
                                        </w:rPr>
                                      </w:pPr>
                                      <w:r w:rsidRPr="00D65B2F">
                                        <w:rPr>
                                          <w:rFonts w:asciiTheme="majorHAnsi" w:hAnsiTheme="majorHAnsi" w:cs="Aptos Serif"/>
                                          <w:b/>
                                          <w:bCs/>
                                          <w:i/>
                                          <w:iCs/>
                                        </w:rPr>
                                        <w:t>Module Code:</w:t>
                                      </w:r>
                                      <w:r w:rsidRPr="00D65B2F">
                                        <w:rPr>
                                          <w:rFonts w:asciiTheme="majorHAnsi" w:hAnsiTheme="majorHAnsi" w:cs="Aptos Serif"/>
                                        </w:rPr>
                                        <w:t xml:space="preserve"> ACCA4024</w:t>
                                      </w:r>
                                    </w:p>
                                    <w:p w14:paraId="6CD119EB" w14:textId="77777777" w:rsidR="00CC3BC1" w:rsidRPr="00D65B2F" w:rsidRDefault="00CC3BC1" w:rsidP="00CC3BC1">
                                      <w:pPr>
                                        <w:rPr>
                                          <w:rFonts w:asciiTheme="majorHAnsi" w:hAnsiTheme="majorHAnsi" w:cs="Aptos Serif"/>
                                        </w:rPr>
                                      </w:pPr>
                                      <w:r w:rsidRPr="00D65B2F">
                                        <w:rPr>
                                          <w:rFonts w:asciiTheme="majorHAnsi" w:hAnsiTheme="majorHAnsi" w:cs="Aptos Serif"/>
                                          <w:b/>
                                          <w:bCs/>
                                          <w:i/>
                                          <w:iCs/>
                                        </w:rPr>
                                        <w:t>Student Name:</w:t>
                                      </w:r>
                                      <w:r w:rsidRPr="00D65B2F">
                                        <w:rPr>
                                          <w:rFonts w:asciiTheme="majorHAnsi" w:hAnsiTheme="majorHAnsi" w:cs="Aptos Serif"/>
                                        </w:rPr>
                                        <w:t xml:space="preserve"> Elena Mihail</w:t>
                                      </w:r>
                                    </w:p>
                                    <w:p w14:paraId="2CDC4D19" w14:textId="77777777" w:rsidR="00CC3BC1" w:rsidRPr="00D65B2F" w:rsidRDefault="00CC3BC1" w:rsidP="00CC3BC1">
                                      <w:pPr>
                                        <w:rPr>
                                          <w:rFonts w:asciiTheme="majorHAnsi" w:hAnsiTheme="majorHAnsi" w:cs="Aptos Serif"/>
                                        </w:rPr>
                                      </w:pPr>
                                      <w:r w:rsidRPr="00D65B2F">
                                        <w:rPr>
                                          <w:rFonts w:asciiTheme="majorHAnsi" w:hAnsiTheme="majorHAnsi" w:cs="Aptos Serif"/>
                                          <w:b/>
                                          <w:bCs/>
                                          <w:i/>
                                          <w:iCs/>
                                        </w:rPr>
                                        <w:t>Student ID:</w:t>
                                      </w:r>
                                      <w:r w:rsidRPr="00D65B2F">
                                        <w:rPr>
                                          <w:rFonts w:asciiTheme="majorHAnsi" w:hAnsiTheme="majorHAnsi" w:cs="Aptos Serif"/>
                                        </w:rPr>
                                        <w:t xml:space="preserve"> 2437664</w:t>
                                      </w:r>
                                    </w:p>
                                    <w:p w14:paraId="1A869452" w14:textId="77777777" w:rsidR="00CC3BC1" w:rsidRPr="00D65B2F" w:rsidRDefault="00CC3BC1" w:rsidP="00CC3BC1">
                                      <w:pPr>
                                        <w:rPr>
                                          <w:rFonts w:asciiTheme="majorHAnsi" w:hAnsiTheme="majorHAnsi" w:cs="Aptos Serif"/>
                                        </w:rPr>
                                      </w:pPr>
                                      <w:r w:rsidRPr="00D65B2F">
                                        <w:rPr>
                                          <w:rFonts w:asciiTheme="majorHAnsi" w:hAnsiTheme="majorHAnsi" w:cs="Aptos Serif"/>
                                          <w:b/>
                                          <w:bCs/>
                                          <w:i/>
                                          <w:iCs/>
                                        </w:rPr>
                                        <w:t>Group:</w:t>
                                      </w:r>
                                      <w:r w:rsidRPr="00D65B2F">
                                        <w:rPr>
                                          <w:rFonts w:asciiTheme="majorHAnsi" w:hAnsiTheme="majorHAnsi" w:cs="Aptos Serif"/>
                                        </w:rPr>
                                        <w:t xml:space="preserve"> 1</w:t>
                                      </w:r>
                                    </w:p>
                                    <w:p w14:paraId="41BD7FFD" w14:textId="5A9822B8" w:rsidR="00CC3BC1" w:rsidRPr="00E77221" w:rsidRDefault="00CC3BC1" w:rsidP="00E77221">
                                      <w:pPr>
                                        <w:rPr>
                                          <w:rFonts w:asciiTheme="majorHAnsi" w:hAnsiTheme="majorHAnsi" w:cs="Aptos Serif"/>
                                        </w:rPr>
                                      </w:pPr>
                                      <w:r w:rsidRPr="00D65B2F">
                                        <w:rPr>
                                          <w:rFonts w:asciiTheme="majorHAnsi" w:hAnsiTheme="majorHAnsi" w:cs="Aptos Serif"/>
                                          <w:b/>
                                          <w:bCs/>
                                          <w:i/>
                                          <w:iCs/>
                                        </w:rPr>
                                        <w:t>Lecturer’s Name:</w:t>
                                      </w:r>
                                      <w:r w:rsidRPr="00D65B2F">
                                        <w:rPr>
                                          <w:rFonts w:asciiTheme="majorHAnsi" w:hAnsiTheme="majorHAnsi" w:cs="Aptos Serif"/>
                                        </w:rPr>
                                        <w:t xml:space="preserve"> Amit Naik</w:t>
                                      </w: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BEFBBB9" w14:textId="69185B14" w:rsidR="00CC3BC1" w:rsidRDefault="00E77221">
                                          <w:pPr>
                                            <w:pStyle w:val="NoSpacing"/>
                                            <w:rPr>
                                              <w:color w:val="E97132" w:themeColor="accent2"/>
                                              <w:sz w:val="26"/>
                                              <w:szCs w:val="26"/>
                                            </w:rPr>
                                          </w:pPr>
                                          <w:r>
                                            <w:rPr>
                                              <w:color w:val="E97132" w:themeColor="accent2"/>
                                              <w:sz w:val="26"/>
                                              <w:szCs w:val="26"/>
                                            </w:rPr>
                                            <w:t>University of Wales Trinity Saint David</w:t>
                                          </w:r>
                                        </w:p>
                                      </w:sdtContent>
                                    </w:sdt>
                                    <w:p w14:paraId="47017F6C" w14:textId="4B64C6B0" w:rsidR="00CC3BC1" w:rsidRDefault="00F6608F">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03BA2">
                                            <w:rPr>
                                              <w:color w:val="0E2841" w:themeColor="text2"/>
                                            </w:rPr>
                                            <w:t>London Campus</w:t>
                                          </w:r>
                                        </w:sdtContent>
                                      </w:sdt>
                                    </w:p>
                                  </w:tc>
                                </w:tr>
                              </w:tbl>
                              <w:p w14:paraId="625A0A1F" w14:textId="77777777" w:rsidR="00CC3BC1" w:rsidRDefault="00CC3BC1" w:rsidP="00A74180">
                                <w:pPr>
                                  <w:jc w:val="cente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21083603" id="Text Box 139" o:spid="_x0000_s1027"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410"/>
                            <w:gridCol w:w="1787"/>
                          </w:tblGrid>
                          <w:tr w:rsidR="00790BAE" w14:paraId="1F823C8F" w14:textId="77777777">
                            <w:trPr>
                              <w:jc w:val="center"/>
                            </w:trPr>
                            <w:tc>
                              <w:tcPr>
                                <w:tcW w:w="2568" w:type="pct"/>
                                <w:vAlign w:val="center"/>
                              </w:tcPr>
                              <w:p w14:paraId="67A957DE" w14:textId="547C9485" w:rsidR="00CC3BC1" w:rsidRDefault="004A5D54">
                                <w:pPr>
                                  <w:jc w:val="right"/>
                                </w:pPr>
                                <w:r>
                                  <w:rPr>
                                    <w:noProof/>
                                  </w:rPr>
                                  <w:drawing>
                                    <wp:inline distT="0" distB="0" distL="0" distR="0" wp14:anchorId="4A5A9C1D" wp14:editId="6C7A2947">
                                      <wp:extent cx="3733800" cy="2498430"/>
                                      <wp:effectExtent l="152400" t="152400" r="361950" b="359410"/>
                                      <wp:docPr id="21158994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034402" name="Picture 1798034402"/>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flipH="1">
                                                <a:off x="0" y="0"/>
                                                <a:ext cx="3789460" cy="2535674"/>
                                              </a:xfrm>
                                              <a:prstGeom prst="rect">
                                                <a:avLst/>
                                              </a:prstGeom>
                                              <a:ln>
                                                <a:noFill/>
                                              </a:ln>
                                              <a:effectLst>
                                                <a:outerShdw blurRad="292100" dist="139700" dir="2700000" algn="tl" rotWithShape="0">
                                                  <a:srgbClr val="333333">
                                                    <a:alpha val="65000"/>
                                                  </a:srgbClr>
                                                </a:outerShdw>
                                              </a:effectLst>
                                            </pic:spPr>
                                          </pic:pic>
                                        </a:graphicData>
                                      </a:graphic>
                                    </wp:inline>
                                  </w:drawing>
                                </w:r>
                              </w:p>
                              <w:sdt>
                                <w:sdtPr>
                                  <w:rPr>
                                    <w:rFonts w:ascii="Bodoni MT Condensed" w:hAnsi="Bodoni MT Condensed"/>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69CBCEF" w14:textId="3788D39F" w:rsidR="00CC3BC1" w:rsidRPr="00DD5EB4" w:rsidRDefault="00CC3BC1" w:rsidP="006E3FA7">
                                    <w:pPr>
                                      <w:pStyle w:val="NoSpacing"/>
                                      <w:spacing w:line="312" w:lineRule="auto"/>
                                      <w:jc w:val="center"/>
                                      <w:rPr>
                                        <w:rFonts w:ascii="Bodoni MT Condensed" w:hAnsi="Bodoni MT Condensed"/>
                                        <w:caps/>
                                        <w:color w:val="191919" w:themeColor="text1" w:themeTint="E6"/>
                                        <w:sz w:val="72"/>
                                        <w:szCs w:val="72"/>
                                      </w:rPr>
                                    </w:pPr>
                                    <w:r w:rsidRPr="00DD5EB4">
                                      <w:rPr>
                                        <w:rFonts w:ascii="Bodoni MT Condensed" w:hAnsi="Bodoni MT Condensed"/>
                                        <w:caps/>
                                        <w:color w:val="191919" w:themeColor="text1" w:themeTint="E6"/>
                                        <w:sz w:val="72"/>
                                        <w:szCs w:val="72"/>
                                      </w:rPr>
                                      <w:t>ASSESSMENT 1</w:t>
                                    </w:r>
                                  </w:p>
                                </w:sdtContent>
                              </w:sdt>
                              <w:sdt>
                                <w:sdtPr>
                                  <w:rPr>
                                    <w:rFonts w:ascii="Californian FB" w:hAnsi="Californian FB"/>
                                    <w:i/>
                                    <w:iCs/>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608FC23" w14:textId="6F1C63B2" w:rsidR="00CC3BC1" w:rsidRDefault="00CC3BC1" w:rsidP="006E3FA7">
                                    <w:pPr>
                                      <w:jc w:val="center"/>
                                    </w:pPr>
                                    <w:r w:rsidRPr="00DD5EB4">
                                      <w:rPr>
                                        <w:rFonts w:ascii="Californian FB" w:hAnsi="Californian FB"/>
                                        <w:i/>
                                        <w:iCs/>
                                        <w:color w:val="000000" w:themeColor="text1"/>
                                        <w:sz w:val="28"/>
                                        <w:szCs w:val="28"/>
                                      </w:rPr>
                                      <w:t xml:space="preserve">Synthesize a solution to a potential </w:t>
                                    </w:r>
                                    <w:r w:rsidR="007F0E03" w:rsidRPr="00DD5EB4">
                                      <w:rPr>
                                        <w:rFonts w:ascii="Californian FB" w:hAnsi="Californian FB"/>
                                        <w:i/>
                                        <w:iCs/>
                                        <w:color w:val="000000" w:themeColor="text1"/>
                                        <w:sz w:val="28"/>
                                        <w:szCs w:val="28"/>
                                      </w:rPr>
                                      <w:t>real-life</w:t>
                                    </w:r>
                                    <w:r w:rsidRPr="00DD5EB4">
                                      <w:rPr>
                                        <w:rFonts w:ascii="Californian FB" w:hAnsi="Californian FB"/>
                                        <w:i/>
                                        <w:iCs/>
                                        <w:color w:val="000000" w:themeColor="text1"/>
                                        <w:sz w:val="28"/>
                                        <w:szCs w:val="28"/>
                                      </w:rPr>
                                      <w:t xml:space="preserve"> scenario</w:t>
                                    </w:r>
                                  </w:p>
                                </w:sdtContent>
                              </w:sdt>
                            </w:tc>
                            <w:tc>
                              <w:tcPr>
                                <w:tcW w:w="2432" w:type="pct"/>
                                <w:vAlign w:val="center"/>
                              </w:tcPr>
                              <w:p w14:paraId="7F495D9F" w14:textId="77777777" w:rsidR="00CC3BC1" w:rsidRPr="00D65B2F" w:rsidRDefault="00CC3BC1" w:rsidP="00CC3BC1">
                                <w:pPr>
                                  <w:rPr>
                                    <w:rFonts w:asciiTheme="majorHAnsi" w:hAnsiTheme="majorHAnsi" w:cs="Aptos Serif"/>
                                  </w:rPr>
                                </w:pPr>
                                <w:r w:rsidRPr="00D65B2F">
                                  <w:rPr>
                                    <w:rFonts w:asciiTheme="majorHAnsi" w:hAnsiTheme="majorHAnsi" w:cs="Aptos Serif"/>
                                    <w:b/>
                                    <w:bCs/>
                                    <w:i/>
                                    <w:iCs/>
                                  </w:rPr>
                                  <w:t>Module Name:</w:t>
                                </w:r>
                                <w:r w:rsidRPr="00D65B2F">
                                  <w:rPr>
                                    <w:rFonts w:asciiTheme="majorHAnsi" w:hAnsiTheme="majorHAnsi" w:cs="Aptos Serif"/>
                                  </w:rPr>
                                  <w:t xml:space="preserve"> Networks and Cyber Security Essentials</w:t>
                                </w:r>
                              </w:p>
                              <w:p w14:paraId="3C99A163" w14:textId="77777777" w:rsidR="00CC3BC1" w:rsidRPr="00D65B2F" w:rsidRDefault="00CC3BC1" w:rsidP="00CC3BC1">
                                <w:pPr>
                                  <w:rPr>
                                    <w:rFonts w:asciiTheme="majorHAnsi" w:hAnsiTheme="majorHAnsi" w:cs="Aptos Serif"/>
                                  </w:rPr>
                                </w:pPr>
                                <w:r w:rsidRPr="00D65B2F">
                                  <w:rPr>
                                    <w:rFonts w:asciiTheme="majorHAnsi" w:hAnsiTheme="majorHAnsi" w:cs="Aptos Serif"/>
                                    <w:b/>
                                    <w:bCs/>
                                    <w:i/>
                                    <w:iCs/>
                                  </w:rPr>
                                  <w:t>Module Code:</w:t>
                                </w:r>
                                <w:r w:rsidRPr="00D65B2F">
                                  <w:rPr>
                                    <w:rFonts w:asciiTheme="majorHAnsi" w:hAnsiTheme="majorHAnsi" w:cs="Aptos Serif"/>
                                  </w:rPr>
                                  <w:t xml:space="preserve"> ACCA4024</w:t>
                                </w:r>
                              </w:p>
                              <w:p w14:paraId="6CD119EB" w14:textId="77777777" w:rsidR="00CC3BC1" w:rsidRPr="00D65B2F" w:rsidRDefault="00CC3BC1" w:rsidP="00CC3BC1">
                                <w:pPr>
                                  <w:rPr>
                                    <w:rFonts w:asciiTheme="majorHAnsi" w:hAnsiTheme="majorHAnsi" w:cs="Aptos Serif"/>
                                  </w:rPr>
                                </w:pPr>
                                <w:r w:rsidRPr="00D65B2F">
                                  <w:rPr>
                                    <w:rFonts w:asciiTheme="majorHAnsi" w:hAnsiTheme="majorHAnsi" w:cs="Aptos Serif"/>
                                    <w:b/>
                                    <w:bCs/>
                                    <w:i/>
                                    <w:iCs/>
                                  </w:rPr>
                                  <w:t>Student Name:</w:t>
                                </w:r>
                                <w:r w:rsidRPr="00D65B2F">
                                  <w:rPr>
                                    <w:rFonts w:asciiTheme="majorHAnsi" w:hAnsiTheme="majorHAnsi" w:cs="Aptos Serif"/>
                                  </w:rPr>
                                  <w:t xml:space="preserve"> Elena Mihail</w:t>
                                </w:r>
                              </w:p>
                              <w:p w14:paraId="2CDC4D19" w14:textId="77777777" w:rsidR="00CC3BC1" w:rsidRPr="00D65B2F" w:rsidRDefault="00CC3BC1" w:rsidP="00CC3BC1">
                                <w:pPr>
                                  <w:rPr>
                                    <w:rFonts w:asciiTheme="majorHAnsi" w:hAnsiTheme="majorHAnsi" w:cs="Aptos Serif"/>
                                  </w:rPr>
                                </w:pPr>
                                <w:r w:rsidRPr="00D65B2F">
                                  <w:rPr>
                                    <w:rFonts w:asciiTheme="majorHAnsi" w:hAnsiTheme="majorHAnsi" w:cs="Aptos Serif"/>
                                    <w:b/>
                                    <w:bCs/>
                                    <w:i/>
                                    <w:iCs/>
                                  </w:rPr>
                                  <w:t>Student ID:</w:t>
                                </w:r>
                                <w:r w:rsidRPr="00D65B2F">
                                  <w:rPr>
                                    <w:rFonts w:asciiTheme="majorHAnsi" w:hAnsiTheme="majorHAnsi" w:cs="Aptos Serif"/>
                                  </w:rPr>
                                  <w:t xml:space="preserve"> 2437664</w:t>
                                </w:r>
                              </w:p>
                              <w:p w14:paraId="1A869452" w14:textId="77777777" w:rsidR="00CC3BC1" w:rsidRPr="00D65B2F" w:rsidRDefault="00CC3BC1" w:rsidP="00CC3BC1">
                                <w:pPr>
                                  <w:rPr>
                                    <w:rFonts w:asciiTheme="majorHAnsi" w:hAnsiTheme="majorHAnsi" w:cs="Aptos Serif"/>
                                  </w:rPr>
                                </w:pPr>
                                <w:r w:rsidRPr="00D65B2F">
                                  <w:rPr>
                                    <w:rFonts w:asciiTheme="majorHAnsi" w:hAnsiTheme="majorHAnsi" w:cs="Aptos Serif"/>
                                    <w:b/>
                                    <w:bCs/>
                                    <w:i/>
                                    <w:iCs/>
                                  </w:rPr>
                                  <w:t>Group:</w:t>
                                </w:r>
                                <w:r w:rsidRPr="00D65B2F">
                                  <w:rPr>
                                    <w:rFonts w:asciiTheme="majorHAnsi" w:hAnsiTheme="majorHAnsi" w:cs="Aptos Serif"/>
                                  </w:rPr>
                                  <w:t xml:space="preserve"> 1</w:t>
                                </w:r>
                              </w:p>
                              <w:p w14:paraId="41BD7FFD" w14:textId="5A9822B8" w:rsidR="00CC3BC1" w:rsidRPr="00E77221" w:rsidRDefault="00CC3BC1" w:rsidP="00E77221">
                                <w:pPr>
                                  <w:rPr>
                                    <w:rFonts w:asciiTheme="majorHAnsi" w:hAnsiTheme="majorHAnsi" w:cs="Aptos Serif"/>
                                  </w:rPr>
                                </w:pPr>
                                <w:r w:rsidRPr="00D65B2F">
                                  <w:rPr>
                                    <w:rFonts w:asciiTheme="majorHAnsi" w:hAnsiTheme="majorHAnsi" w:cs="Aptos Serif"/>
                                    <w:b/>
                                    <w:bCs/>
                                    <w:i/>
                                    <w:iCs/>
                                  </w:rPr>
                                  <w:t>Lecturer’s Name:</w:t>
                                </w:r>
                                <w:r w:rsidRPr="00D65B2F">
                                  <w:rPr>
                                    <w:rFonts w:asciiTheme="majorHAnsi" w:hAnsiTheme="majorHAnsi" w:cs="Aptos Serif"/>
                                  </w:rPr>
                                  <w:t xml:space="preserve"> Amit Naik</w:t>
                                </w: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BEFBBB9" w14:textId="69185B14" w:rsidR="00CC3BC1" w:rsidRDefault="00E77221">
                                    <w:pPr>
                                      <w:pStyle w:val="NoSpacing"/>
                                      <w:rPr>
                                        <w:color w:val="E97132" w:themeColor="accent2"/>
                                        <w:sz w:val="26"/>
                                        <w:szCs w:val="26"/>
                                      </w:rPr>
                                    </w:pPr>
                                    <w:r>
                                      <w:rPr>
                                        <w:color w:val="E97132" w:themeColor="accent2"/>
                                        <w:sz w:val="26"/>
                                        <w:szCs w:val="26"/>
                                      </w:rPr>
                                      <w:t>University of Wales Trinity Saint David</w:t>
                                    </w:r>
                                  </w:p>
                                </w:sdtContent>
                              </w:sdt>
                              <w:p w14:paraId="47017F6C" w14:textId="4B64C6B0" w:rsidR="00CC3BC1" w:rsidRDefault="00F6608F">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03BA2">
                                      <w:rPr>
                                        <w:color w:val="0E2841" w:themeColor="text2"/>
                                      </w:rPr>
                                      <w:t>London Campus</w:t>
                                    </w:r>
                                  </w:sdtContent>
                                </w:sdt>
                              </w:p>
                            </w:tc>
                          </w:tr>
                        </w:tbl>
                        <w:p w14:paraId="625A0A1F" w14:textId="77777777" w:rsidR="00CC3BC1" w:rsidRDefault="00CC3BC1" w:rsidP="00A74180">
                          <w:pPr>
                            <w:jc w:val="center"/>
                          </w:pPr>
                        </w:p>
                      </w:txbxContent>
                    </v:textbox>
                    <w10:wrap anchorx="page" anchory="page"/>
                  </v:shape>
                </w:pict>
              </mc:Fallback>
            </mc:AlternateContent>
          </w:r>
          <w:r w:rsidR="00CC3BC1">
            <w:rPr>
              <w:color w:val="156082" w:themeColor="accent1"/>
            </w:rPr>
            <w:br w:type="page"/>
          </w:r>
        </w:sdtContent>
      </w:sdt>
    </w:p>
    <w:sdt>
      <w:sdtPr>
        <w:rPr>
          <w:rFonts w:asciiTheme="minorHAnsi" w:eastAsiaTheme="minorHAnsi" w:hAnsiTheme="minorHAnsi" w:cstheme="minorBidi"/>
          <w:color w:val="auto"/>
          <w:kern w:val="2"/>
          <w:sz w:val="24"/>
          <w:szCs w:val="24"/>
          <w:lang w:val="en-GB"/>
          <w14:ligatures w14:val="standardContextual"/>
        </w:rPr>
        <w:id w:val="850911340"/>
        <w:docPartObj>
          <w:docPartGallery w:val="Table of Contents"/>
          <w:docPartUnique/>
        </w:docPartObj>
      </w:sdtPr>
      <w:sdtEndPr>
        <w:rPr>
          <w:b/>
          <w:bCs/>
          <w:noProof/>
        </w:rPr>
      </w:sdtEndPr>
      <w:sdtContent>
        <w:p w14:paraId="4BE1BD55" w14:textId="4EAC2BE3" w:rsidR="00AE29E0" w:rsidRPr="00B1319D" w:rsidRDefault="00AE29E0">
          <w:pPr>
            <w:pStyle w:val="TOCHeading"/>
            <w:rPr>
              <w:rFonts w:ascii="Californian FB" w:hAnsi="Californian FB"/>
            </w:rPr>
          </w:pPr>
          <w:r w:rsidRPr="00B1319D">
            <w:rPr>
              <w:rFonts w:ascii="Californian FB" w:hAnsi="Californian FB"/>
            </w:rPr>
            <w:t>Table of Contents</w:t>
          </w:r>
        </w:p>
        <w:p w14:paraId="0F0F9A92" w14:textId="7F2F7B46" w:rsidR="00E20CDD" w:rsidRDefault="00AE29E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328242" w:history="1">
            <w:r w:rsidR="00E20CDD" w:rsidRPr="00412960">
              <w:rPr>
                <w:rStyle w:val="Hyperlink"/>
                <w:rFonts w:ascii="Californian FB" w:hAnsi="Californian FB" w:cs="ADLaM Display"/>
                <w:noProof/>
              </w:rPr>
              <w:t>1.Introduction</w:t>
            </w:r>
            <w:r w:rsidR="00E20CDD">
              <w:rPr>
                <w:noProof/>
                <w:webHidden/>
              </w:rPr>
              <w:tab/>
            </w:r>
            <w:r w:rsidR="00E20CDD">
              <w:rPr>
                <w:noProof/>
                <w:webHidden/>
              </w:rPr>
              <w:fldChar w:fldCharType="begin"/>
            </w:r>
            <w:r w:rsidR="00E20CDD">
              <w:rPr>
                <w:noProof/>
                <w:webHidden/>
              </w:rPr>
              <w:instrText xml:space="preserve"> PAGEREF _Toc227328242 \h </w:instrText>
            </w:r>
            <w:r w:rsidR="00E20CDD">
              <w:rPr>
                <w:noProof/>
                <w:webHidden/>
              </w:rPr>
            </w:r>
            <w:r w:rsidR="00E20CDD">
              <w:rPr>
                <w:noProof/>
                <w:webHidden/>
              </w:rPr>
              <w:fldChar w:fldCharType="separate"/>
            </w:r>
            <w:r w:rsidR="00E20CDD">
              <w:rPr>
                <w:noProof/>
                <w:webHidden/>
              </w:rPr>
              <w:t>2</w:t>
            </w:r>
            <w:r w:rsidR="00E20CDD">
              <w:rPr>
                <w:noProof/>
                <w:webHidden/>
              </w:rPr>
              <w:fldChar w:fldCharType="end"/>
            </w:r>
          </w:hyperlink>
        </w:p>
        <w:p w14:paraId="64A98CA8" w14:textId="1D4F603D" w:rsidR="00E20CDD" w:rsidRDefault="00E20CDD">
          <w:pPr>
            <w:pStyle w:val="TOC1"/>
            <w:tabs>
              <w:tab w:val="right" w:leader="dot" w:pos="9016"/>
            </w:tabs>
            <w:rPr>
              <w:rFonts w:eastAsiaTheme="minorEastAsia"/>
              <w:noProof/>
              <w:lang w:eastAsia="en-GB"/>
            </w:rPr>
          </w:pPr>
          <w:hyperlink w:anchor="_Toc227328243" w:history="1">
            <w:r w:rsidRPr="00412960">
              <w:rPr>
                <w:rStyle w:val="Hyperlink"/>
                <w:rFonts w:ascii="Californian FB" w:hAnsi="Californian FB"/>
                <w:noProof/>
              </w:rPr>
              <w:t>2. Identification of Threats</w:t>
            </w:r>
            <w:r>
              <w:rPr>
                <w:noProof/>
                <w:webHidden/>
              </w:rPr>
              <w:tab/>
            </w:r>
            <w:r>
              <w:rPr>
                <w:noProof/>
                <w:webHidden/>
              </w:rPr>
              <w:fldChar w:fldCharType="begin"/>
            </w:r>
            <w:r>
              <w:rPr>
                <w:noProof/>
                <w:webHidden/>
              </w:rPr>
              <w:instrText xml:space="preserve"> PAGEREF _Toc227328243 \h </w:instrText>
            </w:r>
            <w:r>
              <w:rPr>
                <w:noProof/>
                <w:webHidden/>
              </w:rPr>
            </w:r>
            <w:r>
              <w:rPr>
                <w:noProof/>
                <w:webHidden/>
              </w:rPr>
              <w:fldChar w:fldCharType="separate"/>
            </w:r>
            <w:r>
              <w:rPr>
                <w:noProof/>
                <w:webHidden/>
              </w:rPr>
              <w:t>2</w:t>
            </w:r>
            <w:r>
              <w:rPr>
                <w:noProof/>
                <w:webHidden/>
              </w:rPr>
              <w:fldChar w:fldCharType="end"/>
            </w:r>
          </w:hyperlink>
        </w:p>
        <w:p w14:paraId="5785FD05" w14:textId="7201E267" w:rsidR="00E20CDD" w:rsidRDefault="00E20CDD">
          <w:pPr>
            <w:pStyle w:val="TOC1"/>
            <w:tabs>
              <w:tab w:val="right" w:leader="dot" w:pos="9016"/>
            </w:tabs>
            <w:rPr>
              <w:rFonts w:eastAsiaTheme="minorEastAsia"/>
              <w:noProof/>
              <w:lang w:eastAsia="en-GB"/>
            </w:rPr>
          </w:pPr>
          <w:hyperlink w:anchor="_Toc227328244" w:history="1">
            <w:r w:rsidRPr="00412960">
              <w:rPr>
                <w:rStyle w:val="Hyperlink"/>
                <w:rFonts w:ascii="Californian FB" w:hAnsi="Californian FB"/>
                <w:noProof/>
              </w:rPr>
              <w:t>2. 1 External Threats</w:t>
            </w:r>
            <w:r>
              <w:rPr>
                <w:noProof/>
                <w:webHidden/>
              </w:rPr>
              <w:tab/>
            </w:r>
            <w:r>
              <w:rPr>
                <w:noProof/>
                <w:webHidden/>
              </w:rPr>
              <w:fldChar w:fldCharType="begin"/>
            </w:r>
            <w:r>
              <w:rPr>
                <w:noProof/>
                <w:webHidden/>
              </w:rPr>
              <w:instrText xml:space="preserve"> PAGEREF _Toc227328244 \h </w:instrText>
            </w:r>
            <w:r>
              <w:rPr>
                <w:noProof/>
                <w:webHidden/>
              </w:rPr>
            </w:r>
            <w:r>
              <w:rPr>
                <w:noProof/>
                <w:webHidden/>
              </w:rPr>
              <w:fldChar w:fldCharType="separate"/>
            </w:r>
            <w:r>
              <w:rPr>
                <w:noProof/>
                <w:webHidden/>
              </w:rPr>
              <w:t>2</w:t>
            </w:r>
            <w:r>
              <w:rPr>
                <w:noProof/>
                <w:webHidden/>
              </w:rPr>
              <w:fldChar w:fldCharType="end"/>
            </w:r>
          </w:hyperlink>
        </w:p>
        <w:p w14:paraId="4A48898C" w14:textId="31BA90EC" w:rsidR="00E20CDD" w:rsidRDefault="00E20CDD">
          <w:pPr>
            <w:pStyle w:val="TOC1"/>
            <w:tabs>
              <w:tab w:val="right" w:leader="dot" w:pos="9016"/>
            </w:tabs>
            <w:rPr>
              <w:rFonts w:eastAsiaTheme="minorEastAsia"/>
              <w:noProof/>
              <w:lang w:eastAsia="en-GB"/>
            </w:rPr>
          </w:pPr>
          <w:hyperlink w:anchor="_Toc227328245" w:history="1">
            <w:r w:rsidRPr="00412960">
              <w:rPr>
                <w:rStyle w:val="Hyperlink"/>
                <w:rFonts w:ascii="Californian FB" w:hAnsi="Californian FB"/>
                <w:noProof/>
              </w:rPr>
              <w:t>2.2 Internal Threats</w:t>
            </w:r>
            <w:r>
              <w:rPr>
                <w:noProof/>
                <w:webHidden/>
              </w:rPr>
              <w:tab/>
            </w:r>
            <w:r>
              <w:rPr>
                <w:noProof/>
                <w:webHidden/>
              </w:rPr>
              <w:fldChar w:fldCharType="begin"/>
            </w:r>
            <w:r>
              <w:rPr>
                <w:noProof/>
                <w:webHidden/>
              </w:rPr>
              <w:instrText xml:space="preserve"> PAGEREF _Toc227328245 \h </w:instrText>
            </w:r>
            <w:r>
              <w:rPr>
                <w:noProof/>
                <w:webHidden/>
              </w:rPr>
            </w:r>
            <w:r>
              <w:rPr>
                <w:noProof/>
                <w:webHidden/>
              </w:rPr>
              <w:fldChar w:fldCharType="separate"/>
            </w:r>
            <w:r>
              <w:rPr>
                <w:noProof/>
                <w:webHidden/>
              </w:rPr>
              <w:t>3</w:t>
            </w:r>
            <w:r>
              <w:rPr>
                <w:noProof/>
                <w:webHidden/>
              </w:rPr>
              <w:fldChar w:fldCharType="end"/>
            </w:r>
          </w:hyperlink>
        </w:p>
        <w:p w14:paraId="5BD1ACCE" w14:textId="59659D8D" w:rsidR="00E20CDD" w:rsidRDefault="00E20CDD">
          <w:pPr>
            <w:pStyle w:val="TOC1"/>
            <w:tabs>
              <w:tab w:val="right" w:leader="dot" w:pos="9016"/>
            </w:tabs>
            <w:rPr>
              <w:rFonts w:eastAsiaTheme="minorEastAsia"/>
              <w:noProof/>
              <w:lang w:eastAsia="en-GB"/>
            </w:rPr>
          </w:pPr>
          <w:hyperlink w:anchor="_Toc227328246" w:history="1">
            <w:r w:rsidRPr="00412960">
              <w:rPr>
                <w:rStyle w:val="Hyperlink"/>
                <w:rFonts w:ascii="Californian FB" w:hAnsi="Californian FB"/>
                <w:noProof/>
              </w:rPr>
              <w:t>3. Security Policies</w:t>
            </w:r>
            <w:r>
              <w:rPr>
                <w:noProof/>
                <w:webHidden/>
              </w:rPr>
              <w:tab/>
            </w:r>
            <w:r>
              <w:rPr>
                <w:noProof/>
                <w:webHidden/>
              </w:rPr>
              <w:fldChar w:fldCharType="begin"/>
            </w:r>
            <w:r>
              <w:rPr>
                <w:noProof/>
                <w:webHidden/>
              </w:rPr>
              <w:instrText xml:space="preserve"> PAGEREF _Toc227328246 \h </w:instrText>
            </w:r>
            <w:r>
              <w:rPr>
                <w:noProof/>
                <w:webHidden/>
              </w:rPr>
            </w:r>
            <w:r>
              <w:rPr>
                <w:noProof/>
                <w:webHidden/>
              </w:rPr>
              <w:fldChar w:fldCharType="separate"/>
            </w:r>
            <w:r>
              <w:rPr>
                <w:noProof/>
                <w:webHidden/>
              </w:rPr>
              <w:t>4</w:t>
            </w:r>
            <w:r>
              <w:rPr>
                <w:noProof/>
                <w:webHidden/>
              </w:rPr>
              <w:fldChar w:fldCharType="end"/>
            </w:r>
          </w:hyperlink>
        </w:p>
        <w:p w14:paraId="15DF38B9" w14:textId="5B380186" w:rsidR="00E20CDD" w:rsidRDefault="00E20CDD">
          <w:pPr>
            <w:pStyle w:val="TOC1"/>
            <w:tabs>
              <w:tab w:val="right" w:leader="dot" w:pos="9016"/>
            </w:tabs>
            <w:rPr>
              <w:rFonts w:eastAsiaTheme="minorEastAsia"/>
              <w:noProof/>
              <w:lang w:eastAsia="en-GB"/>
            </w:rPr>
          </w:pPr>
          <w:hyperlink w:anchor="_Toc227328247" w:history="1">
            <w:r w:rsidRPr="00412960">
              <w:rPr>
                <w:rStyle w:val="Hyperlink"/>
                <w:rFonts w:ascii="Californian FB" w:hAnsi="Californian FB"/>
                <w:noProof/>
              </w:rPr>
              <w:t>3.1 Access Control Policy</w:t>
            </w:r>
            <w:r>
              <w:rPr>
                <w:noProof/>
                <w:webHidden/>
              </w:rPr>
              <w:tab/>
            </w:r>
            <w:r>
              <w:rPr>
                <w:noProof/>
                <w:webHidden/>
              </w:rPr>
              <w:fldChar w:fldCharType="begin"/>
            </w:r>
            <w:r>
              <w:rPr>
                <w:noProof/>
                <w:webHidden/>
              </w:rPr>
              <w:instrText xml:space="preserve"> PAGEREF _Toc227328247 \h </w:instrText>
            </w:r>
            <w:r>
              <w:rPr>
                <w:noProof/>
                <w:webHidden/>
              </w:rPr>
            </w:r>
            <w:r>
              <w:rPr>
                <w:noProof/>
                <w:webHidden/>
              </w:rPr>
              <w:fldChar w:fldCharType="separate"/>
            </w:r>
            <w:r>
              <w:rPr>
                <w:noProof/>
                <w:webHidden/>
              </w:rPr>
              <w:t>4</w:t>
            </w:r>
            <w:r>
              <w:rPr>
                <w:noProof/>
                <w:webHidden/>
              </w:rPr>
              <w:fldChar w:fldCharType="end"/>
            </w:r>
          </w:hyperlink>
        </w:p>
        <w:p w14:paraId="2F8FDB8A" w14:textId="143FEF87" w:rsidR="00E20CDD" w:rsidRDefault="00E20CDD">
          <w:pPr>
            <w:pStyle w:val="TOC1"/>
            <w:tabs>
              <w:tab w:val="right" w:leader="dot" w:pos="9016"/>
            </w:tabs>
            <w:rPr>
              <w:rFonts w:eastAsiaTheme="minorEastAsia"/>
              <w:noProof/>
              <w:lang w:eastAsia="en-GB"/>
            </w:rPr>
          </w:pPr>
          <w:hyperlink w:anchor="_Toc227328248" w:history="1">
            <w:r w:rsidRPr="00412960">
              <w:rPr>
                <w:rStyle w:val="Hyperlink"/>
                <w:rFonts w:ascii="Californian FB" w:hAnsi="Californian FB"/>
                <w:noProof/>
              </w:rPr>
              <w:t>3.2 Password Policy</w:t>
            </w:r>
            <w:r>
              <w:rPr>
                <w:noProof/>
                <w:webHidden/>
              </w:rPr>
              <w:tab/>
            </w:r>
            <w:r>
              <w:rPr>
                <w:noProof/>
                <w:webHidden/>
              </w:rPr>
              <w:fldChar w:fldCharType="begin"/>
            </w:r>
            <w:r>
              <w:rPr>
                <w:noProof/>
                <w:webHidden/>
              </w:rPr>
              <w:instrText xml:space="preserve"> PAGEREF _Toc227328248 \h </w:instrText>
            </w:r>
            <w:r>
              <w:rPr>
                <w:noProof/>
                <w:webHidden/>
              </w:rPr>
            </w:r>
            <w:r>
              <w:rPr>
                <w:noProof/>
                <w:webHidden/>
              </w:rPr>
              <w:fldChar w:fldCharType="separate"/>
            </w:r>
            <w:r>
              <w:rPr>
                <w:noProof/>
                <w:webHidden/>
              </w:rPr>
              <w:t>5</w:t>
            </w:r>
            <w:r>
              <w:rPr>
                <w:noProof/>
                <w:webHidden/>
              </w:rPr>
              <w:fldChar w:fldCharType="end"/>
            </w:r>
          </w:hyperlink>
        </w:p>
        <w:p w14:paraId="3CE5F7CD" w14:textId="474F979D" w:rsidR="00E20CDD" w:rsidRDefault="00E20CDD">
          <w:pPr>
            <w:pStyle w:val="TOC1"/>
            <w:tabs>
              <w:tab w:val="right" w:leader="dot" w:pos="9016"/>
            </w:tabs>
            <w:rPr>
              <w:rFonts w:eastAsiaTheme="minorEastAsia"/>
              <w:noProof/>
              <w:lang w:eastAsia="en-GB"/>
            </w:rPr>
          </w:pPr>
          <w:hyperlink w:anchor="_Toc227328249" w:history="1">
            <w:r w:rsidRPr="00412960">
              <w:rPr>
                <w:rStyle w:val="Hyperlink"/>
                <w:rFonts w:ascii="Californian FB" w:hAnsi="Californian FB"/>
                <w:noProof/>
              </w:rPr>
              <w:t>3.3 Data Protection Policy</w:t>
            </w:r>
            <w:r>
              <w:rPr>
                <w:noProof/>
                <w:webHidden/>
              </w:rPr>
              <w:tab/>
            </w:r>
            <w:r>
              <w:rPr>
                <w:noProof/>
                <w:webHidden/>
              </w:rPr>
              <w:fldChar w:fldCharType="begin"/>
            </w:r>
            <w:r>
              <w:rPr>
                <w:noProof/>
                <w:webHidden/>
              </w:rPr>
              <w:instrText xml:space="preserve"> PAGEREF _Toc227328249 \h </w:instrText>
            </w:r>
            <w:r>
              <w:rPr>
                <w:noProof/>
                <w:webHidden/>
              </w:rPr>
            </w:r>
            <w:r>
              <w:rPr>
                <w:noProof/>
                <w:webHidden/>
              </w:rPr>
              <w:fldChar w:fldCharType="separate"/>
            </w:r>
            <w:r>
              <w:rPr>
                <w:noProof/>
                <w:webHidden/>
              </w:rPr>
              <w:t>5</w:t>
            </w:r>
            <w:r>
              <w:rPr>
                <w:noProof/>
                <w:webHidden/>
              </w:rPr>
              <w:fldChar w:fldCharType="end"/>
            </w:r>
          </w:hyperlink>
        </w:p>
        <w:p w14:paraId="5D6055ED" w14:textId="464D55AB" w:rsidR="00E20CDD" w:rsidRDefault="00E20CDD">
          <w:pPr>
            <w:pStyle w:val="TOC1"/>
            <w:tabs>
              <w:tab w:val="right" w:leader="dot" w:pos="9016"/>
            </w:tabs>
            <w:rPr>
              <w:rFonts w:eastAsiaTheme="minorEastAsia"/>
              <w:noProof/>
              <w:lang w:eastAsia="en-GB"/>
            </w:rPr>
          </w:pPr>
          <w:hyperlink w:anchor="_Toc227328250" w:history="1">
            <w:r w:rsidRPr="00412960">
              <w:rPr>
                <w:rStyle w:val="Hyperlink"/>
                <w:rFonts w:ascii="Californian FB" w:hAnsi="Californian FB"/>
                <w:noProof/>
              </w:rPr>
              <w:t>3.4 BYOD Policy</w:t>
            </w:r>
            <w:r>
              <w:rPr>
                <w:noProof/>
                <w:webHidden/>
              </w:rPr>
              <w:tab/>
            </w:r>
            <w:r>
              <w:rPr>
                <w:noProof/>
                <w:webHidden/>
              </w:rPr>
              <w:fldChar w:fldCharType="begin"/>
            </w:r>
            <w:r>
              <w:rPr>
                <w:noProof/>
                <w:webHidden/>
              </w:rPr>
              <w:instrText xml:space="preserve"> PAGEREF _Toc227328250 \h </w:instrText>
            </w:r>
            <w:r>
              <w:rPr>
                <w:noProof/>
                <w:webHidden/>
              </w:rPr>
            </w:r>
            <w:r>
              <w:rPr>
                <w:noProof/>
                <w:webHidden/>
              </w:rPr>
              <w:fldChar w:fldCharType="separate"/>
            </w:r>
            <w:r>
              <w:rPr>
                <w:noProof/>
                <w:webHidden/>
              </w:rPr>
              <w:t>5</w:t>
            </w:r>
            <w:r>
              <w:rPr>
                <w:noProof/>
                <w:webHidden/>
              </w:rPr>
              <w:fldChar w:fldCharType="end"/>
            </w:r>
          </w:hyperlink>
        </w:p>
        <w:p w14:paraId="53CD58DC" w14:textId="6394A14C" w:rsidR="00E20CDD" w:rsidRDefault="00E20CDD">
          <w:pPr>
            <w:pStyle w:val="TOC1"/>
            <w:tabs>
              <w:tab w:val="right" w:leader="dot" w:pos="9016"/>
            </w:tabs>
            <w:rPr>
              <w:rFonts w:eastAsiaTheme="minorEastAsia"/>
              <w:noProof/>
              <w:lang w:eastAsia="en-GB"/>
            </w:rPr>
          </w:pPr>
          <w:hyperlink w:anchor="_Toc227328251" w:history="1">
            <w:r w:rsidRPr="00412960">
              <w:rPr>
                <w:rStyle w:val="Hyperlink"/>
                <w:rFonts w:ascii="Californian FB" w:hAnsi="Californian FB"/>
                <w:noProof/>
              </w:rPr>
              <w:t>3.5 Incident Response Policy</w:t>
            </w:r>
            <w:r>
              <w:rPr>
                <w:noProof/>
                <w:webHidden/>
              </w:rPr>
              <w:tab/>
            </w:r>
            <w:r>
              <w:rPr>
                <w:noProof/>
                <w:webHidden/>
              </w:rPr>
              <w:fldChar w:fldCharType="begin"/>
            </w:r>
            <w:r>
              <w:rPr>
                <w:noProof/>
                <w:webHidden/>
              </w:rPr>
              <w:instrText xml:space="preserve"> PAGEREF _Toc227328251 \h </w:instrText>
            </w:r>
            <w:r>
              <w:rPr>
                <w:noProof/>
                <w:webHidden/>
              </w:rPr>
            </w:r>
            <w:r>
              <w:rPr>
                <w:noProof/>
                <w:webHidden/>
              </w:rPr>
              <w:fldChar w:fldCharType="separate"/>
            </w:r>
            <w:r>
              <w:rPr>
                <w:noProof/>
                <w:webHidden/>
              </w:rPr>
              <w:t>5</w:t>
            </w:r>
            <w:r>
              <w:rPr>
                <w:noProof/>
                <w:webHidden/>
              </w:rPr>
              <w:fldChar w:fldCharType="end"/>
            </w:r>
          </w:hyperlink>
        </w:p>
        <w:p w14:paraId="07D6E21E" w14:textId="16B49201" w:rsidR="00E20CDD" w:rsidRDefault="00E20CDD">
          <w:pPr>
            <w:pStyle w:val="TOC1"/>
            <w:tabs>
              <w:tab w:val="right" w:leader="dot" w:pos="9016"/>
            </w:tabs>
            <w:rPr>
              <w:rFonts w:eastAsiaTheme="minorEastAsia"/>
              <w:noProof/>
              <w:lang w:eastAsia="en-GB"/>
            </w:rPr>
          </w:pPr>
          <w:hyperlink w:anchor="_Toc227328252" w:history="1">
            <w:r w:rsidRPr="00412960">
              <w:rPr>
                <w:rStyle w:val="Hyperlink"/>
                <w:rFonts w:ascii="Californian FB" w:hAnsi="Californian FB"/>
                <w:noProof/>
              </w:rPr>
              <w:t>4. Mitigation Measures</w:t>
            </w:r>
            <w:r>
              <w:rPr>
                <w:noProof/>
                <w:webHidden/>
              </w:rPr>
              <w:tab/>
            </w:r>
            <w:r>
              <w:rPr>
                <w:noProof/>
                <w:webHidden/>
              </w:rPr>
              <w:fldChar w:fldCharType="begin"/>
            </w:r>
            <w:r>
              <w:rPr>
                <w:noProof/>
                <w:webHidden/>
              </w:rPr>
              <w:instrText xml:space="preserve"> PAGEREF _Toc227328252 \h </w:instrText>
            </w:r>
            <w:r>
              <w:rPr>
                <w:noProof/>
                <w:webHidden/>
              </w:rPr>
            </w:r>
            <w:r>
              <w:rPr>
                <w:noProof/>
                <w:webHidden/>
              </w:rPr>
              <w:fldChar w:fldCharType="separate"/>
            </w:r>
            <w:r>
              <w:rPr>
                <w:noProof/>
                <w:webHidden/>
              </w:rPr>
              <w:t>5</w:t>
            </w:r>
            <w:r>
              <w:rPr>
                <w:noProof/>
                <w:webHidden/>
              </w:rPr>
              <w:fldChar w:fldCharType="end"/>
            </w:r>
          </w:hyperlink>
        </w:p>
        <w:p w14:paraId="59AD457B" w14:textId="67904CEF" w:rsidR="00E20CDD" w:rsidRDefault="00E20CDD">
          <w:pPr>
            <w:pStyle w:val="TOC1"/>
            <w:tabs>
              <w:tab w:val="right" w:leader="dot" w:pos="9016"/>
            </w:tabs>
            <w:rPr>
              <w:rFonts w:eastAsiaTheme="minorEastAsia"/>
              <w:noProof/>
              <w:lang w:eastAsia="en-GB"/>
            </w:rPr>
          </w:pPr>
          <w:hyperlink w:anchor="_Toc227328253" w:history="1">
            <w:r w:rsidRPr="00412960">
              <w:rPr>
                <w:rStyle w:val="Hyperlink"/>
                <w:rFonts w:ascii="Californian FB" w:hAnsi="Californian FB"/>
                <w:noProof/>
              </w:rPr>
              <w:t>5. Monitoring and Response</w:t>
            </w:r>
            <w:r>
              <w:rPr>
                <w:noProof/>
                <w:webHidden/>
              </w:rPr>
              <w:tab/>
            </w:r>
            <w:r>
              <w:rPr>
                <w:noProof/>
                <w:webHidden/>
              </w:rPr>
              <w:fldChar w:fldCharType="begin"/>
            </w:r>
            <w:r>
              <w:rPr>
                <w:noProof/>
                <w:webHidden/>
              </w:rPr>
              <w:instrText xml:space="preserve"> PAGEREF _Toc227328253 \h </w:instrText>
            </w:r>
            <w:r>
              <w:rPr>
                <w:noProof/>
                <w:webHidden/>
              </w:rPr>
            </w:r>
            <w:r>
              <w:rPr>
                <w:noProof/>
                <w:webHidden/>
              </w:rPr>
              <w:fldChar w:fldCharType="separate"/>
            </w:r>
            <w:r>
              <w:rPr>
                <w:noProof/>
                <w:webHidden/>
              </w:rPr>
              <w:t>6</w:t>
            </w:r>
            <w:r>
              <w:rPr>
                <w:noProof/>
                <w:webHidden/>
              </w:rPr>
              <w:fldChar w:fldCharType="end"/>
            </w:r>
          </w:hyperlink>
        </w:p>
        <w:p w14:paraId="674F5C71" w14:textId="41F633BD" w:rsidR="00E20CDD" w:rsidRDefault="00E20CDD">
          <w:pPr>
            <w:pStyle w:val="TOC1"/>
            <w:tabs>
              <w:tab w:val="right" w:leader="dot" w:pos="9016"/>
            </w:tabs>
            <w:rPr>
              <w:rFonts w:eastAsiaTheme="minorEastAsia"/>
              <w:noProof/>
              <w:lang w:eastAsia="en-GB"/>
            </w:rPr>
          </w:pPr>
          <w:hyperlink w:anchor="_Toc227328254" w:history="1">
            <w:r w:rsidRPr="00412960">
              <w:rPr>
                <w:rStyle w:val="Hyperlink"/>
                <w:rFonts w:ascii="Californian FB" w:hAnsi="Californian FB"/>
                <w:noProof/>
              </w:rPr>
              <w:t>5.1 Monitoring Systems</w:t>
            </w:r>
            <w:r>
              <w:rPr>
                <w:noProof/>
                <w:webHidden/>
              </w:rPr>
              <w:tab/>
            </w:r>
            <w:r>
              <w:rPr>
                <w:noProof/>
                <w:webHidden/>
              </w:rPr>
              <w:fldChar w:fldCharType="begin"/>
            </w:r>
            <w:r>
              <w:rPr>
                <w:noProof/>
                <w:webHidden/>
              </w:rPr>
              <w:instrText xml:space="preserve"> PAGEREF _Toc227328254 \h </w:instrText>
            </w:r>
            <w:r>
              <w:rPr>
                <w:noProof/>
                <w:webHidden/>
              </w:rPr>
            </w:r>
            <w:r>
              <w:rPr>
                <w:noProof/>
                <w:webHidden/>
              </w:rPr>
              <w:fldChar w:fldCharType="separate"/>
            </w:r>
            <w:r>
              <w:rPr>
                <w:noProof/>
                <w:webHidden/>
              </w:rPr>
              <w:t>6</w:t>
            </w:r>
            <w:r>
              <w:rPr>
                <w:noProof/>
                <w:webHidden/>
              </w:rPr>
              <w:fldChar w:fldCharType="end"/>
            </w:r>
          </w:hyperlink>
        </w:p>
        <w:p w14:paraId="6A9A564E" w14:textId="321335D8" w:rsidR="00E20CDD" w:rsidRDefault="00E20CDD">
          <w:pPr>
            <w:pStyle w:val="TOC1"/>
            <w:tabs>
              <w:tab w:val="right" w:leader="dot" w:pos="9016"/>
            </w:tabs>
            <w:rPr>
              <w:rFonts w:eastAsiaTheme="minorEastAsia"/>
              <w:noProof/>
              <w:lang w:eastAsia="en-GB"/>
            </w:rPr>
          </w:pPr>
          <w:hyperlink w:anchor="_Toc227328255" w:history="1">
            <w:r w:rsidRPr="00412960">
              <w:rPr>
                <w:rStyle w:val="Hyperlink"/>
                <w:rFonts w:ascii="Californian FB" w:hAnsi="Californian FB"/>
                <w:noProof/>
              </w:rPr>
              <w:t>5.2 Incident Response Process</w:t>
            </w:r>
            <w:r>
              <w:rPr>
                <w:noProof/>
                <w:webHidden/>
              </w:rPr>
              <w:tab/>
            </w:r>
            <w:r>
              <w:rPr>
                <w:noProof/>
                <w:webHidden/>
              </w:rPr>
              <w:fldChar w:fldCharType="begin"/>
            </w:r>
            <w:r>
              <w:rPr>
                <w:noProof/>
                <w:webHidden/>
              </w:rPr>
              <w:instrText xml:space="preserve"> PAGEREF _Toc227328255 \h </w:instrText>
            </w:r>
            <w:r>
              <w:rPr>
                <w:noProof/>
                <w:webHidden/>
              </w:rPr>
            </w:r>
            <w:r>
              <w:rPr>
                <w:noProof/>
                <w:webHidden/>
              </w:rPr>
              <w:fldChar w:fldCharType="separate"/>
            </w:r>
            <w:r>
              <w:rPr>
                <w:noProof/>
                <w:webHidden/>
              </w:rPr>
              <w:t>6</w:t>
            </w:r>
            <w:r>
              <w:rPr>
                <w:noProof/>
                <w:webHidden/>
              </w:rPr>
              <w:fldChar w:fldCharType="end"/>
            </w:r>
          </w:hyperlink>
        </w:p>
        <w:p w14:paraId="3DEDE6D2" w14:textId="38B5B846" w:rsidR="00E20CDD" w:rsidRDefault="00E20CDD">
          <w:pPr>
            <w:pStyle w:val="TOC1"/>
            <w:tabs>
              <w:tab w:val="right" w:leader="dot" w:pos="9016"/>
            </w:tabs>
            <w:rPr>
              <w:rFonts w:eastAsiaTheme="minorEastAsia"/>
              <w:noProof/>
              <w:lang w:eastAsia="en-GB"/>
            </w:rPr>
          </w:pPr>
          <w:hyperlink w:anchor="_Toc227328256" w:history="1">
            <w:r w:rsidRPr="00412960">
              <w:rPr>
                <w:rStyle w:val="Hyperlink"/>
                <w:rFonts w:ascii="Californian FB" w:hAnsi="Californian FB"/>
                <w:noProof/>
              </w:rPr>
              <w:t>6. Training and Awareness</w:t>
            </w:r>
            <w:r>
              <w:rPr>
                <w:noProof/>
                <w:webHidden/>
              </w:rPr>
              <w:tab/>
            </w:r>
            <w:r>
              <w:rPr>
                <w:noProof/>
                <w:webHidden/>
              </w:rPr>
              <w:fldChar w:fldCharType="begin"/>
            </w:r>
            <w:r>
              <w:rPr>
                <w:noProof/>
                <w:webHidden/>
              </w:rPr>
              <w:instrText xml:space="preserve"> PAGEREF _Toc227328256 \h </w:instrText>
            </w:r>
            <w:r>
              <w:rPr>
                <w:noProof/>
                <w:webHidden/>
              </w:rPr>
            </w:r>
            <w:r>
              <w:rPr>
                <w:noProof/>
                <w:webHidden/>
              </w:rPr>
              <w:fldChar w:fldCharType="separate"/>
            </w:r>
            <w:r>
              <w:rPr>
                <w:noProof/>
                <w:webHidden/>
              </w:rPr>
              <w:t>7</w:t>
            </w:r>
            <w:r>
              <w:rPr>
                <w:noProof/>
                <w:webHidden/>
              </w:rPr>
              <w:fldChar w:fldCharType="end"/>
            </w:r>
          </w:hyperlink>
        </w:p>
        <w:p w14:paraId="6ABCE31F" w14:textId="5D2A27F7" w:rsidR="00E20CDD" w:rsidRDefault="00E20CDD">
          <w:pPr>
            <w:pStyle w:val="TOC1"/>
            <w:tabs>
              <w:tab w:val="right" w:leader="dot" w:pos="9016"/>
            </w:tabs>
            <w:rPr>
              <w:rFonts w:eastAsiaTheme="minorEastAsia"/>
              <w:noProof/>
              <w:lang w:eastAsia="en-GB"/>
            </w:rPr>
          </w:pPr>
          <w:hyperlink w:anchor="_Toc227328257" w:history="1">
            <w:r w:rsidRPr="00412960">
              <w:rPr>
                <w:rStyle w:val="Hyperlink"/>
                <w:rFonts w:ascii="Californian FB" w:hAnsi="Californian FB"/>
                <w:noProof/>
              </w:rPr>
              <w:t>7. Conclusion</w:t>
            </w:r>
            <w:r>
              <w:rPr>
                <w:noProof/>
                <w:webHidden/>
              </w:rPr>
              <w:tab/>
            </w:r>
            <w:r>
              <w:rPr>
                <w:noProof/>
                <w:webHidden/>
              </w:rPr>
              <w:fldChar w:fldCharType="begin"/>
            </w:r>
            <w:r>
              <w:rPr>
                <w:noProof/>
                <w:webHidden/>
              </w:rPr>
              <w:instrText xml:space="preserve"> PAGEREF _Toc227328257 \h </w:instrText>
            </w:r>
            <w:r>
              <w:rPr>
                <w:noProof/>
                <w:webHidden/>
              </w:rPr>
            </w:r>
            <w:r>
              <w:rPr>
                <w:noProof/>
                <w:webHidden/>
              </w:rPr>
              <w:fldChar w:fldCharType="separate"/>
            </w:r>
            <w:r>
              <w:rPr>
                <w:noProof/>
                <w:webHidden/>
              </w:rPr>
              <w:t>7</w:t>
            </w:r>
            <w:r>
              <w:rPr>
                <w:noProof/>
                <w:webHidden/>
              </w:rPr>
              <w:fldChar w:fldCharType="end"/>
            </w:r>
          </w:hyperlink>
        </w:p>
        <w:p w14:paraId="6B621E7C" w14:textId="451EEA9A" w:rsidR="00E20CDD" w:rsidRDefault="00E20CDD">
          <w:pPr>
            <w:pStyle w:val="TOC1"/>
            <w:tabs>
              <w:tab w:val="right" w:leader="dot" w:pos="9016"/>
            </w:tabs>
            <w:rPr>
              <w:rFonts w:eastAsiaTheme="minorEastAsia"/>
              <w:noProof/>
              <w:lang w:eastAsia="en-GB"/>
            </w:rPr>
          </w:pPr>
          <w:hyperlink w:anchor="_Toc227328258" w:history="1">
            <w:r w:rsidRPr="00412960">
              <w:rPr>
                <w:rStyle w:val="Hyperlink"/>
                <w:rFonts w:ascii="Californian FB" w:hAnsi="Californian FB"/>
                <w:noProof/>
              </w:rPr>
              <w:t>8. References</w:t>
            </w:r>
            <w:r>
              <w:rPr>
                <w:noProof/>
                <w:webHidden/>
              </w:rPr>
              <w:tab/>
            </w:r>
            <w:r>
              <w:rPr>
                <w:noProof/>
                <w:webHidden/>
              </w:rPr>
              <w:fldChar w:fldCharType="begin"/>
            </w:r>
            <w:r>
              <w:rPr>
                <w:noProof/>
                <w:webHidden/>
              </w:rPr>
              <w:instrText xml:space="preserve"> PAGEREF _Toc227328258 \h </w:instrText>
            </w:r>
            <w:r>
              <w:rPr>
                <w:noProof/>
                <w:webHidden/>
              </w:rPr>
            </w:r>
            <w:r>
              <w:rPr>
                <w:noProof/>
                <w:webHidden/>
              </w:rPr>
              <w:fldChar w:fldCharType="separate"/>
            </w:r>
            <w:r>
              <w:rPr>
                <w:noProof/>
                <w:webHidden/>
              </w:rPr>
              <w:t>8</w:t>
            </w:r>
            <w:r>
              <w:rPr>
                <w:noProof/>
                <w:webHidden/>
              </w:rPr>
              <w:fldChar w:fldCharType="end"/>
            </w:r>
          </w:hyperlink>
        </w:p>
        <w:p w14:paraId="2E386F69" w14:textId="7A9601E1" w:rsidR="00E20CDD" w:rsidRDefault="00E20CDD">
          <w:pPr>
            <w:pStyle w:val="TOC1"/>
            <w:tabs>
              <w:tab w:val="right" w:leader="dot" w:pos="9016"/>
            </w:tabs>
            <w:rPr>
              <w:rFonts w:eastAsiaTheme="minorEastAsia"/>
              <w:noProof/>
              <w:lang w:eastAsia="en-GB"/>
            </w:rPr>
          </w:pPr>
          <w:hyperlink w:anchor="_Toc227328259" w:history="1">
            <w:r w:rsidRPr="00412960">
              <w:rPr>
                <w:rStyle w:val="Hyperlink"/>
                <w:rFonts w:ascii="Californian FB" w:hAnsi="Californian FB"/>
                <w:noProof/>
              </w:rPr>
              <w:t>9. Appendix</w:t>
            </w:r>
            <w:r>
              <w:rPr>
                <w:noProof/>
                <w:webHidden/>
              </w:rPr>
              <w:tab/>
            </w:r>
            <w:r>
              <w:rPr>
                <w:noProof/>
                <w:webHidden/>
              </w:rPr>
              <w:fldChar w:fldCharType="begin"/>
            </w:r>
            <w:r>
              <w:rPr>
                <w:noProof/>
                <w:webHidden/>
              </w:rPr>
              <w:instrText xml:space="preserve"> PAGEREF _Toc227328259 \h </w:instrText>
            </w:r>
            <w:r>
              <w:rPr>
                <w:noProof/>
                <w:webHidden/>
              </w:rPr>
            </w:r>
            <w:r>
              <w:rPr>
                <w:noProof/>
                <w:webHidden/>
              </w:rPr>
              <w:fldChar w:fldCharType="separate"/>
            </w:r>
            <w:r>
              <w:rPr>
                <w:noProof/>
                <w:webHidden/>
              </w:rPr>
              <w:t>9</w:t>
            </w:r>
            <w:r>
              <w:rPr>
                <w:noProof/>
                <w:webHidden/>
              </w:rPr>
              <w:fldChar w:fldCharType="end"/>
            </w:r>
          </w:hyperlink>
        </w:p>
        <w:p w14:paraId="4616EC6E" w14:textId="24E05571" w:rsidR="00E20CDD" w:rsidRDefault="00E20CDD">
          <w:pPr>
            <w:pStyle w:val="TOC1"/>
            <w:tabs>
              <w:tab w:val="right" w:leader="dot" w:pos="9016"/>
            </w:tabs>
            <w:rPr>
              <w:rFonts w:eastAsiaTheme="minorEastAsia"/>
              <w:noProof/>
              <w:lang w:eastAsia="en-GB"/>
            </w:rPr>
          </w:pPr>
          <w:hyperlink w:anchor="_Toc227328260" w:history="1">
            <w:r w:rsidRPr="00412960">
              <w:rPr>
                <w:rStyle w:val="Hyperlink"/>
                <w:rFonts w:ascii="Californian FB" w:hAnsi="Californian FB"/>
                <w:noProof/>
              </w:rPr>
              <w:t>9.1 Flowchart</w:t>
            </w:r>
            <w:r>
              <w:rPr>
                <w:noProof/>
                <w:webHidden/>
              </w:rPr>
              <w:tab/>
            </w:r>
            <w:r>
              <w:rPr>
                <w:noProof/>
                <w:webHidden/>
              </w:rPr>
              <w:fldChar w:fldCharType="begin"/>
            </w:r>
            <w:r>
              <w:rPr>
                <w:noProof/>
                <w:webHidden/>
              </w:rPr>
              <w:instrText xml:space="preserve"> PAGEREF _Toc227328260 \h </w:instrText>
            </w:r>
            <w:r>
              <w:rPr>
                <w:noProof/>
                <w:webHidden/>
              </w:rPr>
            </w:r>
            <w:r>
              <w:rPr>
                <w:noProof/>
                <w:webHidden/>
              </w:rPr>
              <w:fldChar w:fldCharType="separate"/>
            </w:r>
            <w:r>
              <w:rPr>
                <w:noProof/>
                <w:webHidden/>
              </w:rPr>
              <w:t>9</w:t>
            </w:r>
            <w:r>
              <w:rPr>
                <w:noProof/>
                <w:webHidden/>
              </w:rPr>
              <w:fldChar w:fldCharType="end"/>
            </w:r>
          </w:hyperlink>
        </w:p>
        <w:p w14:paraId="78791744" w14:textId="5BDFA0AB" w:rsidR="00E20CDD" w:rsidRDefault="00E20CDD">
          <w:pPr>
            <w:pStyle w:val="TOC1"/>
            <w:tabs>
              <w:tab w:val="right" w:leader="dot" w:pos="9016"/>
            </w:tabs>
            <w:rPr>
              <w:rFonts w:eastAsiaTheme="minorEastAsia"/>
              <w:noProof/>
              <w:lang w:eastAsia="en-GB"/>
            </w:rPr>
          </w:pPr>
          <w:hyperlink w:anchor="_Toc227328261" w:history="1">
            <w:r w:rsidRPr="00412960">
              <w:rPr>
                <w:rStyle w:val="Hyperlink"/>
                <w:rFonts w:ascii="Californian FB" w:hAnsi="Californian FB"/>
                <w:noProof/>
              </w:rPr>
              <w:t>9.2 PowerPoint Presentation</w:t>
            </w:r>
            <w:r>
              <w:rPr>
                <w:noProof/>
                <w:webHidden/>
              </w:rPr>
              <w:tab/>
            </w:r>
            <w:r>
              <w:rPr>
                <w:noProof/>
                <w:webHidden/>
              </w:rPr>
              <w:fldChar w:fldCharType="begin"/>
            </w:r>
            <w:r>
              <w:rPr>
                <w:noProof/>
                <w:webHidden/>
              </w:rPr>
              <w:instrText xml:space="preserve"> PAGEREF _Toc227328261 \h </w:instrText>
            </w:r>
            <w:r>
              <w:rPr>
                <w:noProof/>
                <w:webHidden/>
              </w:rPr>
            </w:r>
            <w:r>
              <w:rPr>
                <w:noProof/>
                <w:webHidden/>
              </w:rPr>
              <w:fldChar w:fldCharType="separate"/>
            </w:r>
            <w:r>
              <w:rPr>
                <w:noProof/>
                <w:webHidden/>
              </w:rPr>
              <w:t>9</w:t>
            </w:r>
            <w:r>
              <w:rPr>
                <w:noProof/>
                <w:webHidden/>
              </w:rPr>
              <w:fldChar w:fldCharType="end"/>
            </w:r>
          </w:hyperlink>
        </w:p>
        <w:p w14:paraId="2E2950A7" w14:textId="587E8DB4" w:rsidR="00AE29E0" w:rsidRDefault="00AE29E0">
          <w:r>
            <w:rPr>
              <w:b/>
              <w:bCs/>
              <w:noProof/>
            </w:rPr>
            <w:fldChar w:fldCharType="end"/>
          </w:r>
        </w:p>
      </w:sdtContent>
    </w:sdt>
    <w:p w14:paraId="400D8373" w14:textId="7B7B86BD" w:rsidR="00217EE1" w:rsidRDefault="00217EE1"/>
    <w:p w14:paraId="4CED0BCD" w14:textId="77777777" w:rsidR="00217EE1" w:rsidRDefault="00217EE1">
      <w:r>
        <w:br w:type="page"/>
      </w:r>
    </w:p>
    <w:p w14:paraId="37FCE21F" w14:textId="0E510B73" w:rsidR="00430D85" w:rsidRPr="00614D73" w:rsidRDefault="00E562E1" w:rsidP="00E562E1">
      <w:pPr>
        <w:pStyle w:val="Heading1"/>
        <w:rPr>
          <w:rFonts w:ascii="Californian FB" w:hAnsi="Californian FB" w:cs="ADLaM Display"/>
          <w:sz w:val="32"/>
          <w:szCs w:val="32"/>
        </w:rPr>
      </w:pPr>
      <w:bookmarkStart w:id="0" w:name="_Toc227328242"/>
      <w:r w:rsidRPr="00614D73">
        <w:rPr>
          <w:rFonts w:ascii="Californian FB" w:hAnsi="Californian FB" w:cs="ADLaM Display"/>
          <w:sz w:val="32"/>
          <w:szCs w:val="32"/>
        </w:rPr>
        <w:t>1.Intr</w:t>
      </w:r>
      <w:r w:rsidR="002A5CB1" w:rsidRPr="00614D73">
        <w:rPr>
          <w:rFonts w:ascii="Californian FB" w:hAnsi="Californian FB" w:cs="ADLaM Display"/>
          <w:sz w:val="32"/>
          <w:szCs w:val="32"/>
        </w:rPr>
        <w:t>oduction</w:t>
      </w:r>
      <w:bookmarkEnd w:id="0"/>
    </w:p>
    <w:p w14:paraId="4A40D330" w14:textId="534A08CC" w:rsidR="00AF1F15" w:rsidRPr="00AF1F15" w:rsidRDefault="00AF1F15" w:rsidP="00AF1F15">
      <w:pPr>
        <w:rPr>
          <w:rFonts w:asciiTheme="majorHAnsi" w:hAnsiTheme="majorHAnsi"/>
        </w:rPr>
      </w:pPr>
      <w:r w:rsidRPr="00AF1F15">
        <w:rPr>
          <w:rFonts w:asciiTheme="majorHAnsi" w:hAnsiTheme="majorHAnsi"/>
        </w:rPr>
        <w:t xml:space="preserve">Cybersecurity has become an absolute priority for modern organizations, especially in sectors such as healthcare, where confidential data is constantly processed and stored. </w:t>
      </w:r>
      <w:proofErr w:type="spellStart"/>
      <w:r w:rsidRPr="00AF1F15">
        <w:rPr>
          <w:rFonts w:asciiTheme="majorHAnsi" w:hAnsiTheme="majorHAnsi"/>
        </w:rPr>
        <w:t>HealthPlus</w:t>
      </w:r>
      <w:proofErr w:type="spellEnd"/>
      <w:r w:rsidRPr="00AF1F15">
        <w:rPr>
          <w:rFonts w:asciiTheme="majorHAnsi" w:hAnsiTheme="majorHAnsi"/>
        </w:rPr>
        <w:t xml:space="preserve"> Analytics (HPA) is a data-driven healthcare company that manages patient information for hospitals and clinics across the UK. Given the nature of this data, the company must always guarantee the security of all its systems and the protection of the information.</w:t>
      </w:r>
    </w:p>
    <w:p w14:paraId="0254AC75" w14:textId="0400F601" w:rsidR="00AF1F15" w:rsidRPr="00AF1F15" w:rsidRDefault="00AF1F15" w:rsidP="00AF1F15">
      <w:pPr>
        <w:rPr>
          <w:rFonts w:asciiTheme="majorHAnsi" w:hAnsiTheme="majorHAnsi"/>
        </w:rPr>
      </w:pPr>
      <w:r w:rsidRPr="00AF1F15">
        <w:rPr>
          <w:rFonts w:asciiTheme="majorHAnsi" w:hAnsiTheme="majorHAnsi"/>
        </w:rPr>
        <w:t>HPA has recently suffered several cybersecurity incidents, including unauthorized access to patient data stored in the cloud and a ransomware attack targeting its analytics servers. These incidents clearly demonstrate that the company's current security measures are insufficient and need to be improved. Not addressing these problems could have serious consequences for the company, such as data leaks, legal sanctions and damage to its reputation.</w:t>
      </w:r>
    </w:p>
    <w:p w14:paraId="1E893CCC" w14:textId="7CB88491" w:rsidR="00AF1F15" w:rsidRPr="00AF1F15" w:rsidRDefault="00AF1F15" w:rsidP="00AF1F15">
      <w:pPr>
        <w:rPr>
          <w:rFonts w:asciiTheme="majorHAnsi" w:hAnsiTheme="majorHAnsi"/>
        </w:rPr>
      </w:pPr>
      <w:r w:rsidRPr="00AF1F15">
        <w:rPr>
          <w:rFonts w:asciiTheme="majorHAnsi" w:hAnsiTheme="majorHAnsi"/>
        </w:rPr>
        <w:t>In addition, the rise of telecommuting and hybrid work has increased the complexity of cybersecurity. Employees now access company systems from various locations and often use personal devices such as laptops, tablets and smart phones. This creates additional vulnerabilities and makes access control and security maintenance difficult.</w:t>
      </w:r>
    </w:p>
    <w:p w14:paraId="4FE61B6B" w14:textId="11EE2DE7" w:rsidR="00AF1F15" w:rsidRDefault="00AF1F15" w:rsidP="00AF1F15">
      <w:pPr>
        <w:rPr>
          <w:rFonts w:asciiTheme="majorHAnsi" w:hAnsiTheme="majorHAnsi"/>
        </w:rPr>
      </w:pPr>
      <w:r w:rsidRPr="00AF1F15">
        <w:rPr>
          <w:rFonts w:asciiTheme="majorHAnsi" w:hAnsiTheme="majorHAnsi"/>
        </w:rPr>
        <w:t>Cybersecurity is not only a technical issue, but also a business priority. Organizations must constantly update their systems and policies to respond to emerging threats. This report will identify the main internal and external threats facing HPA, propose appropriate security policies, recommend practical mitigation measures and describe monitoring and response strategies. It will also describe a training and awareness program to improve employees' understanding of cybersecurity risks.</w:t>
      </w:r>
    </w:p>
    <w:p w14:paraId="5CF2E78E" w14:textId="2BF0801A" w:rsidR="009B6C53" w:rsidRPr="009B6C53" w:rsidRDefault="009B6C53" w:rsidP="00AF1F15">
      <w:pPr>
        <w:rPr>
          <w:rFonts w:asciiTheme="majorHAnsi" w:hAnsiTheme="majorHAnsi"/>
        </w:rPr>
      </w:pPr>
      <w:r w:rsidRPr="009B6C53">
        <w:rPr>
          <w:rFonts w:asciiTheme="majorHAnsi" w:hAnsiTheme="majorHAnsi"/>
        </w:rPr>
        <w:t>Furthermore, the importance of cybersecurity in the healthcare sector has increased significantly in recent years due to the digitization of medical records and the use of cloud technologies. Patient data is considered extremely valuable, making healthcare organizations a prime target for cybercriminals. Therefore, companies like HPA must adopt a proactive approach to cybersecurity, rather than simply reacting after incidents. Implementing robust governance frameworks and continuously improving security strategies are essential to ensuring the long-term protection of sensitive data.</w:t>
      </w:r>
    </w:p>
    <w:p w14:paraId="31C03C4A" w14:textId="63BD84F6" w:rsidR="002A5CB1" w:rsidRPr="00614D73" w:rsidRDefault="002A5CB1" w:rsidP="002A5CB1">
      <w:pPr>
        <w:pStyle w:val="Heading1"/>
        <w:rPr>
          <w:rFonts w:ascii="Californian FB" w:hAnsi="Californian FB"/>
          <w:sz w:val="32"/>
          <w:szCs w:val="32"/>
        </w:rPr>
      </w:pPr>
      <w:bookmarkStart w:id="1" w:name="_Toc227328243"/>
      <w:r w:rsidRPr="00614D73">
        <w:rPr>
          <w:rFonts w:ascii="Californian FB" w:hAnsi="Californian FB"/>
          <w:sz w:val="32"/>
          <w:szCs w:val="32"/>
        </w:rPr>
        <w:t>2. Identification of Threats</w:t>
      </w:r>
      <w:bookmarkEnd w:id="1"/>
    </w:p>
    <w:p w14:paraId="17157952" w14:textId="171E0286" w:rsidR="002A5CB1" w:rsidRPr="00614D73" w:rsidRDefault="00FB41FB" w:rsidP="002A5CB1">
      <w:pPr>
        <w:pStyle w:val="Heading1"/>
        <w:rPr>
          <w:rFonts w:ascii="Californian FB" w:hAnsi="Californian FB"/>
          <w:sz w:val="32"/>
          <w:szCs w:val="32"/>
        </w:rPr>
      </w:pPr>
      <w:bookmarkStart w:id="2" w:name="_Toc227328244"/>
      <w:r w:rsidRPr="00614D73">
        <w:rPr>
          <w:rFonts w:ascii="Californian FB" w:hAnsi="Californian FB"/>
          <w:sz w:val="32"/>
          <w:szCs w:val="32"/>
        </w:rPr>
        <w:t>2. 1 External Threats</w:t>
      </w:r>
      <w:bookmarkEnd w:id="2"/>
    </w:p>
    <w:p w14:paraId="6747B860" w14:textId="2A15429F" w:rsidR="002049D4" w:rsidRPr="002049D4" w:rsidRDefault="002049D4" w:rsidP="002049D4">
      <w:pPr>
        <w:rPr>
          <w:rFonts w:asciiTheme="majorHAnsi" w:hAnsiTheme="majorHAnsi"/>
        </w:rPr>
      </w:pPr>
      <w:r w:rsidRPr="002049D4">
        <w:rPr>
          <w:rFonts w:asciiTheme="majorHAnsi" w:hAnsiTheme="majorHAnsi"/>
        </w:rPr>
        <w:t>External threats are attacks that originate outside the organization and are typically perpetrated by cybercriminals. One of the most serious threats is ransomware. This type of attack encrypts company data and demands a ransom to restore access. Ransomware can completely disrupt business operations and cause significant financial losses.</w:t>
      </w:r>
    </w:p>
    <w:p w14:paraId="54723BBE" w14:textId="3BC095B6" w:rsidR="002049D4" w:rsidRPr="002049D4" w:rsidRDefault="002049D4" w:rsidP="002049D4">
      <w:pPr>
        <w:rPr>
          <w:rFonts w:asciiTheme="majorHAnsi" w:hAnsiTheme="majorHAnsi"/>
        </w:rPr>
      </w:pPr>
      <w:r w:rsidRPr="002049D4">
        <w:rPr>
          <w:rFonts w:asciiTheme="majorHAnsi" w:hAnsiTheme="majorHAnsi"/>
        </w:rPr>
        <w:t>Phishing is another common external threat. Attackers send fake emails that appear legitimate to trick employees into revealing confidential information, such as usernames and passwords. Once they gain access to the system, they can navigate through it and steal valuable data.</w:t>
      </w:r>
    </w:p>
    <w:p w14:paraId="4417A765" w14:textId="462CDE6E" w:rsidR="002049D4" w:rsidRPr="002049D4" w:rsidRDefault="002049D4" w:rsidP="002049D4">
      <w:pPr>
        <w:rPr>
          <w:rFonts w:asciiTheme="majorHAnsi" w:hAnsiTheme="majorHAnsi"/>
        </w:rPr>
      </w:pPr>
      <w:r w:rsidRPr="002049D4">
        <w:rPr>
          <w:rFonts w:asciiTheme="majorHAnsi" w:hAnsiTheme="majorHAnsi"/>
        </w:rPr>
        <w:t>Malware is also a major concern. This includes malicious software such as viruses, spyware, and Trojans that can damage systems, steal information, or allow attackers to control devices. Furthermore, cloud security breaches are particularly relevant for the HPA, as it stores large amounts of patient data in cloud-based systems. If security configurations are weak, attackers can gain unauthorized access to confidential information.</w:t>
      </w:r>
    </w:p>
    <w:p w14:paraId="23B025A3" w14:textId="4DCAD3E5" w:rsidR="002049D4" w:rsidRPr="002049D4" w:rsidRDefault="002049D4" w:rsidP="002049D4">
      <w:pPr>
        <w:rPr>
          <w:rFonts w:asciiTheme="majorHAnsi" w:hAnsiTheme="majorHAnsi"/>
        </w:rPr>
      </w:pPr>
      <w:r w:rsidRPr="002049D4">
        <w:rPr>
          <w:rFonts w:asciiTheme="majorHAnsi" w:hAnsiTheme="majorHAnsi"/>
        </w:rPr>
        <w:t>Another major threat is distributed denial-of-service (DDoS) attacks. These attacks saturate systems with massive traffic, making services inaccessible to users and disrupting normal business operations.</w:t>
      </w:r>
    </w:p>
    <w:p w14:paraId="054DCC81" w14:textId="37A0ABFE" w:rsidR="002049D4" w:rsidRDefault="002049D4" w:rsidP="002049D4">
      <w:pPr>
        <w:rPr>
          <w:rFonts w:asciiTheme="majorHAnsi" w:hAnsiTheme="majorHAnsi"/>
        </w:rPr>
      </w:pPr>
      <w:r w:rsidRPr="002049D4">
        <w:rPr>
          <w:rFonts w:asciiTheme="majorHAnsi" w:hAnsiTheme="majorHAnsi"/>
        </w:rPr>
        <w:t xml:space="preserve">Cyber </w:t>
      </w:r>
      <w:r w:rsidRPr="002049D4">
        <w:rPr>
          <w:rFonts w:ascii="Arial" w:hAnsi="Arial" w:cs="Arial"/>
        </w:rPr>
        <w:t>​​</w:t>
      </w:r>
      <w:r w:rsidRPr="002049D4">
        <w:rPr>
          <w:rFonts w:asciiTheme="majorHAnsi" w:hAnsiTheme="majorHAnsi"/>
        </w:rPr>
        <w:t>threats are constantly evolving and becoming increasingly sophisticated. Healthcare organizations are often targeted by attacks due to the high value of patient data. Therefore, it is crucial for the HPA to stay abreast of emerging threats and continuously improve its security measures.</w:t>
      </w:r>
    </w:p>
    <w:p w14:paraId="6598F404" w14:textId="2A06206D" w:rsidR="005E4EB6" w:rsidRPr="005E4EB6" w:rsidRDefault="005E4EB6" w:rsidP="005E4EB6">
      <w:pPr>
        <w:rPr>
          <w:rFonts w:asciiTheme="majorHAnsi" w:hAnsiTheme="majorHAnsi"/>
        </w:rPr>
      </w:pPr>
      <w:r w:rsidRPr="005E4EB6">
        <w:rPr>
          <w:rFonts w:asciiTheme="majorHAnsi" w:hAnsiTheme="majorHAnsi"/>
        </w:rPr>
        <w:t>Another significant external threat is social engineering, whereby attackers manipulate people into revealing confidential information. Unlike technical attacks, social engineering focuses on human behaviour, making it difficult to detect and prevent. Attackers can impersonate trusted individuals or organizations to gain access to systems.</w:t>
      </w:r>
    </w:p>
    <w:p w14:paraId="2DCC4CF3" w14:textId="73037263" w:rsidR="005E4EB6" w:rsidRPr="005E4EB6" w:rsidRDefault="005E4EB6" w:rsidP="005E4EB6">
      <w:pPr>
        <w:rPr>
          <w:rFonts w:asciiTheme="majorHAnsi" w:hAnsiTheme="majorHAnsi"/>
        </w:rPr>
      </w:pPr>
      <w:r w:rsidRPr="005E4EB6">
        <w:rPr>
          <w:rFonts w:asciiTheme="majorHAnsi" w:hAnsiTheme="majorHAnsi"/>
        </w:rPr>
        <w:t>In addition, zero-day vulnerabilities also pose a serious risk. These are unknown security flaws that attackers exploit before developers discover and patch them. Since there is no immediate fix, they can cause significant damage.</w:t>
      </w:r>
    </w:p>
    <w:p w14:paraId="28604A35" w14:textId="11B0DD46" w:rsidR="005E4EB6" w:rsidRPr="002049D4" w:rsidRDefault="005E4EB6" w:rsidP="005E4EB6">
      <w:pPr>
        <w:rPr>
          <w:rFonts w:asciiTheme="majorHAnsi" w:hAnsiTheme="majorHAnsi"/>
        </w:rPr>
      </w:pPr>
      <w:r w:rsidRPr="005E4EB6">
        <w:rPr>
          <w:rFonts w:asciiTheme="majorHAnsi" w:hAnsiTheme="majorHAnsi"/>
        </w:rPr>
        <w:t>These constantly evolving threats highlight the need for continuous monitoring, regular updates, and robust security practices at HPA.</w:t>
      </w:r>
    </w:p>
    <w:p w14:paraId="201F656C" w14:textId="188E8F08" w:rsidR="00FB41FB" w:rsidRPr="00B1319D" w:rsidRDefault="00FB41FB" w:rsidP="00FB41FB">
      <w:pPr>
        <w:pStyle w:val="Heading1"/>
        <w:rPr>
          <w:rFonts w:ascii="Californian FB" w:hAnsi="Californian FB"/>
          <w:sz w:val="32"/>
          <w:szCs w:val="32"/>
        </w:rPr>
      </w:pPr>
      <w:bookmarkStart w:id="3" w:name="_Toc227328245"/>
      <w:r w:rsidRPr="00B1319D">
        <w:rPr>
          <w:rFonts w:ascii="Californian FB" w:hAnsi="Californian FB"/>
          <w:sz w:val="32"/>
          <w:szCs w:val="32"/>
        </w:rPr>
        <w:t>2.2 Internal Threats</w:t>
      </w:r>
      <w:bookmarkEnd w:id="3"/>
    </w:p>
    <w:p w14:paraId="0CE72E7F" w14:textId="5EDF4C67" w:rsidR="00AE6BA8" w:rsidRPr="00AE6BA8" w:rsidRDefault="00AE6BA8" w:rsidP="00AE6BA8">
      <w:pPr>
        <w:rPr>
          <w:rFonts w:asciiTheme="majorHAnsi" w:hAnsiTheme="majorHAnsi"/>
        </w:rPr>
      </w:pPr>
      <w:r w:rsidRPr="00AE6BA8">
        <w:rPr>
          <w:rFonts w:asciiTheme="majorHAnsi" w:hAnsiTheme="majorHAnsi"/>
        </w:rPr>
        <w:t>Insider threats originate within the organization and are often caused by employees, whether intentionally or unintentionally. One of the most common risks is human error. Employees may accidentally click on malicious links, download dangerous files, or share sensitive data with the wrong person.</w:t>
      </w:r>
    </w:p>
    <w:p w14:paraId="49F23C36" w14:textId="0B091FC1" w:rsidR="00AE6BA8" w:rsidRPr="00AE6BA8" w:rsidRDefault="00AE6BA8" w:rsidP="00AE6BA8">
      <w:pPr>
        <w:rPr>
          <w:rFonts w:asciiTheme="majorHAnsi" w:hAnsiTheme="majorHAnsi"/>
        </w:rPr>
      </w:pPr>
      <w:r w:rsidRPr="00AE6BA8">
        <w:rPr>
          <w:rFonts w:asciiTheme="majorHAnsi" w:hAnsiTheme="majorHAnsi"/>
        </w:rPr>
        <w:t>Weak passwords are another major problem. If employees use simple or repetitive passwords, attackers can easily gain access to systems through brute force attacks or credential theft.</w:t>
      </w:r>
    </w:p>
    <w:p w14:paraId="35259863" w14:textId="344782C7" w:rsidR="00AE6BA8" w:rsidRPr="00AE6BA8" w:rsidRDefault="00AE6BA8" w:rsidP="00AE6BA8">
      <w:pPr>
        <w:rPr>
          <w:rFonts w:asciiTheme="majorHAnsi" w:hAnsiTheme="majorHAnsi"/>
        </w:rPr>
      </w:pPr>
      <w:r w:rsidRPr="00AE6BA8">
        <w:rPr>
          <w:rFonts w:asciiTheme="majorHAnsi" w:hAnsiTheme="majorHAnsi"/>
        </w:rPr>
        <w:t>The use of personal devices, also known as "Bring Your Own Device" (BYOD), increases security risks. Personal devices may not have adequate security controls, making them more vulnerable to cyberattacks.</w:t>
      </w:r>
    </w:p>
    <w:p w14:paraId="71B1B55F" w14:textId="694F54A3" w:rsidR="00AE6BA8" w:rsidRPr="00AE6BA8" w:rsidRDefault="00AE6BA8" w:rsidP="00AE6BA8">
      <w:pPr>
        <w:rPr>
          <w:rFonts w:asciiTheme="majorHAnsi" w:hAnsiTheme="majorHAnsi"/>
        </w:rPr>
      </w:pPr>
      <w:r w:rsidRPr="00AE6BA8">
        <w:rPr>
          <w:rFonts w:asciiTheme="majorHAnsi" w:hAnsiTheme="majorHAnsi"/>
        </w:rPr>
        <w:t>Insider threats are also a concern. These occur when employees misuse their access to systems, either intentionally or negligently. This can lead to serious data breaches and a loss of trust.</w:t>
      </w:r>
    </w:p>
    <w:p w14:paraId="0F457759" w14:textId="4987E9A2" w:rsidR="00AE6BA8" w:rsidRDefault="00AE6BA8" w:rsidP="00AE6BA8">
      <w:pPr>
        <w:rPr>
          <w:rFonts w:asciiTheme="majorHAnsi" w:hAnsiTheme="majorHAnsi"/>
        </w:rPr>
      </w:pPr>
      <w:r w:rsidRPr="00AE6BA8">
        <w:rPr>
          <w:rFonts w:asciiTheme="majorHAnsi" w:hAnsiTheme="majorHAnsi"/>
        </w:rPr>
        <w:t xml:space="preserve">Finally, a lack of cybersecurity awareness and training means that employees may not recognize potential threats or understand how to respond to them. </w:t>
      </w:r>
      <w:proofErr w:type="gramStart"/>
      <w:r w:rsidRPr="00AE6BA8">
        <w:rPr>
          <w:rFonts w:asciiTheme="majorHAnsi" w:hAnsiTheme="majorHAnsi"/>
        </w:rPr>
        <w:t>All of</w:t>
      </w:r>
      <w:proofErr w:type="gramEnd"/>
      <w:r w:rsidRPr="00AE6BA8">
        <w:rPr>
          <w:rFonts w:asciiTheme="majorHAnsi" w:hAnsiTheme="majorHAnsi"/>
        </w:rPr>
        <w:t xml:space="preserve"> these internal and external threats can impact the confidentiality, integrity, and availability of data, which are key principles of cybersecurity.</w:t>
      </w:r>
    </w:p>
    <w:p w14:paraId="4F03289F" w14:textId="7D14072E" w:rsidR="00480193" w:rsidRPr="00480193" w:rsidRDefault="00480193" w:rsidP="00480193">
      <w:pPr>
        <w:rPr>
          <w:rFonts w:asciiTheme="majorHAnsi" w:hAnsiTheme="majorHAnsi"/>
        </w:rPr>
      </w:pPr>
      <w:r w:rsidRPr="00480193">
        <w:rPr>
          <w:rFonts w:asciiTheme="majorHAnsi" w:hAnsiTheme="majorHAnsi"/>
        </w:rPr>
        <w:t>Another internal risk is poor data management practices. Employees may store sensitive data in unsecured locations or share it without proper authorization. This can lead to accidental data exposure.</w:t>
      </w:r>
    </w:p>
    <w:p w14:paraId="218B6B13" w14:textId="224B272B" w:rsidR="00480193" w:rsidRPr="00480193" w:rsidRDefault="00480193" w:rsidP="00480193">
      <w:pPr>
        <w:rPr>
          <w:rFonts w:asciiTheme="majorHAnsi" w:hAnsiTheme="majorHAnsi"/>
        </w:rPr>
      </w:pPr>
      <w:r w:rsidRPr="00480193">
        <w:rPr>
          <w:rFonts w:asciiTheme="majorHAnsi" w:hAnsiTheme="majorHAnsi"/>
        </w:rPr>
        <w:t>Furthermore, the lack of clear policies and their non-compliance can increase risks. If employees are not aware of security standards or if policies are not strictly followed, the organization becomes more vulnerable to attacks.</w:t>
      </w:r>
    </w:p>
    <w:p w14:paraId="6AC59C67" w14:textId="7C976F7F" w:rsidR="00480193" w:rsidRPr="00AE6BA8" w:rsidRDefault="00480193" w:rsidP="00480193">
      <w:pPr>
        <w:rPr>
          <w:rFonts w:asciiTheme="majorHAnsi" w:hAnsiTheme="majorHAnsi"/>
        </w:rPr>
      </w:pPr>
      <w:r w:rsidRPr="00480193">
        <w:rPr>
          <w:rFonts w:asciiTheme="majorHAnsi" w:hAnsiTheme="majorHAnsi"/>
        </w:rPr>
        <w:t>To minimize these risks, it is essential for the HPA to promote accountability and ensure that all employees understand their role in maintaining cybersecurity.</w:t>
      </w:r>
    </w:p>
    <w:p w14:paraId="399381D7" w14:textId="45E3F9F4" w:rsidR="00FB41FB" w:rsidRPr="00B1319D" w:rsidRDefault="00FB41FB" w:rsidP="00FB41FB">
      <w:pPr>
        <w:pStyle w:val="Heading1"/>
        <w:rPr>
          <w:rFonts w:ascii="Californian FB" w:hAnsi="Californian FB"/>
          <w:sz w:val="32"/>
          <w:szCs w:val="32"/>
        </w:rPr>
      </w:pPr>
      <w:bookmarkStart w:id="4" w:name="_Toc227328246"/>
      <w:r w:rsidRPr="00B1319D">
        <w:rPr>
          <w:rFonts w:ascii="Californian FB" w:hAnsi="Californian FB"/>
          <w:sz w:val="32"/>
          <w:szCs w:val="32"/>
        </w:rPr>
        <w:t>3.</w:t>
      </w:r>
      <w:r w:rsidR="005D14DE" w:rsidRPr="00B1319D">
        <w:rPr>
          <w:rFonts w:ascii="Californian FB" w:hAnsi="Californian FB"/>
          <w:sz w:val="32"/>
          <w:szCs w:val="32"/>
        </w:rPr>
        <w:t xml:space="preserve"> Security Poli</w:t>
      </w:r>
      <w:r w:rsidR="00813FA1" w:rsidRPr="00B1319D">
        <w:rPr>
          <w:rFonts w:ascii="Californian FB" w:hAnsi="Californian FB"/>
          <w:sz w:val="32"/>
          <w:szCs w:val="32"/>
        </w:rPr>
        <w:t>cies</w:t>
      </w:r>
      <w:bookmarkEnd w:id="4"/>
    </w:p>
    <w:p w14:paraId="55457706" w14:textId="508D9129" w:rsidR="008E6737" w:rsidRDefault="008E6737" w:rsidP="008E6737">
      <w:pPr>
        <w:rPr>
          <w:rFonts w:asciiTheme="majorHAnsi" w:hAnsiTheme="majorHAnsi"/>
        </w:rPr>
      </w:pPr>
      <w:r w:rsidRPr="00077A19">
        <w:rPr>
          <w:rFonts w:asciiTheme="majorHAnsi" w:hAnsiTheme="majorHAnsi"/>
        </w:rPr>
        <w:t>To improve its security, HPA must implement clear and effective security policies that follow industry standards such as ISO 27001.</w:t>
      </w:r>
    </w:p>
    <w:p w14:paraId="2EB9E974" w14:textId="0984F1B0" w:rsidR="00681560" w:rsidRPr="00681560" w:rsidRDefault="00681560" w:rsidP="00681560">
      <w:pPr>
        <w:rPr>
          <w:rFonts w:asciiTheme="majorHAnsi" w:hAnsiTheme="majorHAnsi"/>
        </w:rPr>
      </w:pPr>
      <w:r w:rsidRPr="00681560">
        <w:rPr>
          <w:rFonts w:asciiTheme="majorHAnsi" w:hAnsiTheme="majorHAnsi"/>
        </w:rPr>
        <w:t>Furthermore, these policies must be supported by regular compliance audits and reviews to ensure their proper implementation. Management must also play a critical role in implementing these policies and fostering a strong safety culture within the organization.</w:t>
      </w:r>
    </w:p>
    <w:p w14:paraId="436AF504" w14:textId="626BF152" w:rsidR="00681560" w:rsidRPr="00077A19" w:rsidRDefault="00681560" w:rsidP="00681560">
      <w:pPr>
        <w:rPr>
          <w:rFonts w:asciiTheme="majorHAnsi" w:hAnsiTheme="majorHAnsi"/>
        </w:rPr>
      </w:pPr>
      <w:r w:rsidRPr="00681560">
        <w:rPr>
          <w:rFonts w:asciiTheme="majorHAnsi" w:hAnsiTheme="majorHAnsi"/>
        </w:rPr>
        <w:t>Policies alone are not enough; they must be effectively communicated and integrated into daily operations. Clear and accessible documentation is essential for all employees to understand their responsibilities</w:t>
      </w:r>
      <w:sdt>
        <w:sdtPr>
          <w:rPr>
            <w:rFonts w:asciiTheme="majorHAnsi" w:hAnsiTheme="majorHAnsi"/>
          </w:rPr>
          <w:id w:val="-582600441"/>
          <w:citation/>
        </w:sdtPr>
        <w:sdtEndPr/>
        <w:sdtContent>
          <w:r w:rsidR="00D9189C">
            <w:rPr>
              <w:rFonts w:asciiTheme="majorHAnsi" w:hAnsiTheme="majorHAnsi"/>
            </w:rPr>
            <w:fldChar w:fldCharType="begin"/>
          </w:r>
          <w:r w:rsidR="001B5835">
            <w:rPr>
              <w:rFonts w:asciiTheme="majorHAnsi" w:hAnsiTheme="majorHAnsi"/>
            </w:rPr>
            <w:instrText xml:space="preserve">CITATION ISO22 \l 2057 </w:instrText>
          </w:r>
          <w:r w:rsidR="00D9189C">
            <w:rPr>
              <w:rFonts w:asciiTheme="majorHAnsi" w:hAnsiTheme="majorHAnsi"/>
            </w:rPr>
            <w:fldChar w:fldCharType="separate"/>
          </w:r>
          <w:r w:rsidR="001B5835">
            <w:rPr>
              <w:rFonts w:asciiTheme="majorHAnsi" w:hAnsiTheme="majorHAnsi"/>
              <w:noProof/>
            </w:rPr>
            <w:t xml:space="preserve"> </w:t>
          </w:r>
          <w:r w:rsidR="001B5835" w:rsidRPr="001B5835">
            <w:rPr>
              <w:rFonts w:asciiTheme="majorHAnsi" w:hAnsiTheme="majorHAnsi"/>
              <w:noProof/>
            </w:rPr>
            <w:t>[1]</w:t>
          </w:r>
          <w:r w:rsidR="00D9189C">
            <w:rPr>
              <w:rFonts w:asciiTheme="majorHAnsi" w:hAnsiTheme="majorHAnsi"/>
            </w:rPr>
            <w:fldChar w:fldCharType="end"/>
          </w:r>
        </w:sdtContent>
      </w:sdt>
      <w:r w:rsidRPr="00681560">
        <w:rPr>
          <w:rFonts w:asciiTheme="majorHAnsi" w:hAnsiTheme="majorHAnsi"/>
        </w:rPr>
        <w:t>.</w:t>
      </w:r>
    </w:p>
    <w:p w14:paraId="1D36AB5C" w14:textId="0AE0DBA1" w:rsidR="00D43804" w:rsidRPr="00B1319D" w:rsidRDefault="00D43804" w:rsidP="000341B1">
      <w:pPr>
        <w:pStyle w:val="Heading1"/>
        <w:rPr>
          <w:rFonts w:ascii="Californian FB" w:hAnsi="Californian FB"/>
          <w:sz w:val="32"/>
          <w:szCs w:val="32"/>
        </w:rPr>
      </w:pPr>
      <w:bookmarkStart w:id="5" w:name="_Toc227328247"/>
      <w:r w:rsidRPr="00B1319D">
        <w:rPr>
          <w:rFonts w:ascii="Californian FB" w:hAnsi="Californian FB"/>
          <w:sz w:val="32"/>
          <w:szCs w:val="32"/>
        </w:rPr>
        <w:t>3.1 Access Control Policy</w:t>
      </w:r>
      <w:bookmarkEnd w:id="5"/>
    </w:p>
    <w:p w14:paraId="762971A2" w14:textId="36EE0F85" w:rsidR="00077A19" w:rsidRPr="00077A19" w:rsidRDefault="00077A19" w:rsidP="00077A19">
      <w:pPr>
        <w:rPr>
          <w:rFonts w:asciiTheme="majorHAnsi" w:hAnsiTheme="majorHAnsi"/>
        </w:rPr>
      </w:pPr>
      <w:r w:rsidRPr="00077A19">
        <w:rPr>
          <w:rFonts w:asciiTheme="majorHAnsi" w:hAnsiTheme="majorHAnsi"/>
        </w:rPr>
        <w:t>Access control policy ensures that only authorized users can access systems and data. Role-based access control should be used so that employees only have access to the information they need to do their job. Multi-factor authentication (MFA) should also be implemented to provide an additional layer of security.</w:t>
      </w:r>
    </w:p>
    <w:p w14:paraId="3B87E085" w14:textId="77777777" w:rsidR="00640D96" w:rsidRPr="00640D96" w:rsidRDefault="00640D96" w:rsidP="00640D96"/>
    <w:p w14:paraId="5E5F0393" w14:textId="0DFD1C48" w:rsidR="00D43804" w:rsidRPr="00B1319D" w:rsidRDefault="00D43804" w:rsidP="000341B1">
      <w:pPr>
        <w:pStyle w:val="Heading1"/>
        <w:rPr>
          <w:rFonts w:ascii="Californian FB" w:hAnsi="Californian FB"/>
          <w:sz w:val="32"/>
          <w:szCs w:val="32"/>
        </w:rPr>
      </w:pPr>
      <w:bookmarkStart w:id="6" w:name="_Toc227328248"/>
      <w:r w:rsidRPr="00B1319D">
        <w:rPr>
          <w:rFonts w:ascii="Californian FB" w:hAnsi="Californian FB"/>
          <w:sz w:val="32"/>
          <w:szCs w:val="32"/>
        </w:rPr>
        <w:t xml:space="preserve">3.2 Password </w:t>
      </w:r>
      <w:r w:rsidR="0020476D" w:rsidRPr="00B1319D">
        <w:rPr>
          <w:rFonts w:ascii="Californian FB" w:hAnsi="Californian FB"/>
          <w:sz w:val="32"/>
          <w:szCs w:val="32"/>
        </w:rPr>
        <w:t>Policy</w:t>
      </w:r>
      <w:bookmarkEnd w:id="6"/>
    </w:p>
    <w:p w14:paraId="788C00C2" w14:textId="1C29EF7F" w:rsidR="00077A19" w:rsidRPr="00170795" w:rsidRDefault="00170795" w:rsidP="00077A19">
      <w:pPr>
        <w:rPr>
          <w:rFonts w:asciiTheme="majorHAnsi" w:hAnsiTheme="majorHAnsi"/>
        </w:rPr>
      </w:pPr>
      <w:r w:rsidRPr="00170795">
        <w:rPr>
          <w:rFonts w:asciiTheme="majorHAnsi" w:hAnsiTheme="majorHAnsi"/>
        </w:rPr>
        <w:t>The password policy requires employees to create strong passwords using a combination of letters, numbers, and special characters. Passwords should be changed regularly and should not be shared with others. This reduces the risk of unauthorized access.</w:t>
      </w:r>
    </w:p>
    <w:p w14:paraId="2FBBD9D5" w14:textId="48B2795E" w:rsidR="0020476D" w:rsidRPr="00B1319D" w:rsidRDefault="0020476D" w:rsidP="000341B1">
      <w:pPr>
        <w:pStyle w:val="Heading1"/>
        <w:rPr>
          <w:rFonts w:ascii="Californian FB" w:hAnsi="Californian FB"/>
          <w:sz w:val="32"/>
          <w:szCs w:val="32"/>
        </w:rPr>
      </w:pPr>
      <w:bookmarkStart w:id="7" w:name="_Toc227328249"/>
      <w:r w:rsidRPr="00B1319D">
        <w:rPr>
          <w:rFonts w:ascii="Californian FB" w:hAnsi="Californian FB"/>
          <w:sz w:val="32"/>
          <w:szCs w:val="32"/>
        </w:rPr>
        <w:t>3.3 Data Protection Policy</w:t>
      </w:r>
      <w:bookmarkEnd w:id="7"/>
    </w:p>
    <w:p w14:paraId="09BFC053" w14:textId="78BDD1FC" w:rsidR="00170795" w:rsidRPr="00B120D0" w:rsidRDefault="00B120D0" w:rsidP="00170795">
      <w:pPr>
        <w:rPr>
          <w:rFonts w:asciiTheme="majorHAnsi" w:hAnsiTheme="majorHAnsi"/>
        </w:rPr>
      </w:pPr>
      <w:r w:rsidRPr="00B120D0">
        <w:rPr>
          <w:rFonts w:asciiTheme="majorHAnsi" w:hAnsiTheme="majorHAnsi"/>
        </w:rPr>
        <w:t xml:space="preserve">The Data Protection Policy focuses on protecting sensitive information. All patient data must be encrypted both at rest and in transit. This helps ensure compliance with UK GDPR regulations and protects data from unauthorized access </w:t>
      </w:r>
      <w:sdt>
        <w:sdtPr>
          <w:rPr>
            <w:rFonts w:asciiTheme="majorHAnsi" w:hAnsiTheme="majorHAnsi"/>
          </w:rPr>
          <w:id w:val="-1973358798"/>
          <w:citation/>
        </w:sdtPr>
        <w:sdtEndPr/>
        <w:sdtContent>
          <w:r w:rsidR="00B20F7C">
            <w:rPr>
              <w:rFonts w:asciiTheme="majorHAnsi" w:hAnsiTheme="majorHAnsi"/>
            </w:rPr>
            <w:fldChar w:fldCharType="begin"/>
          </w:r>
          <w:r w:rsidR="00B20F7C">
            <w:rPr>
              <w:rFonts w:asciiTheme="majorHAnsi" w:hAnsiTheme="majorHAnsi"/>
            </w:rPr>
            <w:instrText xml:space="preserve"> CITATION UKG23 \l 2057 </w:instrText>
          </w:r>
          <w:r w:rsidR="00B20F7C">
            <w:rPr>
              <w:rFonts w:asciiTheme="majorHAnsi" w:hAnsiTheme="majorHAnsi"/>
            </w:rPr>
            <w:fldChar w:fldCharType="separate"/>
          </w:r>
          <w:r w:rsidR="001B5835" w:rsidRPr="001B5835">
            <w:rPr>
              <w:rFonts w:asciiTheme="majorHAnsi" w:hAnsiTheme="majorHAnsi"/>
              <w:noProof/>
            </w:rPr>
            <w:t>[2]</w:t>
          </w:r>
          <w:r w:rsidR="00B20F7C">
            <w:rPr>
              <w:rFonts w:asciiTheme="majorHAnsi" w:hAnsiTheme="majorHAnsi"/>
            </w:rPr>
            <w:fldChar w:fldCharType="end"/>
          </w:r>
        </w:sdtContent>
      </w:sdt>
      <w:r w:rsidRPr="00B120D0">
        <w:rPr>
          <w:rFonts w:asciiTheme="majorHAnsi" w:hAnsiTheme="majorHAnsi"/>
        </w:rPr>
        <w:t>.</w:t>
      </w:r>
    </w:p>
    <w:p w14:paraId="0FE0671F" w14:textId="42216E5A" w:rsidR="0020476D" w:rsidRPr="00B1319D" w:rsidRDefault="008454AC" w:rsidP="000341B1">
      <w:pPr>
        <w:pStyle w:val="Heading1"/>
        <w:rPr>
          <w:rFonts w:ascii="Californian FB" w:hAnsi="Californian FB"/>
          <w:sz w:val="32"/>
          <w:szCs w:val="32"/>
        </w:rPr>
      </w:pPr>
      <w:bookmarkStart w:id="8" w:name="_Toc227328250"/>
      <w:r w:rsidRPr="00B1319D">
        <w:rPr>
          <w:rFonts w:ascii="Californian FB" w:hAnsi="Californian FB"/>
          <w:sz w:val="32"/>
          <w:szCs w:val="32"/>
        </w:rPr>
        <w:t>3.4 BYOD Policy</w:t>
      </w:r>
      <w:bookmarkEnd w:id="8"/>
    </w:p>
    <w:p w14:paraId="3874D3E2" w14:textId="3D8D48B6" w:rsidR="00B120D0" w:rsidRPr="00C357B0" w:rsidRDefault="00C357B0" w:rsidP="00B120D0">
      <w:pPr>
        <w:rPr>
          <w:rFonts w:asciiTheme="majorHAnsi" w:hAnsiTheme="majorHAnsi"/>
        </w:rPr>
      </w:pPr>
      <w:r w:rsidRPr="00C357B0">
        <w:rPr>
          <w:rFonts w:asciiTheme="majorHAnsi" w:hAnsiTheme="majorHAnsi"/>
        </w:rPr>
        <w:t>BYOD policy regulates the use of personal devices. Employees should ensure that their devices are secure, up-to-date, and protected with antivirus software. Access to company systems should only be allowed through secure connections such as VPNs.</w:t>
      </w:r>
    </w:p>
    <w:p w14:paraId="06AFEF2E" w14:textId="783122C4" w:rsidR="008454AC" w:rsidRPr="00B1319D" w:rsidRDefault="008454AC" w:rsidP="000341B1">
      <w:pPr>
        <w:pStyle w:val="Heading1"/>
        <w:rPr>
          <w:rFonts w:ascii="Californian FB" w:hAnsi="Californian FB"/>
          <w:sz w:val="32"/>
          <w:szCs w:val="32"/>
        </w:rPr>
      </w:pPr>
      <w:bookmarkStart w:id="9" w:name="_Toc227328251"/>
      <w:r w:rsidRPr="00B1319D">
        <w:rPr>
          <w:rFonts w:ascii="Californian FB" w:hAnsi="Californian FB"/>
          <w:sz w:val="32"/>
          <w:szCs w:val="32"/>
        </w:rPr>
        <w:t>3.5 Incident Response</w:t>
      </w:r>
      <w:r w:rsidR="000341B1" w:rsidRPr="00B1319D">
        <w:rPr>
          <w:rFonts w:ascii="Californian FB" w:hAnsi="Californian FB"/>
          <w:sz w:val="32"/>
          <w:szCs w:val="32"/>
        </w:rPr>
        <w:t xml:space="preserve"> Policy</w:t>
      </w:r>
      <w:bookmarkEnd w:id="9"/>
    </w:p>
    <w:p w14:paraId="67B7AF47" w14:textId="77777777" w:rsidR="00CC044F" w:rsidRDefault="00BE650F" w:rsidP="00BE650F">
      <w:pPr>
        <w:rPr>
          <w:rFonts w:asciiTheme="majorHAnsi" w:hAnsiTheme="majorHAnsi"/>
        </w:rPr>
      </w:pPr>
      <w:r w:rsidRPr="00BE650F">
        <w:rPr>
          <w:rFonts w:asciiTheme="majorHAnsi" w:hAnsiTheme="majorHAnsi"/>
        </w:rPr>
        <w:t>The Incident Response Policy defines the steps to be taken in the event of a cyberattack. This includes identifying, containing, and quickly recovering from incidents. Having a clear plan reduces damage and improves recovery time.</w:t>
      </w:r>
      <w:r>
        <w:rPr>
          <w:rFonts w:asciiTheme="majorHAnsi" w:hAnsiTheme="majorHAnsi"/>
        </w:rPr>
        <w:t xml:space="preserve"> </w:t>
      </w:r>
    </w:p>
    <w:p w14:paraId="7632B0A9" w14:textId="1997983A" w:rsidR="00C357B0" w:rsidRPr="00BE650F" w:rsidRDefault="00BE650F" w:rsidP="00BE650F">
      <w:pPr>
        <w:rPr>
          <w:rFonts w:asciiTheme="majorHAnsi" w:hAnsiTheme="majorHAnsi"/>
        </w:rPr>
      </w:pPr>
      <w:r w:rsidRPr="00BE650F">
        <w:rPr>
          <w:rFonts w:asciiTheme="majorHAnsi" w:hAnsiTheme="majorHAnsi"/>
        </w:rPr>
        <w:t>These policies should be reviewed and updated periodically to ensure they remain effective. Employees must always follow them to maintain a strong security environment.</w:t>
      </w:r>
    </w:p>
    <w:p w14:paraId="138D0A56" w14:textId="3E8E7546" w:rsidR="000341B1" w:rsidRPr="00B1319D" w:rsidRDefault="000341B1" w:rsidP="007703C3">
      <w:pPr>
        <w:pStyle w:val="Heading1"/>
        <w:rPr>
          <w:rFonts w:ascii="Californian FB" w:hAnsi="Californian FB"/>
          <w:sz w:val="32"/>
          <w:szCs w:val="32"/>
        </w:rPr>
      </w:pPr>
      <w:bookmarkStart w:id="10" w:name="_Toc227328252"/>
      <w:r w:rsidRPr="00B1319D">
        <w:rPr>
          <w:rFonts w:ascii="Californian FB" w:hAnsi="Californian FB"/>
          <w:sz w:val="32"/>
          <w:szCs w:val="32"/>
        </w:rPr>
        <w:t>4. Mitigation</w:t>
      </w:r>
      <w:r w:rsidR="003A33E9" w:rsidRPr="00B1319D">
        <w:rPr>
          <w:rFonts w:ascii="Californian FB" w:hAnsi="Californian FB"/>
          <w:sz w:val="32"/>
          <w:szCs w:val="32"/>
        </w:rPr>
        <w:t xml:space="preserve"> Measures</w:t>
      </w:r>
      <w:bookmarkEnd w:id="10"/>
    </w:p>
    <w:p w14:paraId="25FC69BB" w14:textId="374CFB4A" w:rsidR="00DA234B" w:rsidRPr="00DA234B" w:rsidRDefault="00DA234B" w:rsidP="00DA234B">
      <w:pPr>
        <w:rPr>
          <w:rFonts w:asciiTheme="majorHAnsi" w:hAnsiTheme="majorHAnsi"/>
        </w:rPr>
      </w:pPr>
      <w:r w:rsidRPr="00DA234B">
        <w:rPr>
          <w:rFonts w:asciiTheme="majorHAnsi" w:hAnsiTheme="majorHAnsi"/>
        </w:rPr>
        <w:t>To reduce cybersecurity risks, HPA should implement practical and realistic measures.</w:t>
      </w:r>
    </w:p>
    <w:p w14:paraId="0C780120" w14:textId="7D2F1302" w:rsidR="00DA234B" w:rsidRPr="00DA234B" w:rsidRDefault="00DA234B" w:rsidP="00DA234B">
      <w:pPr>
        <w:rPr>
          <w:rFonts w:asciiTheme="majorHAnsi" w:hAnsiTheme="majorHAnsi"/>
        </w:rPr>
      </w:pPr>
      <w:r w:rsidRPr="00DA234B">
        <w:rPr>
          <w:rFonts w:asciiTheme="majorHAnsi" w:hAnsiTheme="majorHAnsi"/>
        </w:rPr>
        <w:t>Phishing attacks can be reduced by using email filtering systems and training employees to recognize suspicious emails. Ransomware risks can be managed by creating regular backups of important data and storing them securely.</w:t>
      </w:r>
    </w:p>
    <w:p w14:paraId="2A896B23" w14:textId="06F7B18F" w:rsidR="00DA234B" w:rsidRPr="00DA234B" w:rsidRDefault="00DA234B" w:rsidP="00DA234B">
      <w:pPr>
        <w:rPr>
          <w:rFonts w:asciiTheme="majorHAnsi" w:hAnsiTheme="majorHAnsi"/>
        </w:rPr>
      </w:pPr>
      <w:r w:rsidRPr="00DA234B">
        <w:rPr>
          <w:rFonts w:asciiTheme="majorHAnsi" w:hAnsiTheme="majorHAnsi"/>
        </w:rPr>
        <w:t>Multi-factor authentication should be implemented to strengthen access control. Even if a password is compromised, attackers will not be able to access systems without additional verification.</w:t>
      </w:r>
    </w:p>
    <w:p w14:paraId="4D236B89" w14:textId="2F357008" w:rsidR="00DA234B" w:rsidRPr="00DA234B" w:rsidRDefault="00DA234B" w:rsidP="00DA234B">
      <w:pPr>
        <w:rPr>
          <w:rFonts w:asciiTheme="majorHAnsi" w:hAnsiTheme="majorHAnsi"/>
        </w:rPr>
      </w:pPr>
      <w:r w:rsidRPr="00DA234B">
        <w:rPr>
          <w:rFonts w:asciiTheme="majorHAnsi" w:hAnsiTheme="majorHAnsi"/>
        </w:rPr>
        <w:t>Encryption should be used to protect sensitive data, especially in cloud environments. This ensures that even if the data is accessed, it cannot be easily read.</w:t>
      </w:r>
    </w:p>
    <w:p w14:paraId="785B5C9D" w14:textId="2CE3FC48" w:rsidR="00DA234B" w:rsidRPr="00DA234B" w:rsidRDefault="00DA234B" w:rsidP="00DA234B">
      <w:pPr>
        <w:rPr>
          <w:rFonts w:asciiTheme="majorHAnsi" w:hAnsiTheme="majorHAnsi"/>
        </w:rPr>
      </w:pPr>
      <w:r w:rsidRPr="00DA234B">
        <w:rPr>
          <w:rFonts w:asciiTheme="majorHAnsi" w:hAnsiTheme="majorHAnsi"/>
        </w:rPr>
        <w:t>Mobile device management (MDM) systems should be used to monitor and control personal devices. This allows the company to enforce security policies and manage devices remotely.</w:t>
      </w:r>
    </w:p>
    <w:p w14:paraId="79B600C9" w14:textId="14AD4F53" w:rsidR="00DA234B" w:rsidRPr="00DA234B" w:rsidRDefault="00DA234B" w:rsidP="00DA234B">
      <w:pPr>
        <w:rPr>
          <w:rFonts w:asciiTheme="majorHAnsi" w:hAnsiTheme="majorHAnsi"/>
        </w:rPr>
      </w:pPr>
      <w:r w:rsidRPr="00DA234B">
        <w:rPr>
          <w:rFonts w:asciiTheme="majorHAnsi" w:hAnsiTheme="majorHAnsi"/>
        </w:rPr>
        <w:t>In addition, HPA should conduct regular security audits and vulnerability assessments to identify weaknesses. Penetration testing can also be used to simulate cyberattacks and improve system security.</w:t>
      </w:r>
    </w:p>
    <w:p w14:paraId="0CC93B77" w14:textId="7A7BCBA4" w:rsidR="00CC044F" w:rsidRDefault="00DA234B" w:rsidP="00DA234B">
      <w:pPr>
        <w:rPr>
          <w:rFonts w:asciiTheme="majorHAnsi" w:hAnsiTheme="majorHAnsi"/>
        </w:rPr>
      </w:pPr>
      <w:r w:rsidRPr="00DA234B">
        <w:rPr>
          <w:rFonts w:asciiTheme="majorHAnsi" w:hAnsiTheme="majorHAnsi"/>
        </w:rPr>
        <w:t xml:space="preserve">These measures are widely used in industry and help reduce both the likelihood and impact of cyber threats </w:t>
      </w:r>
      <w:sdt>
        <w:sdtPr>
          <w:rPr>
            <w:rFonts w:asciiTheme="majorHAnsi" w:hAnsiTheme="majorHAnsi"/>
          </w:rPr>
          <w:id w:val="1039168525"/>
          <w:citation/>
        </w:sdtPr>
        <w:sdtEndPr/>
        <w:sdtContent>
          <w:r w:rsidR="00F10624">
            <w:rPr>
              <w:rFonts w:asciiTheme="majorHAnsi" w:hAnsiTheme="majorHAnsi"/>
            </w:rPr>
            <w:fldChar w:fldCharType="begin"/>
          </w:r>
          <w:r w:rsidR="00F10624">
            <w:rPr>
              <w:rFonts w:asciiTheme="majorHAnsi" w:hAnsiTheme="majorHAnsi"/>
            </w:rPr>
            <w:instrText xml:space="preserve"> CITATION Cis24 \l 2057 </w:instrText>
          </w:r>
          <w:r w:rsidR="00F10624">
            <w:rPr>
              <w:rFonts w:asciiTheme="majorHAnsi" w:hAnsiTheme="majorHAnsi"/>
            </w:rPr>
            <w:fldChar w:fldCharType="separate"/>
          </w:r>
          <w:r w:rsidR="001B5835" w:rsidRPr="001B5835">
            <w:rPr>
              <w:rFonts w:asciiTheme="majorHAnsi" w:hAnsiTheme="majorHAnsi"/>
              <w:noProof/>
            </w:rPr>
            <w:t>[3]</w:t>
          </w:r>
          <w:r w:rsidR="00F10624">
            <w:rPr>
              <w:rFonts w:asciiTheme="majorHAnsi" w:hAnsiTheme="majorHAnsi"/>
            </w:rPr>
            <w:fldChar w:fldCharType="end"/>
          </w:r>
        </w:sdtContent>
      </w:sdt>
      <w:r w:rsidRPr="00DA234B">
        <w:rPr>
          <w:rFonts w:asciiTheme="majorHAnsi" w:hAnsiTheme="majorHAnsi"/>
        </w:rPr>
        <w:t>.</w:t>
      </w:r>
    </w:p>
    <w:p w14:paraId="38885486" w14:textId="316B0DEB" w:rsidR="00FC283F" w:rsidRPr="00FC283F" w:rsidRDefault="00FC283F" w:rsidP="00FC283F">
      <w:pPr>
        <w:rPr>
          <w:rFonts w:asciiTheme="majorHAnsi" w:hAnsiTheme="majorHAnsi"/>
        </w:rPr>
      </w:pPr>
      <w:r w:rsidRPr="00FC283F">
        <w:rPr>
          <w:rFonts w:asciiTheme="majorHAnsi" w:hAnsiTheme="majorHAnsi"/>
        </w:rPr>
        <w:t>Another important measure is the implementation of regular system updates and patch management. Keeping software up to date helps correct known vulnerabilities and reduces the risk of exploitation by attackers.</w:t>
      </w:r>
    </w:p>
    <w:p w14:paraId="0CC71D85" w14:textId="2F742C4D" w:rsidR="00FC283F" w:rsidRPr="00FC283F" w:rsidRDefault="00FC283F" w:rsidP="00FC283F">
      <w:pPr>
        <w:rPr>
          <w:rFonts w:asciiTheme="majorHAnsi" w:hAnsiTheme="majorHAnsi"/>
        </w:rPr>
      </w:pPr>
      <w:r w:rsidRPr="00FC283F">
        <w:rPr>
          <w:rFonts w:asciiTheme="majorHAnsi" w:hAnsiTheme="majorHAnsi"/>
        </w:rPr>
        <w:t>Network segmentation can also be used to limit the spread of attacks. By dividing the network into smaller sections, it becomes more difficult for attackers to move between systems.</w:t>
      </w:r>
    </w:p>
    <w:p w14:paraId="00956860" w14:textId="4DC432CF" w:rsidR="00EE49AA" w:rsidRPr="00DA234B" w:rsidRDefault="00FC283F" w:rsidP="00FC283F">
      <w:pPr>
        <w:rPr>
          <w:rFonts w:asciiTheme="majorHAnsi" w:hAnsiTheme="majorHAnsi"/>
        </w:rPr>
      </w:pPr>
      <w:r w:rsidRPr="00FC283F">
        <w:rPr>
          <w:rFonts w:asciiTheme="majorHAnsi" w:hAnsiTheme="majorHAnsi"/>
        </w:rPr>
        <w:t>In addition, organizations should develop a disaster recovery plan to ensure business continuity in the event of serious incidents. This ensures that operations can resume quickly after a cyberattack.</w:t>
      </w:r>
    </w:p>
    <w:p w14:paraId="26576D6D" w14:textId="489EEC09" w:rsidR="00DA234B" w:rsidRPr="00B1319D" w:rsidRDefault="003A33E9" w:rsidP="00DD25B1">
      <w:pPr>
        <w:pStyle w:val="Heading1"/>
        <w:rPr>
          <w:rFonts w:ascii="Californian FB" w:hAnsi="Californian FB"/>
          <w:sz w:val="32"/>
          <w:szCs w:val="32"/>
        </w:rPr>
      </w:pPr>
      <w:bookmarkStart w:id="11" w:name="_Toc227328253"/>
      <w:r w:rsidRPr="00B1319D">
        <w:rPr>
          <w:rFonts w:ascii="Californian FB" w:hAnsi="Californian FB"/>
          <w:sz w:val="32"/>
          <w:szCs w:val="32"/>
        </w:rPr>
        <w:t>5. Monitoring and Response</w:t>
      </w:r>
      <w:bookmarkEnd w:id="11"/>
    </w:p>
    <w:p w14:paraId="07AEFA4A" w14:textId="763DF261" w:rsidR="003A33E9" w:rsidRPr="00B1319D" w:rsidRDefault="003A33E9" w:rsidP="007703C3">
      <w:pPr>
        <w:pStyle w:val="Heading1"/>
        <w:rPr>
          <w:rFonts w:ascii="Californian FB" w:hAnsi="Californian FB"/>
          <w:sz w:val="32"/>
          <w:szCs w:val="32"/>
        </w:rPr>
      </w:pPr>
      <w:bookmarkStart w:id="12" w:name="_Toc227328254"/>
      <w:r w:rsidRPr="00B1319D">
        <w:rPr>
          <w:rFonts w:ascii="Californian FB" w:hAnsi="Californian FB"/>
          <w:sz w:val="32"/>
          <w:szCs w:val="32"/>
        </w:rPr>
        <w:t>5.1 Monitoring</w:t>
      </w:r>
      <w:r w:rsidR="006715F7" w:rsidRPr="00B1319D">
        <w:rPr>
          <w:rFonts w:ascii="Californian FB" w:hAnsi="Californian FB"/>
          <w:sz w:val="32"/>
          <w:szCs w:val="32"/>
        </w:rPr>
        <w:t xml:space="preserve"> Systems</w:t>
      </w:r>
      <w:bookmarkEnd w:id="12"/>
    </w:p>
    <w:p w14:paraId="378E3AA4" w14:textId="3F139C8F" w:rsidR="000E4C5B" w:rsidRPr="000E4C5B" w:rsidRDefault="000E4C5B" w:rsidP="000E4C5B">
      <w:pPr>
        <w:rPr>
          <w:rFonts w:asciiTheme="majorHAnsi" w:hAnsiTheme="majorHAnsi"/>
        </w:rPr>
      </w:pPr>
      <w:r w:rsidRPr="000E4C5B">
        <w:rPr>
          <w:rFonts w:asciiTheme="majorHAnsi" w:hAnsiTheme="majorHAnsi"/>
        </w:rPr>
        <w:t>Continuous monitoring is essential to detect cyber threats in real time. The HPA should use firewalls to block unauthorized access and protect the network. Intrusion detection systems (IDS) should be implemented to identify suspicious activities.</w:t>
      </w:r>
    </w:p>
    <w:p w14:paraId="695B94D2" w14:textId="71EE1BB9" w:rsidR="000E4C5B" w:rsidRPr="000E4C5B" w:rsidRDefault="000E4C5B" w:rsidP="000E4C5B">
      <w:pPr>
        <w:rPr>
          <w:rFonts w:asciiTheme="majorHAnsi" w:hAnsiTheme="majorHAnsi"/>
        </w:rPr>
      </w:pPr>
      <w:r w:rsidRPr="000E4C5B">
        <w:rPr>
          <w:rFonts w:asciiTheme="majorHAnsi" w:hAnsiTheme="majorHAnsi"/>
        </w:rPr>
        <w:t>Security information and event management (SIEM) tools should also be used to collect and analyse data from multiple sources. These systems provide a complete view of network activity and help detect threats quickly.</w:t>
      </w:r>
    </w:p>
    <w:p w14:paraId="77675B7F" w14:textId="79692290" w:rsidR="00DD25B1" w:rsidRDefault="000E4C5B" w:rsidP="000E4C5B">
      <w:pPr>
        <w:rPr>
          <w:rFonts w:asciiTheme="majorHAnsi" w:hAnsiTheme="majorHAnsi"/>
        </w:rPr>
      </w:pPr>
      <w:r w:rsidRPr="000E4C5B">
        <w:rPr>
          <w:rFonts w:asciiTheme="majorHAnsi" w:hAnsiTheme="majorHAnsi"/>
        </w:rPr>
        <w:t>Monitoring systems should run continuously and provide real-time alerts. This allows security teams to respond quickly before threats cause serious damage.</w:t>
      </w:r>
    </w:p>
    <w:p w14:paraId="18D048C4" w14:textId="2A8CEA2C" w:rsidR="002F62C4" w:rsidRPr="002F62C4" w:rsidRDefault="002F62C4" w:rsidP="002F62C4">
      <w:pPr>
        <w:rPr>
          <w:rFonts w:asciiTheme="majorHAnsi" w:hAnsiTheme="majorHAnsi"/>
        </w:rPr>
      </w:pPr>
      <w:r w:rsidRPr="002F62C4">
        <w:rPr>
          <w:rFonts w:asciiTheme="majorHAnsi" w:hAnsiTheme="majorHAnsi"/>
        </w:rPr>
        <w:t>In addition to these tools, automated alert systems can be used to immediately notify security teams when suspicious activity is detected. This allows for faster response times and reduces potential damage.</w:t>
      </w:r>
    </w:p>
    <w:p w14:paraId="261BA77F" w14:textId="1D108812" w:rsidR="002F62C4" w:rsidRPr="000E4C5B" w:rsidRDefault="002F62C4" w:rsidP="002F62C4">
      <w:pPr>
        <w:rPr>
          <w:rFonts w:asciiTheme="majorHAnsi" w:hAnsiTheme="majorHAnsi"/>
        </w:rPr>
      </w:pPr>
      <w:r w:rsidRPr="002F62C4">
        <w:rPr>
          <w:rFonts w:asciiTheme="majorHAnsi" w:hAnsiTheme="majorHAnsi"/>
        </w:rPr>
        <w:t>It is also important to regularly review system logs and activity to identify unusual patterns or behaviour. Continuous monitoring, along with proper analysis, is essential for maintaining a secure environment.</w:t>
      </w:r>
    </w:p>
    <w:p w14:paraId="27466FE4" w14:textId="6D4DCE6A" w:rsidR="006715F7" w:rsidRPr="00B1319D" w:rsidRDefault="006715F7" w:rsidP="007703C3">
      <w:pPr>
        <w:pStyle w:val="Heading1"/>
        <w:rPr>
          <w:rFonts w:ascii="Californian FB" w:hAnsi="Californian FB"/>
          <w:sz w:val="32"/>
          <w:szCs w:val="32"/>
        </w:rPr>
      </w:pPr>
      <w:bookmarkStart w:id="13" w:name="_Toc227328255"/>
      <w:r w:rsidRPr="00B1319D">
        <w:rPr>
          <w:rFonts w:ascii="Californian FB" w:hAnsi="Californian FB"/>
          <w:sz w:val="32"/>
          <w:szCs w:val="32"/>
        </w:rPr>
        <w:t>5.2 Incident Response Process</w:t>
      </w:r>
      <w:bookmarkEnd w:id="13"/>
    </w:p>
    <w:p w14:paraId="566AC77F" w14:textId="1FAF8522" w:rsidR="00EE7622" w:rsidRPr="00EE7622" w:rsidRDefault="00EE7622" w:rsidP="00EE7622">
      <w:pPr>
        <w:rPr>
          <w:rFonts w:asciiTheme="majorHAnsi" w:hAnsiTheme="majorHAnsi"/>
        </w:rPr>
      </w:pPr>
      <w:r w:rsidRPr="00EE7622">
        <w:rPr>
          <w:rFonts w:asciiTheme="majorHAnsi" w:hAnsiTheme="majorHAnsi"/>
        </w:rPr>
        <w:t>When a cybersecurity incident occurs, the HPA must follow a structured response process. First, the threat must be identified and analysed to understand its impact.</w:t>
      </w:r>
    </w:p>
    <w:p w14:paraId="5CF07652" w14:textId="10C4AA6D" w:rsidR="00EE7622" w:rsidRPr="00EE7622" w:rsidRDefault="00EE7622" w:rsidP="00EE7622">
      <w:pPr>
        <w:rPr>
          <w:rFonts w:asciiTheme="majorHAnsi" w:hAnsiTheme="majorHAnsi"/>
        </w:rPr>
      </w:pPr>
      <w:r w:rsidRPr="00EE7622">
        <w:rPr>
          <w:rFonts w:asciiTheme="majorHAnsi" w:hAnsiTheme="majorHAnsi"/>
        </w:rPr>
        <w:t>Next, the attack must be contained to prevent further damage. After containment, the threat must be removed from the system. Subsequently, the systems must be recovered using backups or other recovery methods.</w:t>
      </w:r>
    </w:p>
    <w:p w14:paraId="510E6AED" w14:textId="53FC9423" w:rsidR="000E4C5B" w:rsidRDefault="00EE7622" w:rsidP="00EE7622">
      <w:pPr>
        <w:rPr>
          <w:rFonts w:asciiTheme="majorHAnsi" w:hAnsiTheme="majorHAnsi"/>
        </w:rPr>
      </w:pPr>
      <w:r w:rsidRPr="00EE7622">
        <w:rPr>
          <w:rFonts w:asciiTheme="majorHAnsi" w:hAnsiTheme="majorHAnsi"/>
        </w:rPr>
        <w:t>Finally, the incident must be reviewed to identify lessons learned and improve future responses. This structured approach ensures effective cyber incident management.</w:t>
      </w:r>
    </w:p>
    <w:p w14:paraId="210F14F6" w14:textId="35F98D41" w:rsidR="001325D1" w:rsidRPr="001325D1" w:rsidRDefault="001325D1" w:rsidP="001325D1">
      <w:pPr>
        <w:rPr>
          <w:rFonts w:asciiTheme="majorHAnsi" w:hAnsiTheme="majorHAnsi"/>
        </w:rPr>
      </w:pPr>
      <w:r w:rsidRPr="001325D1">
        <w:rPr>
          <w:rFonts w:asciiTheme="majorHAnsi" w:hAnsiTheme="majorHAnsi"/>
        </w:rPr>
        <w:t>It is also important that incident response plans be tested regularly through drills and exercises. This ensures that employees are prepared to respond effectively in real-life situations.</w:t>
      </w:r>
    </w:p>
    <w:p w14:paraId="77D03A22" w14:textId="5AA3D4C4" w:rsidR="001325D1" w:rsidRPr="00EE7622" w:rsidRDefault="001325D1" w:rsidP="001325D1">
      <w:pPr>
        <w:rPr>
          <w:rFonts w:asciiTheme="majorHAnsi" w:hAnsiTheme="majorHAnsi"/>
        </w:rPr>
      </w:pPr>
      <w:r w:rsidRPr="001325D1">
        <w:rPr>
          <w:rFonts w:asciiTheme="majorHAnsi" w:hAnsiTheme="majorHAnsi"/>
        </w:rPr>
        <w:t>Clear communication during an incident is essential. All stakeholders must be informed, and roles must be clearly defined to avoid confusion in critical situations.</w:t>
      </w:r>
    </w:p>
    <w:p w14:paraId="2F3D1F75" w14:textId="18D71561" w:rsidR="006715F7" w:rsidRPr="00B1319D" w:rsidRDefault="006715F7" w:rsidP="007703C3">
      <w:pPr>
        <w:pStyle w:val="Heading1"/>
        <w:rPr>
          <w:rFonts w:ascii="Californian FB" w:hAnsi="Californian FB"/>
          <w:sz w:val="32"/>
          <w:szCs w:val="32"/>
        </w:rPr>
      </w:pPr>
      <w:bookmarkStart w:id="14" w:name="_Toc227328256"/>
      <w:r w:rsidRPr="00B1319D">
        <w:rPr>
          <w:rFonts w:ascii="Californian FB" w:hAnsi="Californian FB"/>
          <w:sz w:val="32"/>
          <w:szCs w:val="32"/>
        </w:rPr>
        <w:t xml:space="preserve">6. </w:t>
      </w:r>
      <w:r w:rsidR="006345A9" w:rsidRPr="00B1319D">
        <w:rPr>
          <w:rFonts w:ascii="Californian FB" w:hAnsi="Californian FB"/>
          <w:sz w:val="32"/>
          <w:szCs w:val="32"/>
        </w:rPr>
        <w:t xml:space="preserve">Training and </w:t>
      </w:r>
      <w:r w:rsidR="00E5252D" w:rsidRPr="00B1319D">
        <w:rPr>
          <w:rFonts w:ascii="Californian FB" w:hAnsi="Californian FB"/>
          <w:sz w:val="32"/>
          <w:szCs w:val="32"/>
        </w:rPr>
        <w:t>Awareness</w:t>
      </w:r>
      <w:bookmarkEnd w:id="14"/>
    </w:p>
    <w:p w14:paraId="5A706E97" w14:textId="7537C992" w:rsidR="005D7788" w:rsidRPr="005D7788" w:rsidRDefault="005D7788" w:rsidP="005D7788">
      <w:pPr>
        <w:rPr>
          <w:rFonts w:asciiTheme="majorHAnsi" w:hAnsiTheme="majorHAnsi"/>
        </w:rPr>
      </w:pPr>
      <w:r w:rsidRPr="005D7788">
        <w:rPr>
          <w:rFonts w:asciiTheme="majorHAnsi" w:hAnsiTheme="majorHAnsi"/>
        </w:rPr>
        <w:t>Employee training is fundamental to cybersecurity. Many cyberattacks succeed due to human error, so it is important that employees understand the risks.</w:t>
      </w:r>
    </w:p>
    <w:p w14:paraId="50C88CA7" w14:textId="0942567E" w:rsidR="005D7788" w:rsidRPr="005D7788" w:rsidRDefault="005D7788" w:rsidP="005D7788">
      <w:pPr>
        <w:rPr>
          <w:rFonts w:asciiTheme="majorHAnsi" w:hAnsiTheme="majorHAnsi"/>
        </w:rPr>
      </w:pPr>
      <w:r w:rsidRPr="005D7788">
        <w:rPr>
          <w:rFonts w:asciiTheme="majorHAnsi" w:hAnsiTheme="majorHAnsi"/>
        </w:rPr>
        <w:t>HPA should offer regular training sessions to educate staff about cybersecurity threats such as phishing and malware. Hands-on exercises, such as phishing simulations, can help employees recognize real-world attacks.</w:t>
      </w:r>
    </w:p>
    <w:p w14:paraId="0B5B91B7" w14:textId="3B2D2944" w:rsidR="005D7788" w:rsidRPr="005D7788" w:rsidRDefault="005D7788" w:rsidP="005D7788">
      <w:pPr>
        <w:rPr>
          <w:rFonts w:asciiTheme="majorHAnsi" w:hAnsiTheme="majorHAnsi"/>
        </w:rPr>
      </w:pPr>
      <w:r w:rsidRPr="005D7788">
        <w:rPr>
          <w:rFonts w:asciiTheme="majorHAnsi" w:hAnsiTheme="majorHAnsi"/>
        </w:rPr>
        <w:t xml:space="preserve">Employees should also be trained on how to create strong passwords and securely manage sensitive data. Training should be ongoing to keep employees </w:t>
      </w:r>
      <w:r w:rsidR="00645A0A" w:rsidRPr="005D7788">
        <w:rPr>
          <w:rFonts w:asciiTheme="majorHAnsi" w:hAnsiTheme="majorHAnsi"/>
        </w:rPr>
        <w:t>up to date</w:t>
      </w:r>
      <w:r w:rsidRPr="005D7788">
        <w:rPr>
          <w:rFonts w:asciiTheme="majorHAnsi" w:hAnsiTheme="majorHAnsi"/>
        </w:rPr>
        <w:t xml:space="preserve"> on emerging threats.</w:t>
      </w:r>
    </w:p>
    <w:p w14:paraId="37901FA0" w14:textId="317652FE" w:rsidR="00EE7622" w:rsidRDefault="005D7788" w:rsidP="005D7788">
      <w:pPr>
        <w:rPr>
          <w:rFonts w:asciiTheme="majorHAnsi" w:hAnsiTheme="majorHAnsi"/>
        </w:rPr>
      </w:pPr>
      <w:r w:rsidRPr="005D7788">
        <w:rPr>
          <w:rFonts w:asciiTheme="majorHAnsi" w:hAnsiTheme="majorHAnsi"/>
        </w:rPr>
        <w:t xml:space="preserve">Training should also be tailored to different roles within the organization, as each employee faces distinct risks. A strong security awareness culture can significantly reduce insider threats and improve overall security </w:t>
      </w:r>
      <w:sdt>
        <w:sdtPr>
          <w:rPr>
            <w:rFonts w:asciiTheme="majorHAnsi" w:hAnsiTheme="majorHAnsi"/>
          </w:rPr>
          <w:id w:val="1011407097"/>
          <w:citation/>
        </w:sdtPr>
        <w:sdtEndPr/>
        <w:sdtContent>
          <w:r w:rsidR="00FF66D3">
            <w:rPr>
              <w:rFonts w:asciiTheme="majorHAnsi" w:hAnsiTheme="majorHAnsi"/>
            </w:rPr>
            <w:fldChar w:fldCharType="begin"/>
          </w:r>
          <w:r w:rsidR="00FF66D3">
            <w:rPr>
              <w:rFonts w:asciiTheme="majorHAnsi" w:hAnsiTheme="majorHAnsi"/>
            </w:rPr>
            <w:instrText xml:space="preserve"> CITATION Nat23 \l 2057 </w:instrText>
          </w:r>
          <w:r w:rsidR="00FF66D3">
            <w:rPr>
              <w:rFonts w:asciiTheme="majorHAnsi" w:hAnsiTheme="majorHAnsi"/>
            </w:rPr>
            <w:fldChar w:fldCharType="separate"/>
          </w:r>
          <w:r w:rsidR="001B5835" w:rsidRPr="001B5835">
            <w:rPr>
              <w:rFonts w:asciiTheme="majorHAnsi" w:hAnsiTheme="majorHAnsi"/>
              <w:noProof/>
            </w:rPr>
            <w:t>[4]</w:t>
          </w:r>
          <w:r w:rsidR="00FF66D3">
            <w:rPr>
              <w:rFonts w:asciiTheme="majorHAnsi" w:hAnsiTheme="majorHAnsi"/>
            </w:rPr>
            <w:fldChar w:fldCharType="end"/>
          </w:r>
        </w:sdtContent>
      </w:sdt>
      <w:r w:rsidRPr="005D7788">
        <w:rPr>
          <w:rFonts w:asciiTheme="majorHAnsi" w:hAnsiTheme="majorHAnsi"/>
        </w:rPr>
        <w:t>.</w:t>
      </w:r>
    </w:p>
    <w:p w14:paraId="67CB430D" w14:textId="2C269B4C" w:rsidR="00B12367" w:rsidRPr="00B12367" w:rsidRDefault="00B12367" w:rsidP="00B12367">
      <w:pPr>
        <w:rPr>
          <w:rFonts w:asciiTheme="majorHAnsi" w:hAnsiTheme="majorHAnsi"/>
        </w:rPr>
      </w:pPr>
      <w:r w:rsidRPr="00B12367">
        <w:rPr>
          <w:rFonts w:asciiTheme="majorHAnsi" w:hAnsiTheme="majorHAnsi"/>
        </w:rPr>
        <w:t>Additionally, training programs should include real-world examples and case studies to help employees understand the impact of cyber incidents. This makes training more engaging and practical.</w:t>
      </w:r>
    </w:p>
    <w:p w14:paraId="3003E407" w14:textId="29F5B6B7" w:rsidR="00B12367" w:rsidRPr="00B12367" w:rsidRDefault="00B12367" w:rsidP="00B12367">
      <w:pPr>
        <w:rPr>
          <w:rFonts w:asciiTheme="majorHAnsi" w:hAnsiTheme="majorHAnsi"/>
        </w:rPr>
      </w:pPr>
      <w:r w:rsidRPr="00B12367">
        <w:rPr>
          <w:rFonts w:asciiTheme="majorHAnsi" w:hAnsiTheme="majorHAnsi"/>
        </w:rPr>
        <w:t>Organizations should also encourage employees to report suspicious activity without fear of retaliation. Creating an open and supportive environment improves overall security awareness.</w:t>
      </w:r>
    </w:p>
    <w:p w14:paraId="4FCC8A9A" w14:textId="204F9DE9" w:rsidR="00B12367" w:rsidRPr="005D7788" w:rsidRDefault="00B12367" w:rsidP="00B12367">
      <w:pPr>
        <w:rPr>
          <w:rFonts w:asciiTheme="majorHAnsi" w:hAnsiTheme="majorHAnsi"/>
        </w:rPr>
      </w:pPr>
      <w:r w:rsidRPr="00B12367">
        <w:rPr>
          <w:rFonts w:asciiTheme="majorHAnsi" w:hAnsiTheme="majorHAnsi"/>
        </w:rPr>
        <w:t>Regular assessments can be used to measure employee understanding and identify areas that require additional training.</w:t>
      </w:r>
    </w:p>
    <w:p w14:paraId="75838515" w14:textId="02571944" w:rsidR="00E5252D" w:rsidRPr="00B1319D" w:rsidRDefault="00E5252D" w:rsidP="007703C3">
      <w:pPr>
        <w:pStyle w:val="Heading1"/>
        <w:rPr>
          <w:rFonts w:ascii="Californian FB" w:hAnsi="Californian FB"/>
          <w:sz w:val="32"/>
          <w:szCs w:val="32"/>
        </w:rPr>
      </w:pPr>
      <w:bookmarkStart w:id="15" w:name="_Toc227328257"/>
      <w:r w:rsidRPr="00B1319D">
        <w:rPr>
          <w:rFonts w:ascii="Californian FB" w:hAnsi="Californian FB"/>
          <w:sz w:val="32"/>
          <w:szCs w:val="32"/>
        </w:rPr>
        <w:t>7. Conclusion</w:t>
      </w:r>
      <w:bookmarkEnd w:id="15"/>
    </w:p>
    <w:p w14:paraId="06A1750E" w14:textId="25475635" w:rsidR="00614D73" w:rsidRPr="004A2A3C" w:rsidRDefault="00614D73" w:rsidP="00614D73">
      <w:pPr>
        <w:rPr>
          <w:rFonts w:asciiTheme="majorHAnsi" w:hAnsiTheme="majorHAnsi"/>
        </w:rPr>
      </w:pPr>
      <w:r w:rsidRPr="004A2A3C">
        <w:rPr>
          <w:rFonts w:asciiTheme="majorHAnsi" w:hAnsiTheme="majorHAnsi"/>
        </w:rPr>
        <w:t xml:space="preserve">In conclusion, cybersecurity is fundamental to protecting confidential health data at </w:t>
      </w:r>
      <w:proofErr w:type="spellStart"/>
      <w:r w:rsidRPr="004A2A3C">
        <w:rPr>
          <w:rFonts w:asciiTheme="majorHAnsi" w:hAnsiTheme="majorHAnsi"/>
        </w:rPr>
        <w:t>HealthPlus</w:t>
      </w:r>
      <w:proofErr w:type="spellEnd"/>
      <w:r w:rsidRPr="004A2A3C">
        <w:rPr>
          <w:rFonts w:asciiTheme="majorHAnsi" w:hAnsiTheme="majorHAnsi"/>
        </w:rPr>
        <w:t xml:space="preserve"> Analytics. The company faces a wide range of internal and external threats that can impact its operations and reputation.</w:t>
      </w:r>
    </w:p>
    <w:p w14:paraId="56D62921" w14:textId="0B34CB7D" w:rsidR="00614D73" w:rsidRPr="004A2A3C" w:rsidRDefault="00614D73" w:rsidP="00614D73">
      <w:pPr>
        <w:rPr>
          <w:rFonts w:asciiTheme="majorHAnsi" w:hAnsiTheme="majorHAnsi"/>
        </w:rPr>
      </w:pPr>
      <w:r w:rsidRPr="004A2A3C">
        <w:rPr>
          <w:rFonts w:asciiTheme="majorHAnsi" w:hAnsiTheme="majorHAnsi"/>
        </w:rPr>
        <w:t>By implementing robust security policies, practical mitigation measures, effective monitoring systems, and staff training, HPA can significantly improve its cybersecurity posture.</w:t>
      </w:r>
    </w:p>
    <w:p w14:paraId="296E48C8" w14:textId="70F4AA88" w:rsidR="00614D73" w:rsidRDefault="00614D73" w:rsidP="00614D73">
      <w:pPr>
        <w:rPr>
          <w:rFonts w:asciiTheme="majorHAnsi" w:hAnsiTheme="majorHAnsi"/>
        </w:rPr>
      </w:pPr>
      <w:r w:rsidRPr="004A2A3C">
        <w:rPr>
          <w:rFonts w:asciiTheme="majorHAnsi" w:hAnsiTheme="majorHAnsi"/>
        </w:rPr>
        <w:t>These actions will help protect data, reduce risks, and ensure regulatory compliance. Continuous improvement and adaptation to emerging threats are essential for long-term success.</w:t>
      </w:r>
    </w:p>
    <w:bookmarkStart w:id="16" w:name="_Toc227328258" w:displacedByCustomXml="next"/>
    <w:sdt>
      <w:sdtPr>
        <w:rPr>
          <w:rFonts w:asciiTheme="minorHAnsi" w:eastAsiaTheme="minorHAnsi" w:hAnsiTheme="minorHAnsi" w:cstheme="minorBidi"/>
          <w:color w:val="auto"/>
          <w:sz w:val="24"/>
          <w:szCs w:val="24"/>
        </w:rPr>
        <w:id w:val="616644937"/>
        <w:docPartObj>
          <w:docPartGallery w:val="Bibliographies"/>
          <w:docPartUnique/>
        </w:docPartObj>
      </w:sdtPr>
      <w:sdtEndPr/>
      <w:sdtContent>
        <w:p w14:paraId="727C15F6" w14:textId="17466EA2" w:rsidR="00E20CDD" w:rsidRPr="00B1319D" w:rsidRDefault="00E20CDD" w:rsidP="00E20CDD">
          <w:pPr>
            <w:pStyle w:val="Heading1"/>
            <w:rPr>
              <w:rFonts w:ascii="Californian FB" w:hAnsi="Californian FB"/>
              <w:sz w:val="32"/>
              <w:szCs w:val="32"/>
            </w:rPr>
          </w:pPr>
          <w:r>
            <w:rPr>
              <w:rFonts w:ascii="Californian FB" w:hAnsi="Californian FB"/>
              <w:sz w:val="32"/>
              <w:szCs w:val="32"/>
            </w:rPr>
            <w:t>8</w:t>
          </w:r>
          <w:r w:rsidRPr="00B1319D">
            <w:rPr>
              <w:rFonts w:ascii="Californian FB" w:hAnsi="Californian FB"/>
              <w:sz w:val="32"/>
              <w:szCs w:val="32"/>
            </w:rPr>
            <w:t>. References</w:t>
          </w:r>
          <w:bookmarkEnd w:id="16"/>
        </w:p>
        <w:sdt>
          <w:sdtPr>
            <w:id w:val="-573587230"/>
            <w:bibliography/>
          </w:sdtPr>
          <w:sdtEndPr/>
          <w:sdtContent>
            <w:p w14:paraId="3B3AC1C9" w14:textId="77777777" w:rsidR="001B5835" w:rsidRDefault="00E20CD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1B5835" w14:paraId="7E673920" w14:textId="77777777">
                <w:trPr>
                  <w:divId w:val="580414239"/>
                  <w:tblCellSpacing w:w="15" w:type="dxa"/>
                </w:trPr>
                <w:tc>
                  <w:tcPr>
                    <w:tcW w:w="50" w:type="pct"/>
                    <w:hideMark/>
                  </w:tcPr>
                  <w:p w14:paraId="38C7A11A" w14:textId="149F3C87" w:rsidR="001B5835" w:rsidRDefault="001B5835">
                    <w:pPr>
                      <w:pStyle w:val="Bibliography"/>
                      <w:rPr>
                        <w:noProof/>
                        <w:kern w:val="0"/>
                        <w14:ligatures w14:val="none"/>
                      </w:rPr>
                    </w:pPr>
                    <w:r>
                      <w:rPr>
                        <w:noProof/>
                      </w:rPr>
                      <w:t xml:space="preserve">[1] </w:t>
                    </w:r>
                  </w:p>
                </w:tc>
                <w:tc>
                  <w:tcPr>
                    <w:tcW w:w="0" w:type="auto"/>
                    <w:hideMark/>
                  </w:tcPr>
                  <w:p w14:paraId="5D7C2368" w14:textId="77777777" w:rsidR="001B5835" w:rsidRDefault="001B5835">
                    <w:pPr>
                      <w:pStyle w:val="Bibliography"/>
                      <w:rPr>
                        <w:noProof/>
                      </w:rPr>
                    </w:pPr>
                    <w:r>
                      <w:rPr>
                        <w:noProof/>
                      </w:rPr>
                      <w:t>ISO/IEC, “ISO/IEC 27001 Information Security Management Systems,” 2022.</w:t>
                    </w:r>
                  </w:p>
                </w:tc>
              </w:tr>
              <w:tr w:rsidR="001B5835" w14:paraId="5C0E76A8" w14:textId="77777777">
                <w:trPr>
                  <w:divId w:val="580414239"/>
                  <w:tblCellSpacing w:w="15" w:type="dxa"/>
                </w:trPr>
                <w:tc>
                  <w:tcPr>
                    <w:tcW w:w="50" w:type="pct"/>
                    <w:hideMark/>
                  </w:tcPr>
                  <w:p w14:paraId="5907737D" w14:textId="77777777" w:rsidR="001B5835" w:rsidRDefault="001B5835">
                    <w:pPr>
                      <w:pStyle w:val="Bibliography"/>
                      <w:rPr>
                        <w:noProof/>
                      </w:rPr>
                    </w:pPr>
                    <w:r>
                      <w:rPr>
                        <w:noProof/>
                      </w:rPr>
                      <w:t xml:space="preserve">[2] </w:t>
                    </w:r>
                  </w:p>
                </w:tc>
                <w:tc>
                  <w:tcPr>
                    <w:tcW w:w="0" w:type="auto"/>
                    <w:hideMark/>
                  </w:tcPr>
                  <w:p w14:paraId="0DE66DC9" w14:textId="77777777" w:rsidR="001B5835" w:rsidRDefault="001B5835">
                    <w:pPr>
                      <w:pStyle w:val="Bibliography"/>
                      <w:rPr>
                        <w:noProof/>
                      </w:rPr>
                    </w:pPr>
                    <w:r>
                      <w:rPr>
                        <w:noProof/>
                      </w:rPr>
                      <w:t>U. Government, “Guide to the UK General Data Protection Regulation (UK GDPR),” 2023.</w:t>
                    </w:r>
                  </w:p>
                </w:tc>
              </w:tr>
              <w:tr w:rsidR="001B5835" w14:paraId="5F883B4B" w14:textId="77777777">
                <w:trPr>
                  <w:divId w:val="580414239"/>
                  <w:tblCellSpacing w:w="15" w:type="dxa"/>
                </w:trPr>
                <w:tc>
                  <w:tcPr>
                    <w:tcW w:w="50" w:type="pct"/>
                    <w:hideMark/>
                  </w:tcPr>
                  <w:p w14:paraId="31EB058A" w14:textId="77777777" w:rsidR="001B5835" w:rsidRDefault="001B5835">
                    <w:pPr>
                      <w:pStyle w:val="Bibliography"/>
                      <w:rPr>
                        <w:noProof/>
                      </w:rPr>
                    </w:pPr>
                    <w:r>
                      <w:rPr>
                        <w:noProof/>
                      </w:rPr>
                      <w:t xml:space="preserve">[3] </w:t>
                    </w:r>
                  </w:p>
                </w:tc>
                <w:tc>
                  <w:tcPr>
                    <w:tcW w:w="0" w:type="auto"/>
                    <w:hideMark/>
                  </w:tcPr>
                  <w:p w14:paraId="2040584D" w14:textId="77777777" w:rsidR="001B5835" w:rsidRDefault="001B5835">
                    <w:pPr>
                      <w:pStyle w:val="Bibliography"/>
                      <w:rPr>
                        <w:noProof/>
                      </w:rPr>
                    </w:pPr>
                    <w:r>
                      <w:rPr>
                        <w:noProof/>
                      </w:rPr>
                      <w:t>Cisco, “Cybersecurity Best Practices,” 2024.</w:t>
                    </w:r>
                  </w:p>
                </w:tc>
              </w:tr>
              <w:tr w:rsidR="001B5835" w14:paraId="10A18EAA" w14:textId="77777777">
                <w:trPr>
                  <w:divId w:val="580414239"/>
                  <w:tblCellSpacing w:w="15" w:type="dxa"/>
                </w:trPr>
                <w:tc>
                  <w:tcPr>
                    <w:tcW w:w="50" w:type="pct"/>
                    <w:hideMark/>
                  </w:tcPr>
                  <w:p w14:paraId="0857845E" w14:textId="77777777" w:rsidR="001B5835" w:rsidRDefault="001B5835">
                    <w:pPr>
                      <w:pStyle w:val="Bibliography"/>
                      <w:rPr>
                        <w:noProof/>
                      </w:rPr>
                    </w:pPr>
                    <w:r>
                      <w:rPr>
                        <w:noProof/>
                      </w:rPr>
                      <w:t xml:space="preserve">[4] </w:t>
                    </w:r>
                  </w:p>
                </w:tc>
                <w:tc>
                  <w:tcPr>
                    <w:tcW w:w="0" w:type="auto"/>
                    <w:hideMark/>
                  </w:tcPr>
                  <w:p w14:paraId="207DAEA4" w14:textId="77777777" w:rsidR="001B5835" w:rsidRDefault="001B5835">
                    <w:pPr>
                      <w:pStyle w:val="Bibliography"/>
                      <w:rPr>
                        <w:noProof/>
                      </w:rPr>
                    </w:pPr>
                    <w:r>
                      <w:rPr>
                        <w:noProof/>
                      </w:rPr>
                      <w:t>N. C. S. Centre, “Cyber Security Training and Awareness,” 2023.</w:t>
                    </w:r>
                  </w:p>
                </w:tc>
              </w:tr>
            </w:tbl>
            <w:p w14:paraId="0EF64318" w14:textId="77777777" w:rsidR="001B5835" w:rsidRDefault="001B5835">
              <w:pPr>
                <w:divId w:val="580414239"/>
                <w:rPr>
                  <w:rFonts w:eastAsia="Times New Roman"/>
                  <w:noProof/>
                </w:rPr>
              </w:pPr>
            </w:p>
            <w:p w14:paraId="6863097A" w14:textId="7BF21491" w:rsidR="00E20CDD" w:rsidRDefault="00E20CDD">
              <w:r>
                <w:rPr>
                  <w:b/>
                  <w:bCs/>
                  <w:noProof/>
                </w:rPr>
                <w:fldChar w:fldCharType="end"/>
              </w:r>
            </w:p>
          </w:sdtContent>
        </w:sdt>
      </w:sdtContent>
    </w:sdt>
    <w:p w14:paraId="2232690B" w14:textId="77777777" w:rsidR="00E20CDD" w:rsidRPr="004A2A3C" w:rsidRDefault="00E20CDD" w:rsidP="00614D73">
      <w:pPr>
        <w:rPr>
          <w:rFonts w:asciiTheme="majorHAnsi" w:hAnsiTheme="majorHAnsi"/>
        </w:rPr>
      </w:pPr>
    </w:p>
    <w:p w14:paraId="21BB3AE8" w14:textId="3C1AD4AA" w:rsidR="00E5252D" w:rsidRPr="00B1319D" w:rsidRDefault="00E20CDD" w:rsidP="007703C3">
      <w:pPr>
        <w:pStyle w:val="Heading1"/>
        <w:rPr>
          <w:rFonts w:ascii="Californian FB" w:hAnsi="Californian FB"/>
          <w:sz w:val="32"/>
          <w:szCs w:val="32"/>
        </w:rPr>
      </w:pPr>
      <w:bookmarkStart w:id="17" w:name="_Toc227328259"/>
      <w:r>
        <w:rPr>
          <w:rFonts w:ascii="Californian FB" w:hAnsi="Californian FB"/>
          <w:sz w:val="32"/>
          <w:szCs w:val="32"/>
        </w:rPr>
        <w:t>9</w:t>
      </w:r>
      <w:r w:rsidR="00E5252D" w:rsidRPr="00B1319D">
        <w:rPr>
          <w:rFonts w:ascii="Californian FB" w:hAnsi="Californian FB"/>
          <w:sz w:val="32"/>
          <w:szCs w:val="32"/>
        </w:rPr>
        <w:t>. Appendix</w:t>
      </w:r>
      <w:bookmarkEnd w:id="17"/>
    </w:p>
    <w:p w14:paraId="3AFB2BB9" w14:textId="6C5D648F" w:rsidR="00E5252D" w:rsidRPr="0022251C" w:rsidRDefault="00E20CDD" w:rsidP="007703C3">
      <w:pPr>
        <w:pStyle w:val="Heading1"/>
        <w:rPr>
          <w:rFonts w:ascii="Californian FB" w:hAnsi="Californian FB"/>
          <w:sz w:val="32"/>
          <w:szCs w:val="32"/>
        </w:rPr>
      </w:pPr>
      <w:bookmarkStart w:id="18" w:name="_Toc227328260"/>
      <w:r>
        <w:rPr>
          <w:rFonts w:ascii="Californian FB" w:hAnsi="Californian FB"/>
          <w:sz w:val="32"/>
          <w:szCs w:val="32"/>
        </w:rPr>
        <w:t>9</w:t>
      </w:r>
      <w:r w:rsidR="00A70F90" w:rsidRPr="0022251C">
        <w:rPr>
          <w:rFonts w:ascii="Californian FB" w:hAnsi="Californian FB"/>
          <w:sz w:val="32"/>
          <w:szCs w:val="32"/>
        </w:rPr>
        <w:t>.1 Flowchart</w:t>
      </w:r>
      <w:bookmarkEnd w:id="18"/>
    </w:p>
    <w:p w14:paraId="1D1674F2" w14:textId="70ECF451" w:rsidR="00655816" w:rsidRDefault="00655816" w:rsidP="00655816">
      <w:pPr>
        <w:rPr>
          <w:noProof/>
        </w:rPr>
      </w:pPr>
      <w:r>
        <w:rPr>
          <w:noProof/>
        </w:rPr>
        <w:drawing>
          <wp:inline distT="0" distB="0" distL="0" distR="0" wp14:anchorId="52BD8C4B" wp14:editId="5FCC7A9E">
            <wp:extent cx="5486400" cy="3200400"/>
            <wp:effectExtent l="0" t="95250" r="0" b="0"/>
            <wp:docPr id="139816634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sdt>
        <w:sdtPr>
          <w:rPr>
            <w:noProof/>
          </w:rPr>
          <w:id w:val="-2115901425"/>
          <w:citation/>
        </w:sdtPr>
        <w:sdtContent>
          <w:r w:rsidR="00AF03C6">
            <w:rPr>
              <w:noProof/>
            </w:rPr>
            <w:fldChar w:fldCharType="begin"/>
          </w:r>
          <w:r w:rsidR="001B5835">
            <w:rPr>
              <w:noProof/>
            </w:rPr>
            <w:instrText xml:space="preserve">CITATION ISO22 \l 2057 </w:instrText>
          </w:r>
          <w:r w:rsidR="00AF03C6">
            <w:rPr>
              <w:noProof/>
            </w:rPr>
            <w:fldChar w:fldCharType="separate"/>
          </w:r>
          <w:r w:rsidR="001B5835">
            <w:rPr>
              <w:noProof/>
            </w:rPr>
            <w:t xml:space="preserve"> </w:t>
          </w:r>
          <w:r w:rsidR="001B5835" w:rsidRPr="001B5835">
            <w:rPr>
              <w:noProof/>
            </w:rPr>
            <w:t>[1]</w:t>
          </w:r>
          <w:r w:rsidR="00AF03C6">
            <w:rPr>
              <w:noProof/>
            </w:rPr>
            <w:fldChar w:fldCharType="end"/>
          </w:r>
        </w:sdtContent>
      </w:sdt>
    </w:p>
    <w:p w14:paraId="7229E4CA" w14:textId="73E4EFB1" w:rsidR="003B253C" w:rsidRPr="00592B53" w:rsidRDefault="00592B53" w:rsidP="00592B53">
      <w:pPr>
        <w:jc w:val="center"/>
        <w:rPr>
          <w:i/>
          <w:iCs/>
        </w:rPr>
      </w:pPr>
      <w:r w:rsidRPr="00592B53">
        <w:rPr>
          <w:i/>
          <w:iCs/>
        </w:rPr>
        <w:t>Figure 1: Incident Response Flowchart</w:t>
      </w:r>
    </w:p>
    <w:p w14:paraId="2B1C95B6" w14:textId="6267A47D" w:rsidR="003B253C" w:rsidRPr="005E28BF" w:rsidRDefault="003B253C" w:rsidP="004B443F">
      <w:pPr>
        <w:tabs>
          <w:tab w:val="left" w:pos="1581"/>
        </w:tabs>
        <w:jc w:val="center"/>
        <w:rPr>
          <w:rFonts w:asciiTheme="majorHAnsi" w:hAnsiTheme="majorHAnsi"/>
        </w:rPr>
      </w:pPr>
      <w:r w:rsidRPr="005E28BF">
        <w:rPr>
          <w:rFonts w:asciiTheme="majorHAnsi" w:hAnsiTheme="majorHAnsi"/>
        </w:rPr>
        <w:t>This diagram represents the incident response process based on stan</w:t>
      </w:r>
      <w:r w:rsidR="009A5B12" w:rsidRPr="005E28BF">
        <w:rPr>
          <w:rFonts w:asciiTheme="majorHAnsi" w:hAnsiTheme="majorHAnsi"/>
        </w:rPr>
        <w:t>dard cybersecurity frameworks such as NIST</w:t>
      </w:r>
      <w:r w:rsidR="0022251C" w:rsidRPr="005E28BF">
        <w:rPr>
          <w:rFonts w:asciiTheme="majorHAnsi" w:hAnsiTheme="majorHAnsi"/>
        </w:rPr>
        <w:t>.</w:t>
      </w:r>
    </w:p>
    <w:p w14:paraId="1B8FF0E7" w14:textId="3286D82A" w:rsidR="00A70F90" w:rsidRDefault="00E20CDD" w:rsidP="007703C3">
      <w:pPr>
        <w:pStyle w:val="Heading1"/>
        <w:rPr>
          <w:rFonts w:ascii="Californian FB" w:hAnsi="Californian FB"/>
          <w:sz w:val="32"/>
          <w:szCs w:val="32"/>
        </w:rPr>
      </w:pPr>
      <w:bookmarkStart w:id="19" w:name="_Toc227328261"/>
      <w:r>
        <w:rPr>
          <w:rFonts w:ascii="Californian FB" w:hAnsi="Californian FB"/>
          <w:sz w:val="32"/>
          <w:szCs w:val="32"/>
        </w:rPr>
        <w:t>9</w:t>
      </w:r>
      <w:r w:rsidR="007703C3" w:rsidRPr="00B1319D">
        <w:rPr>
          <w:rFonts w:ascii="Californian FB" w:hAnsi="Californian FB"/>
          <w:sz w:val="32"/>
          <w:szCs w:val="32"/>
        </w:rPr>
        <w:t>.2 PowerPoint Presentation</w:t>
      </w:r>
      <w:bookmarkEnd w:id="19"/>
    </w:p>
    <w:p w14:paraId="49688D08" w14:textId="0CA578A3" w:rsidR="00F00F30" w:rsidRDefault="00111FFB" w:rsidP="00F00F30">
      <w:r>
        <w:rPr>
          <w:noProof/>
        </w:rPr>
        <w:drawing>
          <wp:inline distT="0" distB="0" distL="0" distR="0" wp14:anchorId="4311A9DB" wp14:editId="4C521F5D">
            <wp:extent cx="5731510" cy="3221355"/>
            <wp:effectExtent l="152400" t="152400" r="364490" b="360045"/>
            <wp:docPr id="889034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034617" name=""/>
                    <pic:cNvPicPr/>
                  </pic:nvPicPr>
                  <pic:blipFill>
                    <a:blip r:embed="rId16"/>
                    <a:stretch>
                      <a:fillRect/>
                    </a:stretch>
                  </pic:blipFill>
                  <pic:spPr>
                    <a:xfrm>
                      <a:off x="0" y="0"/>
                      <a:ext cx="5731510" cy="3221355"/>
                    </a:xfrm>
                    <a:prstGeom prst="rect">
                      <a:avLst/>
                    </a:prstGeom>
                    <a:ln>
                      <a:noFill/>
                    </a:ln>
                    <a:effectLst>
                      <a:outerShdw blurRad="292100" dist="139700" dir="2700000" algn="tl" rotWithShape="0">
                        <a:srgbClr val="333333">
                          <a:alpha val="65000"/>
                        </a:srgbClr>
                      </a:outerShdw>
                    </a:effectLst>
                  </pic:spPr>
                </pic:pic>
              </a:graphicData>
            </a:graphic>
          </wp:inline>
        </w:drawing>
      </w:r>
    </w:p>
    <w:p w14:paraId="1B6D2C36" w14:textId="2983F1C3" w:rsidR="00111FFB" w:rsidRDefault="001C73C5" w:rsidP="00F00F30">
      <w:r>
        <w:rPr>
          <w:noProof/>
        </w:rPr>
        <w:drawing>
          <wp:inline distT="0" distB="0" distL="0" distR="0" wp14:anchorId="71DAAA6B" wp14:editId="1690D7E7">
            <wp:extent cx="5731510" cy="3248660"/>
            <wp:effectExtent l="152400" t="152400" r="364490" b="370840"/>
            <wp:docPr id="646156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156787" name=""/>
                    <pic:cNvPicPr/>
                  </pic:nvPicPr>
                  <pic:blipFill>
                    <a:blip r:embed="rId17"/>
                    <a:stretch>
                      <a:fillRect/>
                    </a:stretch>
                  </pic:blipFill>
                  <pic:spPr>
                    <a:xfrm>
                      <a:off x="0" y="0"/>
                      <a:ext cx="5731510" cy="3248660"/>
                    </a:xfrm>
                    <a:prstGeom prst="rect">
                      <a:avLst/>
                    </a:prstGeom>
                    <a:ln>
                      <a:noFill/>
                    </a:ln>
                    <a:effectLst>
                      <a:outerShdw blurRad="292100" dist="139700" dir="2700000" algn="tl" rotWithShape="0">
                        <a:srgbClr val="333333">
                          <a:alpha val="65000"/>
                        </a:srgbClr>
                      </a:outerShdw>
                    </a:effectLst>
                  </pic:spPr>
                </pic:pic>
              </a:graphicData>
            </a:graphic>
          </wp:inline>
        </w:drawing>
      </w:r>
    </w:p>
    <w:p w14:paraId="6B60D8F0" w14:textId="42186707" w:rsidR="00B662E7" w:rsidRDefault="002356E4" w:rsidP="00F00F30">
      <w:r>
        <w:rPr>
          <w:noProof/>
        </w:rPr>
        <w:drawing>
          <wp:inline distT="0" distB="0" distL="0" distR="0" wp14:anchorId="3D353DAD" wp14:editId="153DC633">
            <wp:extent cx="5731510" cy="3260090"/>
            <wp:effectExtent l="152400" t="152400" r="364490" b="359410"/>
            <wp:docPr id="1227009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009911" name=""/>
                    <pic:cNvPicPr/>
                  </pic:nvPicPr>
                  <pic:blipFill>
                    <a:blip r:embed="rId18"/>
                    <a:stretch>
                      <a:fillRect/>
                    </a:stretch>
                  </pic:blipFill>
                  <pic:spPr>
                    <a:xfrm>
                      <a:off x="0" y="0"/>
                      <a:ext cx="5731510" cy="3260090"/>
                    </a:xfrm>
                    <a:prstGeom prst="rect">
                      <a:avLst/>
                    </a:prstGeom>
                    <a:ln>
                      <a:noFill/>
                    </a:ln>
                    <a:effectLst>
                      <a:outerShdw blurRad="292100" dist="139700" dir="2700000" algn="tl" rotWithShape="0">
                        <a:srgbClr val="333333">
                          <a:alpha val="65000"/>
                        </a:srgbClr>
                      </a:outerShdw>
                    </a:effectLst>
                  </pic:spPr>
                </pic:pic>
              </a:graphicData>
            </a:graphic>
          </wp:inline>
        </w:drawing>
      </w:r>
    </w:p>
    <w:p w14:paraId="3F17FCB5" w14:textId="4D079E75" w:rsidR="002356E4" w:rsidRDefault="003415B4" w:rsidP="00F00F30">
      <w:r>
        <w:rPr>
          <w:noProof/>
        </w:rPr>
        <w:drawing>
          <wp:inline distT="0" distB="0" distL="0" distR="0" wp14:anchorId="4C9016A9" wp14:editId="7D9A1342">
            <wp:extent cx="5731510" cy="3255645"/>
            <wp:effectExtent l="152400" t="152400" r="364490" b="363855"/>
            <wp:docPr id="1071326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326317" name=""/>
                    <pic:cNvPicPr/>
                  </pic:nvPicPr>
                  <pic:blipFill>
                    <a:blip r:embed="rId19"/>
                    <a:stretch>
                      <a:fillRect/>
                    </a:stretch>
                  </pic:blipFill>
                  <pic:spPr>
                    <a:xfrm>
                      <a:off x="0" y="0"/>
                      <a:ext cx="5731510" cy="3255645"/>
                    </a:xfrm>
                    <a:prstGeom prst="rect">
                      <a:avLst/>
                    </a:prstGeom>
                    <a:ln>
                      <a:noFill/>
                    </a:ln>
                    <a:effectLst>
                      <a:outerShdw blurRad="292100" dist="139700" dir="2700000" algn="tl" rotWithShape="0">
                        <a:srgbClr val="333333">
                          <a:alpha val="65000"/>
                        </a:srgbClr>
                      </a:outerShdw>
                    </a:effectLst>
                  </pic:spPr>
                </pic:pic>
              </a:graphicData>
            </a:graphic>
          </wp:inline>
        </w:drawing>
      </w:r>
    </w:p>
    <w:p w14:paraId="1F8FAF5E" w14:textId="44237AA2" w:rsidR="00B6238E" w:rsidRDefault="00852BB7" w:rsidP="00F00F30">
      <w:r>
        <w:rPr>
          <w:noProof/>
        </w:rPr>
        <w:drawing>
          <wp:inline distT="0" distB="0" distL="0" distR="0" wp14:anchorId="20248337" wp14:editId="480A14D9">
            <wp:extent cx="5731510" cy="3221355"/>
            <wp:effectExtent l="152400" t="152400" r="364490" b="360045"/>
            <wp:docPr id="1328334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334967" name=""/>
                    <pic:cNvPicPr/>
                  </pic:nvPicPr>
                  <pic:blipFill>
                    <a:blip r:embed="rId20"/>
                    <a:stretch>
                      <a:fillRect/>
                    </a:stretch>
                  </pic:blipFill>
                  <pic:spPr>
                    <a:xfrm>
                      <a:off x="0" y="0"/>
                      <a:ext cx="5731510" cy="3221355"/>
                    </a:xfrm>
                    <a:prstGeom prst="rect">
                      <a:avLst/>
                    </a:prstGeom>
                    <a:ln>
                      <a:noFill/>
                    </a:ln>
                    <a:effectLst>
                      <a:outerShdw blurRad="292100" dist="139700" dir="2700000" algn="tl" rotWithShape="0">
                        <a:srgbClr val="333333">
                          <a:alpha val="65000"/>
                        </a:srgbClr>
                      </a:outerShdw>
                    </a:effectLst>
                  </pic:spPr>
                </pic:pic>
              </a:graphicData>
            </a:graphic>
          </wp:inline>
        </w:drawing>
      </w:r>
    </w:p>
    <w:p w14:paraId="06CE1ED9" w14:textId="7E9D633C" w:rsidR="00852BB7" w:rsidRDefault="005F5A8C" w:rsidP="00F00F30">
      <w:r>
        <w:rPr>
          <w:noProof/>
        </w:rPr>
        <w:drawing>
          <wp:inline distT="0" distB="0" distL="0" distR="0" wp14:anchorId="76F4FAFE" wp14:editId="0D4F7E03">
            <wp:extent cx="5731510" cy="3239770"/>
            <wp:effectExtent l="152400" t="152400" r="364490" b="360680"/>
            <wp:docPr id="1829726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726385" name=""/>
                    <pic:cNvPicPr/>
                  </pic:nvPicPr>
                  <pic:blipFill>
                    <a:blip r:embed="rId21"/>
                    <a:stretch>
                      <a:fillRect/>
                    </a:stretch>
                  </pic:blipFill>
                  <pic:spPr>
                    <a:xfrm>
                      <a:off x="0" y="0"/>
                      <a:ext cx="5731510" cy="3239770"/>
                    </a:xfrm>
                    <a:prstGeom prst="rect">
                      <a:avLst/>
                    </a:prstGeom>
                    <a:ln>
                      <a:noFill/>
                    </a:ln>
                    <a:effectLst>
                      <a:outerShdw blurRad="292100" dist="139700" dir="2700000" algn="tl" rotWithShape="0">
                        <a:srgbClr val="333333">
                          <a:alpha val="65000"/>
                        </a:srgbClr>
                      </a:outerShdw>
                    </a:effectLst>
                  </pic:spPr>
                </pic:pic>
              </a:graphicData>
            </a:graphic>
          </wp:inline>
        </w:drawing>
      </w:r>
    </w:p>
    <w:p w14:paraId="1E3B9601" w14:textId="1001953F" w:rsidR="005F5A8C" w:rsidRDefault="00B52704" w:rsidP="00F00F30">
      <w:r>
        <w:rPr>
          <w:noProof/>
        </w:rPr>
        <w:drawing>
          <wp:inline distT="0" distB="0" distL="0" distR="0" wp14:anchorId="27C7461D" wp14:editId="7F26D805">
            <wp:extent cx="5731510" cy="3242945"/>
            <wp:effectExtent l="152400" t="152400" r="364490" b="357505"/>
            <wp:docPr id="1001734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734121" name=""/>
                    <pic:cNvPicPr/>
                  </pic:nvPicPr>
                  <pic:blipFill>
                    <a:blip r:embed="rId22"/>
                    <a:stretch>
                      <a:fillRect/>
                    </a:stretch>
                  </pic:blipFill>
                  <pic:spPr>
                    <a:xfrm>
                      <a:off x="0" y="0"/>
                      <a:ext cx="5731510" cy="3242945"/>
                    </a:xfrm>
                    <a:prstGeom prst="rect">
                      <a:avLst/>
                    </a:prstGeom>
                    <a:ln>
                      <a:noFill/>
                    </a:ln>
                    <a:effectLst>
                      <a:outerShdw blurRad="292100" dist="139700" dir="2700000" algn="tl" rotWithShape="0">
                        <a:srgbClr val="333333">
                          <a:alpha val="65000"/>
                        </a:srgbClr>
                      </a:outerShdw>
                    </a:effectLst>
                  </pic:spPr>
                </pic:pic>
              </a:graphicData>
            </a:graphic>
          </wp:inline>
        </w:drawing>
      </w:r>
    </w:p>
    <w:p w14:paraId="0E931F15" w14:textId="788ADD1D" w:rsidR="00B52704" w:rsidRDefault="00A4787C" w:rsidP="00F00F30">
      <w:r>
        <w:rPr>
          <w:noProof/>
        </w:rPr>
        <w:drawing>
          <wp:inline distT="0" distB="0" distL="0" distR="0" wp14:anchorId="0251947B" wp14:editId="5E3841DC">
            <wp:extent cx="5731510" cy="3268980"/>
            <wp:effectExtent l="152400" t="152400" r="364490" b="369570"/>
            <wp:docPr id="444201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201641" name=""/>
                    <pic:cNvPicPr/>
                  </pic:nvPicPr>
                  <pic:blipFill>
                    <a:blip r:embed="rId23"/>
                    <a:stretch>
                      <a:fillRect/>
                    </a:stretch>
                  </pic:blipFill>
                  <pic:spPr>
                    <a:xfrm>
                      <a:off x="0" y="0"/>
                      <a:ext cx="5731510" cy="3268980"/>
                    </a:xfrm>
                    <a:prstGeom prst="rect">
                      <a:avLst/>
                    </a:prstGeom>
                    <a:ln>
                      <a:noFill/>
                    </a:ln>
                    <a:effectLst>
                      <a:outerShdw blurRad="292100" dist="139700" dir="2700000" algn="tl" rotWithShape="0">
                        <a:srgbClr val="333333">
                          <a:alpha val="65000"/>
                        </a:srgbClr>
                      </a:outerShdw>
                    </a:effectLst>
                  </pic:spPr>
                </pic:pic>
              </a:graphicData>
            </a:graphic>
          </wp:inline>
        </w:drawing>
      </w:r>
    </w:p>
    <w:p w14:paraId="61BB0584" w14:textId="0DBFB154" w:rsidR="004D1B72" w:rsidRDefault="00794695" w:rsidP="00F00F30">
      <w:r>
        <w:rPr>
          <w:noProof/>
        </w:rPr>
        <w:drawing>
          <wp:inline distT="0" distB="0" distL="0" distR="0" wp14:anchorId="0E029E1D" wp14:editId="5B4F24EA">
            <wp:extent cx="5731510" cy="3195955"/>
            <wp:effectExtent l="152400" t="152400" r="364490" b="366395"/>
            <wp:docPr id="775779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779149" name=""/>
                    <pic:cNvPicPr/>
                  </pic:nvPicPr>
                  <pic:blipFill>
                    <a:blip r:embed="rId24"/>
                    <a:stretch>
                      <a:fillRect/>
                    </a:stretch>
                  </pic:blipFill>
                  <pic:spPr>
                    <a:xfrm>
                      <a:off x="0" y="0"/>
                      <a:ext cx="5731510" cy="3195955"/>
                    </a:xfrm>
                    <a:prstGeom prst="rect">
                      <a:avLst/>
                    </a:prstGeom>
                    <a:ln>
                      <a:noFill/>
                    </a:ln>
                    <a:effectLst>
                      <a:outerShdw blurRad="292100" dist="139700" dir="2700000" algn="tl" rotWithShape="0">
                        <a:srgbClr val="333333">
                          <a:alpha val="65000"/>
                        </a:srgbClr>
                      </a:outerShdw>
                    </a:effectLst>
                  </pic:spPr>
                </pic:pic>
              </a:graphicData>
            </a:graphic>
          </wp:inline>
        </w:drawing>
      </w:r>
    </w:p>
    <w:p w14:paraId="2703BFDD" w14:textId="5DE97902" w:rsidR="00794695" w:rsidRPr="00F00F30" w:rsidRDefault="00BE6558" w:rsidP="00F00F30">
      <w:r>
        <w:rPr>
          <w:noProof/>
        </w:rPr>
        <w:drawing>
          <wp:inline distT="0" distB="0" distL="0" distR="0" wp14:anchorId="60D4344A" wp14:editId="1B0D494F">
            <wp:extent cx="5731510" cy="3267710"/>
            <wp:effectExtent l="152400" t="152400" r="364490" b="370840"/>
            <wp:docPr id="885483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483138" name=""/>
                    <pic:cNvPicPr/>
                  </pic:nvPicPr>
                  <pic:blipFill>
                    <a:blip r:embed="rId25"/>
                    <a:stretch>
                      <a:fillRect/>
                    </a:stretch>
                  </pic:blipFill>
                  <pic:spPr>
                    <a:xfrm>
                      <a:off x="0" y="0"/>
                      <a:ext cx="5731510" cy="3267710"/>
                    </a:xfrm>
                    <a:prstGeom prst="rect">
                      <a:avLst/>
                    </a:prstGeom>
                    <a:ln>
                      <a:noFill/>
                    </a:ln>
                    <a:effectLst>
                      <a:outerShdw blurRad="292100" dist="139700" dir="2700000" algn="tl" rotWithShape="0">
                        <a:srgbClr val="333333">
                          <a:alpha val="65000"/>
                        </a:srgbClr>
                      </a:outerShdw>
                    </a:effectLst>
                  </pic:spPr>
                </pic:pic>
              </a:graphicData>
            </a:graphic>
          </wp:inline>
        </w:drawing>
      </w:r>
    </w:p>
    <w:sectPr w:rsidR="00794695" w:rsidRPr="00F00F30" w:rsidSect="003F355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89098" w14:textId="77777777" w:rsidR="00F6608F" w:rsidRDefault="00F6608F" w:rsidP="00F23D74">
      <w:pPr>
        <w:spacing w:after="0" w:line="240" w:lineRule="auto"/>
      </w:pPr>
      <w:r>
        <w:separator/>
      </w:r>
    </w:p>
  </w:endnote>
  <w:endnote w:type="continuationSeparator" w:id="0">
    <w:p w14:paraId="7D678549" w14:textId="77777777" w:rsidR="00F6608F" w:rsidRDefault="00F6608F" w:rsidP="00F23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Californian FB">
    <w:altName w:val="Cambria"/>
    <w:charset w:val="00"/>
    <w:family w:val="roman"/>
    <w:pitch w:val="variable"/>
    <w:sig w:usb0="00000003" w:usb1="00000000" w:usb2="00000000" w:usb3="00000000" w:csb0="00000001" w:csb1="00000000"/>
  </w:font>
  <w:font w:name="Bodoni MT Condensed">
    <w:altName w:val="Cambria"/>
    <w:charset w:val="00"/>
    <w:family w:val="roman"/>
    <w:pitch w:val="variable"/>
    <w:sig w:usb0="00000003" w:usb1="00000000" w:usb2="00000000" w:usb3="00000000" w:csb0="00000001" w:csb1="00000000"/>
  </w:font>
  <w:font w:name="Aptos Serif">
    <w:charset w:val="00"/>
    <w:family w:val="roman"/>
    <w:pitch w:val="variable"/>
    <w:sig w:usb0="A11526FF" w:usb1="C000ECFB" w:usb2="00010000" w:usb3="00000000" w:csb0="0000019F" w:csb1="00000000"/>
  </w:font>
  <w:font w:name="ADLaM Display">
    <w:charset w:val="00"/>
    <w:family w:val="auto"/>
    <w:pitch w:val="variable"/>
    <w:sig w:usb0="8000206F" w:usb1="4200004A"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475A8" w14:textId="77777777" w:rsidR="00F6608F" w:rsidRDefault="00F6608F" w:rsidP="00F23D74">
      <w:pPr>
        <w:spacing w:after="0" w:line="240" w:lineRule="auto"/>
      </w:pPr>
      <w:r>
        <w:separator/>
      </w:r>
    </w:p>
  </w:footnote>
  <w:footnote w:type="continuationSeparator" w:id="0">
    <w:p w14:paraId="5DF4213B" w14:textId="77777777" w:rsidR="00F6608F" w:rsidRDefault="00F6608F" w:rsidP="00F23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113"/>
    <w:rsid w:val="000079B5"/>
    <w:rsid w:val="0003095E"/>
    <w:rsid w:val="000341B1"/>
    <w:rsid w:val="00044EBD"/>
    <w:rsid w:val="00077A19"/>
    <w:rsid w:val="000A538A"/>
    <w:rsid w:val="000C4DE9"/>
    <w:rsid w:val="000E4C5B"/>
    <w:rsid w:val="00111FFB"/>
    <w:rsid w:val="001325D1"/>
    <w:rsid w:val="0013799D"/>
    <w:rsid w:val="00141A46"/>
    <w:rsid w:val="0014336F"/>
    <w:rsid w:val="00170795"/>
    <w:rsid w:val="001A3FA5"/>
    <w:rsid w:val="001B5835"/>
    <w:rsid w:val="001C73C5"/>
    <w:rsid w:val="001D79AE"/>
    <w:rsid w:val="001F63C0"/>
    <w:rsid w:val="0020476D"/>
    <w:rsid w:val="002049D4"/>
    <w:rsid w:val="00217EE1"/>
    <w:rsid w:val="0022251C"/>
    <w:rsid w:val="002356E4"/>
    <w:rsid w:val="002A5CB1"/>
    <w:rsid w:val="002B258A"/>
    <w:rsid w:val="002F62C4"/>
    <w:rsid w:val="003415B4"/>
    <w:rsid w:val="00370FDE"/>
    <w:rsid w:val="00372295"/>
    <w:rsid w:val="00383DE0"/>
    <w:rsid w:val="00395EA6"/>
    <w:rsid w:val="003A33E9"/>
    <w:rsid w:val="003B253C"/>
    <w:rsid w:val="003B5CA5"/>
    <w:rsid w:val="003F355B"/>
    <w:rsid w:val="003F5866"/>
    <w:rsid w:val="00417A2C"/>
    <w:rsid w:val="00430D85"/>
    <w:rsid w:val="00437E66"/>
    <w:rsid w:val="00445038"/>
    <w:rsid w:val="004666F6"/>
    <w:rsid w:val="00474643"/>
    <w:rsid w:val="00480193"/>
    <w:rsid w:val="004A2A3C"/>
    <w:rsid w:val="004A5D15"/>
    <w:rsid w:val="004A5D54"/>
    <w:rsid w:val="004B443F"/>
    <w:rsid w:val="004C1147"/>
    <w:rsid w:val="004D0F36"/>
    <w:rsid w:val="004D1B72"/>
    <w:rsid w:val="004E5381"/>
    <w:rsid w:val="00503BA2"/>
    <w:rsid w:val="00513D1A"/>
    <w:rsid w:val="00535D6F"/>
    <w:rsid w:val="00537923"/>
    <w:rsid w:val="00540113"/>
    <w:rsid w:val="005550A4"/>
    <w:rsid w:val="005716F6"/>
    <w:rsid w:val="00592B53"/>
    <w:rsid w:val="005A1D66"/>
    <w:rsid w:val="005D14DE"/>
    <w:rsid w:val="005D7788"/>
    <w:rsid w:val="005E28BF"/>
    <w:rsid w:val="005E4EB6"/>
    <w:rsid w:val="005F5A8C"/>
    <w:rsid w:val="00614CD9"/>
    <w:rsid w:val="00614D73"/>
    <w:rsid w:val="006345A9"/>
    <w:rsid w:val="00640D96"/>
    <w:rsid w:val="00645A0A"/>
    <w:rsid w:val="00655816"/>
    <w:rsid w:val="006715F7"/>
    <w:rsid w:val="00681560"/>
    <w:rsid w:val="006A03D1"/>
    <w:rsid w:val="006C10F3"/>
    <w:rsid w:val="006E3FA7"/>
    <w:rsid w:val="00715502"/>
    <w:rsid w:val="007376D0"/>
    <w:rsid w:val="007703C3"/>
    <w:rsid w:val="00790BAE"/>
    <w:rsid w:val="00794695"/>
    <w:rsid w:val="007F0E03"/>
    <w:rsid w:val="00813FA1"/>
    <w:rsid w:val="008221AD"/>
    <w:rsid w:val="008454AC"/>
    <w:rsid w:val="00852BB7"/>
    <w:rsid w:val="008E6737"/>
    <w:rsid w:val="00911CEB"/>
    <w:rsid w:val="0092039E"/>
    <w:rsid w:val="0094597D"/>
    <w:rsid w:val="00965B56"/>
    <w:rsid w:val="0098025F"/>
    <w:rsid w:val="009A5B12"/>
    <w:rsid w:val="009B6C53"/>
    <w:rsid w:val="009F2919"/>
    <w:rsid w:val="009F7736"/>
    <w:rsid w:val="00A305BF"/>
    <w:rsid w:val="00A4787C"/>
    <w:rsid w:val="00A5099C"/>
    <w:rsid w:val="00A57F98"/>
    <w:rsid w:val="00A70F90"/>
    <w:rsid w:val="00A74180"/>
    <w:rsid w:val="00AE29E0"/>
    <w:rsid w:val="00AE6BA8"/>
    <w:rsid w:val="00AF03C6"/>
    <w:rsid w:val="00AF1F15"/>
    <w:rsid w:val="00B120D0"/>
    <w:rsid w:val="00B12367"/>
    <w:rsid w:val="00B1319D"/>
    <w:rsid w:val="00B20F7C"/>
    <w:rsid w:val="00B27100"/>
    <w:rsid w:val="00B304F8"/>
    <w:rsid w:val="00B52704"/>
    <w:rsid w:val="00B6238E"/>
    <w:rsid w:val="00B662E7"/>
    <w:rsid w:val="00B929CD"/>
    <w:rsid w:val="00BE2062"/>
    <w:rsid w:val="00BE650F"/>
    <w:rsid w:val="00BE6558"/>
    <w:rsid w:val="00C357B0"/>
    <w:rsid w:val="00C37CE1"/>
    <w:rsid w:val="00C85CE0"/>
    <w:rsid w:val="00CC044F"/>
    <w:rsid w:val="00CC3BC1"/>
    <w:rsid w:val="00CF7416"/>
    <w:rsid w:val="00D02B9A"/>
    <w:rsid w:val="00D43804"/>
    <w:rsid w:val="00D62AB0"/>
    <w:rsid w:val="00D644C6"/>
    <w:rsid w:val="00D65B2F"/>
    <w:rsid w:val="00D9189C"/>
    <w:rsid w:val="00DA234B"/>
    <w:rsid w:val="00DA3CF3"/>
    <w:rsid w:val="00DD25B1"/>
    <w:rsid w:val="00DD5EB4"/>
    <w:rsid w:val="00E151B4"/>
    <w:rsid w:val="00E20CDD"/>
    <w:rsid w:val="00E2170B"/>
    <w:rsid w:val="00E5252D"/>
    <w:rsid w:val="00E562E1"/>
    <w:rsid w:val="00E77221"/>
    <w:rsid w:val="00E87B1C"/>
    <w:rsid w:val="00EE0E1D"/>
    <w:rsid w:val="00EE49AA"/>
    <w:rsid w:val="00EE7622"/>
    <w:rsid w:val="00F00F30"/>
    <w:rsid w:val="00F10624"/>
    <w:rsid w:val="00F23D74"/>
    <w:rsid w:val="00F6608F"/>
    <w:rsid w:val="00FB41FB"/>
    <w:rsid w:val="00FC283F"/>
    <w:rsid w:val="00FC313C"/>
    <w:rsid w:val="00FF6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08AD6"/>
  <w15:chartTrackingRefBased/>
  <w15:docId w15:val="{79934E0D-161A-4EE8-87BD-409D85450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6F6"/>
  </w:style>
  <w:style w:type="paragraph" w:styleId="Heading1">
    <w:name w:val="heading 1"/>
    <w:basedOn w:val="Normal"/>
    <w:next w:val="Normal"/>
    <w:link w:val="Heading1Char"/>
    <w:uiPriority w:val="9"/>
    <w:qFormat/>
    <w:rsid w:val="00540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0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01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01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01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01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1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1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1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1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01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01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01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01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0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113"/>
    <w:rPr>
      <w:rFonts w:eastAsiaTheme="majorEastAsia" w:cstheme="majorBidi"/>
      <w:color w:val="272727" w:themeColor="text1" w:themeTint="D8"/>
    </w:rPr>
  </w:style>
  <w:style w:type="paragraph" w:styleId="Title">
    <w:name w:val="Title"/>
    <w:basedOn w:val="Normal"/>
    <w:next w:val="Normal"/>
    <w:link w:val="TitleChar"/>
    <w:uiPriority w:val="10"/>
    <w:qFormat/>
    <w:rsid w:val="00540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113"/>
    <w:pPr>
      <w:spacing w:before="160"/>
      <w:jc w:val="center"/>
    </w:pPr>
    <w:rPr>
      <w:i/>
      <w:iCs/>
      <w:color w:val="404040" w:themeColor="text1" w:themeTint="BF"/>
    </w:rPr>
  </w:style>
  <w:style w:type="character" w:customStyle="1" w:styleId="QuoteChar">
    <w:name w:val="Quote Char"/>
    <w:basedOn w:val="DefaultParagraphFont"/>
    <w:link w:val="Quote"/>
    <w:uiPriority w:val="29"/>
    <w:rsid w:val="00540113"/>
    <w:rPr>
      <w:i/>
      <w:iCs/>
      <w:color w:val="404040" w:themeColor="text1" w:themeTint="BF"/>
    </w:rPr>
  </w:style>
  <w:style w:type="paragraph" w:styleId="ListParagraph">
    <w:name w:val="List Paragraph"/>
    <w:basedOn w:val="Normal"/>
    <w:uiPriority w:val="34"/>
    <w:qFormat/>
    <w:rsid w:val="00540113"/>
    <w:pPr>
      <w:ind w:left="720"/>
      <w:contextualSpacing/>
    </w:pPr>
  </w:style>
  <w:style w:type="character" w:styleId="IntenseEmphasis">
    <w:name w:val="Intense Emphasis"/>
    <w:basedOn w:val="DefaultParagraphFont"/>
    <w:uiPriority w:val="21"/>
    <w:qFormat/>
    <w:rsid w:val="00540113"/>
    <w:rPr>
      <w:i/>
      <w:iCs/>
      <w:color w:val="0F4761" w:themeColor="accent1" w:themeShade="BF"/>
    </w:rPr>
  </w:style>
  <w:style w:type="paragraph" w:styleId="IntenseQuote">
    <w:name w:val="Intense Quote"/>
    <w:basedOn w:val="Normal"/>
    <w:next w:val="Normal"/>
    <w:link w:val="IntenseQuoteChar"/>
    <w:uiPriority w:val="30"/>
    <w:qFormat/>
    <w:rsid w:val="00540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0113"/>
    <w:rPr>
      <w:i/>
      <w:iCs/>
      <w:color w:val="0F4761" w:themeColor="accent1" w:themeShade="BF"/>
    </w:rPr>
  </w:style>
  <w:style w:type="character" w:styleId="IntenseReference">
    <w:name w:val="Intense Reference"/>
    <w:basedOn w:val="DefaultParagraphFont"/>
    <w:uiPriority w:val="32"/>
    <w:qFormat/>
    <w:rsid w:val="00540113"/>
    <w:rPr>
      <w:b/>
      <w:bCs/>
      <w:smallCaps/>
      <w:color w:val="0F4761" w:themeColor="accent1" w:themeShade="BF"/>
      <w:spacing w:val="5"/>
    </w:rPr>
  </w:style>
  <w:style w:type="paragraph" w:styleId="NoSpacing">
    <w:name w:val="No Spacing"/>
    <w:link w:val="NoSpacingChar"/>
    <w:uiPriority w:val="1"/>
    <w:qFormat/>
    <w:rsid w:val="006A03D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A03D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E29E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15502"/>
    <w:pPr>
      <w:spacing w:after="100"/>
    </w:pPr>
  </w:style>
  <w:style w:type="character" w:styleId="Hyperlink">
    <w:name w:val="Hyperlink"/>
    <w:basedOn w:val="DefaultParagraphFont"/>
    <w:uiPriority w:val="99"/>
    <w:unhideWhenUsed/>
    <w:rsid w:val="00715502"/>
    <w:rPr>
      <w:color w:val="467886" w:themeColor="hyperlink"/>
      <w:u w:val="single"/>
    </w:rPr>
  </w:style>
  <w:style w:type="paragraph" w:styleId="Bibliography">
    <w:name w:val="Bibliography"/>
    <w:basedOn w:val="Normal"/>
    <w:next w:val="Normal"/>
    <w:uiPriority w:val="37"/>
    <w:unhideWhenUsed/>
    <w:rsid w:val="00E20CDD"/>
  </w:style>
  <w:style w:type="paragraph" w:styleId="Header">
    <w:name w:val="header"/>
    <w:basedOn w:val="Normal"/>
    <w:link w:val="HeaderChar"/>
    <w:uiPriority w:val="99"/>
    <w:unhideWhenUsed/>
    <w:rsid w:val="00F23D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D74"/>
  </w:style>
  <w:style w:type="paragraph" w:styleId="Footer">
    <w:name w:val="footer"/>
    <w:basedOn w:val="Normal"/>
    <w:link w:val="FooterChar"/>
    <w:uiPriority w:val="99"/>
    <w:unhideWhenUsed/>
    <w:rsid w:val="00F23D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5030">
      <w:bodyDiv w:val="1"/>
      <w:marLeft w:val="0"/>
      <w:marRight w:val="0"/>
      <w:marTop w:val="0"/>
      <w:marBottom w:val="0"/>
      <w:divBdr>
        <w:top w:val="none" w:sz="0" w:space="0" w:color="auto"/>
        <w:left w:val="none" w:sz="0" w:space="0" w:color="auto"/>
        <w:bottom w:val="none" w:sz="0" w:space="0" w:color="auto"/>
        <w:right w:val="none" w:sz="0" w:space="0" w:color="auto"/>
      </w:divBdr>
    </w:div>
    <w:div w:id="89936982">
      <w:bodyDiv w:val="1"/>
      <w:marLeft w:val="0"/>
      <w:marRight w:val="0"/>
      <w:marTop w:val="0"/>
      <w:marBottom w:val="0"/>
      <w:divBdr>
        <w:top w:val="none" w:sz="0" w:space="0" w:color="auto"/>
        <w:left w:val="none" w:sz="0" w:space="0" w:color="auto"/>
        <w:bottom w:val="none" w:sz="0" w:space="0" w:color="auto"/>
        <w:right w:val="none" w:sz="0" w:space="0" w:color="auto"/>
      </w:divBdr>
    </w:div>
    <w:div w:id="325406159">
      <w:bodyDiv w:val="1"/>
      <w:marLeft w:val="0"/>
      <w:marRight w:val="0"/>
      <w:marTop w:val="0"/>
      <w:marBottom w:val="0"/>
      <w:divBdr>
        <w:top w:val="none" w:sz="0" w:space="0" w:color="auto"/>
        <w:left w:val="none" w:sz="0" w:space="0" w:color="auto"/>
        <w:bottom w:val="none" w:sz="0" w:space="0" w:color="auto"/>
        <w:right w:val="none" w:sz="0" w:space="0" w:color="auto"/>
      </w:divBdr>
    </w:div>
    <w:div w:id="490948266">
      <w:bodyDiv w:val="1"/>
      <w:marLeft w:val="0"/>
      <w:marRight w:val="0"/>
      <w:marTop w:val="0"/>
      <w:marBottom w:val="0"/>
      <w:divBdr>
        <w:top w:val="none" w:sz="0" w:space="0" w:color="auto"/>
        <w:left w:val="none" w:sz="0" w:space="0" w:color="auto"/>
        <w:bottom w:val="none" w:sz="0" w:space="0" w:color="auto"/>
        <w:right w:val="none" w:sz="0" w:space="0" w:color="auto"/>
      </w:divBdr>
    </w:div>
    <w:div w:id="517308171">
      <w:bodyDiv w:val="1"/>
      <w:marLeft w:val="0"/>
      <w:marRight w:val="0"/>
      <w:marTop w:val="0"/>
      <w:marBottom w:val="0"/>
      <w:divBdr>
        <w:top w:val="none" w:sz="0" w:space="0" w:color="auto"/>
        <w:left w:val="none" w:sz="0" w:space="0" w:color="auto"/>
        <w:bottom w:val="none" w:sz="0" w:space="0" w:color="auto"/>
        <w:right w:val="none" w:sz="0" w:space="0" w:color="auto"/>
      </w:divBdr>
    </w:div>
    <w:div w:id="538007799">
      <w:bodyDiv w:val="1"/>
      <w:marLeft w:val="0"/>
      <w:marRight w:val="0"/>
      <w:marTop w:val="0"/>
      <w:marBottom w:val="0"/>
      <w:divBdr>
        <w:top w:val="none" w:sz="0" w:space="0" w:color="auto"/>
        <w:left w:val="none" w:sz="0" w:space="0" w:color="auto"/>
        <w:bottom w:val="none" w:sz="0" w:space="0" w:color="auto"/>
        <w:right w:val="none" w:sz="0" w:space="0" w:color="auto"/>
      </w:divBdr>
    </w:div>
    <w:div w:id="542376302">
      <w:bodyDiv w:val="1"/>
      <w:marLeft w:val="0"/>
      <w:marRight w:val="0"/>
      <w:marTop w:val="0"/>
      <w:marBottom w:val="0"/>
      <w:divBdr>
        <w:top w:val="none" w:sz="0" w:space="0" w:color="auto"/>
        <w:left w:val="none" w:sz="0" w:space="0" w:color="auto"/>
        <w:bottom w:val="none" w:sz="0" w:space="0" w:color="auto"/>
        <w:right w:val="none" w:sz="0" w:space="0" w:color="auto"/>
      </w:divBdr>
    </w:div>
    <w:div w:id="542715504">
      <w:bodyDiv w:val="1"/>
      <w:marLeft w:val="0"/>
      <w:marRight w:val="0"/>
      <w:marTop w:val="0"/>
      <w:marBottom w:val="0"/>
      <w:divBdr>
        <w:top w:val="none" w:sz="0" w:space="0" w:color="auto"/>
        <w:left w:val="none" w:sz="0" w:space="0" w:color="auto"/>
        <w:bottom w:val="none" w:sz="0" w:space="0" w:color="auto"/>
        <w:right w:val="none" w:sz="0" w:space="0" w:color="auto"/>
      </w:divBdr>
    </w:div>
    <w:div w:id="545216032">
      <w:bodyDiv w:val="1"/>
      <w:marLeft w:val="0"/>
      <w:marRight w:val="0"/>
      <w:marTop w:val="0"/>
      <w:marBottom w:val="0"/>
      <w:divBdr>
        <w:top w:val="none" w:sz="0" w:space="0" w:color="auto"/>
        <w:left w:val="none" w:sz="0" w:space="0" w:color="auto"/>
        <w:bottom w:val="none" w:sz="0" w:space="0" w:color="auto"/>
        <w:right w:val="none" w:sz="0" w:space="0" w:color="auto"/>
      </w:divBdr>
    </w:div>
    <w:div w:id="568930724">
      <w:bodyDiv w:val="1"/>
      <w:marLeft w:val="0"/>
      <w:marRight w:val="0"/>
      <w:marTop w:val="0"/>
      <w:marBottom w:val="0"/>
      <w:divBdr>
        <w:top w:val="none" w:sz="0" w:space="0" w:color="auto"/>
        <w:left w:val="none" w:sz="0" w:space="0" w:color="auto"/>
        <w:bottom w:val="none" w:sz="0" w:space="0" w:color="auto"/>
        <w:right w:val="none" w:sz="0" w:space="0" w:color="auto"/>
      </w:divBdr>
    </w:div>
    <w:div w:id="580414239">
      <w:bodyDiv w:val="1"/>
      <w:marLeft w:val="0"/>
      <w:marRight w:val="0"/>
      <w:marTop w:val="0"/>
      <w:marBottom w:val="0"/>
      <w:divBdr>
        <w:top w:val="none" w:sz="0" w:space="0" w:color="auto"/>
        <w:left w:val="none" w:sz="0" w:space="0" w:color="auto"/>
        <w:bottom w:val="none" w:sz="0" w:space="0" w:color="auto"/>
        <w:right w:val="none" w:sz="0" w:space="0" w:color="auto"/>
      </w:divBdr>
    </w:div>
    <w:div w:id="616328167">
      <w:bodyDiv w:val="1"/>
      <w:marLeft w:val="0"/>
      <w:marRight w:val="0"/>
      <w:marTop w:val="0"/>
      <w:marBottom w:val="0"/>
      <w:divBdr>
        <w:top w:val="none" w:sz="0" w:space="0" w:color="auto"/>
        <w:left w:val="none" w:sz="0" w:space="0" w:color="auto"/>
        <w:bottom w:val="none" w:sz="0" w:space="0" w:color="auto"/>
        <w:right w:val="none" w:sz="0" w:space="0" w:color="auto"/>
      </w:divBdr>
    </w:div>
    <w:div w:id="714934831">
      <w:bodyDiv w:val="1"/>
      <w:marLeft w:val="0"/>
      <w:marRight w:val="0"/>
      <w:marTop w:val="0"/>
      <w:marBottom w:val="0"/>
      <w:divBdr>
        <w:top w:val="none" w:sz="0" w:space="0" w:color="auto"/>
        <w:left w:val="none" w:sz="0" w:space="0" w:color="auto"/>
        <w:bottom w:val="none" w:sz="0" w:space="0" w:color="auto"/>
        <w:right w:val="none" w:sz="0" w:space="0" w:color="auto"/>
      </w:divBdr>
    </w:div>
    <w:div w:id="748624831">
      <w:bodyDiv w:val="1"/>
      <w:marLeft w:val="0"/>
      <w:marRight w:val="0"/>
      <w:marTop w:val="0"/>
      <w:marBottom w:val="0"/>
      <w:divBdr>
        <w:top w:val="none" w:sz="0" w:space="0" w:color="auto"/>
        <w:left w:val="none" w:sz="0" w:space="0" w:color="auto"/>
        <w:bottom w:val="none" w:sz="0" w:space="0" w:color="auto"/>
        <w:right w:val="none" w:sz="0" w:space="0" w:color="auto"/>
      </w:divBdr>
    </w:div>
    <w:div w:id="750126179">
      <w:bodyDiv w:val="1"/>
      <w:marLeft w:val="0"/>
      <w:marRight w:val="0"/>
      <w:marTop w:val="0"/>
      <w:marBottom w:val="0"/>
      <w:divBdr>
        <w:top w:val="none" w:sz="0" w:space="0" w:color="auto"/>
        <w:left w:val="none" w:sz="0" w:space="0" w:color="auto"/>
        <w:bottom w:val="none" w:sz="0" w:space="0" w:color="auto"/>
        <w:right w:val="none" w:sz="0" w:space="0" w:color="auto"/>
      </w:divBdr>
    </w:div>
    <w:div w:id="763916619">
      <w:bodyDiv w:val="1"/>
      <w:marLeft w:val="0"/>
      <w:marRight w:val="0"/>
      <w:marTop w:val="0"/>
      <w:marBottom w:val="0"/>
      <w:divBdr>
        <w:top w:val="none" w:sz="0" w:space="0" w:color="auto"/>
        <w:left w:val="none" w:sz="0" w:space="0" w:color="auto"/>
        <w:bottom w:val="none" w:sz="0" w:space="0" w:color="auto"/>
        <w:right w:val="none" w:sz="0" w:space="0" w:color="auto"/>
      </w:divBdr>
    </w:div>
    <w:div w:id="850803471">
      <w:bodyDiv w:val="1"/>
      <w:marLeft w:val="0"/>
      <w:marRight w:val="0"/>
      <w:marTop w:val="0"/>
      <w:marBottom w:val="0"/>
      <w:divBdr>
        <w:top w:val="none" w:sz="0" w:space="0" w:color="auto"/>
        <w:left w:val="none" w:sz="0" w:space="0" w:color="auto"/>
        <w:bottom w:val="none" w:sz="0" w:space="0" w:color="auto"/>
        <w:right w:val="none" w:sz="0" w:space="0" w:color="auto"/>
      </w:divBdr>
    </w:div>
    <w:div w:id="984705132">
      <w:bodyDiv w:val="1"/>
      <w:marLeft w:val="0"/>
      <w:marRight w:val="0"/>
      <w:marTop w:val="0"/>
      <w:marBottom w:val="0"/>
      <w:divBdr>
        <w:top w:val="none" w:sz="0" w:space="0" w:color="auto"/>
        <w:left w:val="none" w:sz="0" w:space="0" w:color="auto"/>
        <w:bottom w:val="none" w:sz="0" w:space="0" w:color="auto"/>
        <w:right w:val="none" w:sz="0" w:space="0" w:color="auto"/>
      </w:divBdr>
    </w:div>
    <w:div w:id="1008017418">
      <w:bodyDiv w:val="1"/>
      <w:marLeft w:val="0"/>
      <w:marRight w:val="0"/>
      <w:marTop w:val="0"/>
      <w:marBottom w:val="0"/>
      <w:divBdr>
        <w:top w:val="none" w:sz="0" w:space="0" w:color="auto"/>
        <w:left w:val="none" w:sz="0" w:space="0" w:color="auto"/>
        <w:bottom w:val="none" w:sz="0" w:space="0" w:color="auto"/>
        <w:right w:val="none" w:sz="0" w:space="0" w:color="auto"/>
      </w:divBdr>
    </w:div>
    <w:div w:id="1068842985">
      <w:bodyDiv w:val="1"/>
      <w:marLeft w:val="0"/>
      <w:marRight w:val="0"/>
      <w:marTop w:val="0"/>
      <w:marBottom w:val="0"/>
      <w:divBdr>
        <w:top w:val="none" w:sz="0" w:space="0" w:color="auto"/>
        <w:left w:val="none" w:sz="0" w:space="0" w:color="auto"/>
        <w:bottom w:val="none" w:sz="0" w:space="0" w:color="auto"/>
        <w:right w:val="none" w:sz="0" w:space="0" w:color="auto"/>
      </w:divBdr>
    </w:div>
    <w:div w:id="1089932308">
      <w:bodyDiv w:val="1"/>
      <w:marLeft w:val="0"/>
      <w:marRight w:val="0"/>
      <w:marTop w:val="0"/>
      <w:marBottom w:val="0"/>
      <w:divBdr>
        <w:top w:val="none" w:sz="0" w:space="0" w:color="auto"/>
        <w:left w:val="none" w:sz="0" w:space="0" w:color="auto"/>
        <w:bottom w:val="none" w:sz="0" w:space="0" w:color="auto"/>
        <w:right w:val="none" w:sz="0" w:space="0" w:color="auto"/>
      </w:divBdr>
    </w:div>
    <w:div w:id="1094277714">
      <w:bodyDiv w:val="1"/>
      <w:marLeft w:val="0"/>
      <w:marRight w:val="0"/>
      <w:marTop w:val="0"/>
      <w:marBottom w:val="0"/>
      <w:divBdr>
        <w:top w:val="none" w:sz="0" w:space="0" w:color="auto"/>
        <w:left w:val="none" w:sz="0" w:space="0" w:color="auto"/>
        <w:bottom w:val="none" w:sz="0" w:space="0" w:color="auto"/>
        <w:right w:val="none" w:sz="0" w:space="0" w:color="auto"/>
      </w:divBdr>
    </w:div>
    <w:div w:id="1132289118">
      <w:bodyDiv w:val="1"/>
      <w:marLeft w:val="0"/>
      <w:marRight w:val="0"/>
      <w:marTop w:val="0"/>
      <w:marBottom w:val="0"/>
      <w:divBdr>
        <w:top w:val="none" w:sz="0" w:space="0" w:color="auto"/>
        <w:left w:val="none" w:sz="0" w:space="0" w:color="auto"/>
        <w:bottom w:val="none" w:sz="0" w:space="0" w:color="auto"/>
        <w:right w:val="none" w:sz="0" w:space="0" w:color="auto"/>
      </w:divBdr>
    </w:div>
    <w:div w:id="1134518517">
      <w:bodyDiv w:val="1"/>
      <w:marLeft w:val="0"/>
      <w:marRight w:val="0"/>
      <w:marTop w:val="0"/>
      <w:marBottom w:val="0"/>
      <w:divBdr>
        <w:top w:val="none" w:sz="0" w:space="0" w:color="auto"/>
        <w:left w:val="none" w:sz="0" w:space="0" w:color="auto"/>
        <w:bottom w:val="none" w:sz="0" w:space="0" w:color="auto"/>
        <w:right w:val="none" w:sz="0" w:space="0" w:color="auto"/>
      </w:divBdr>
    </w:div>
    <w:div w:id="1255165363">
      <w:bodyDiv w:val="1"/>
      <w:marLeft w:val="0"/>
      <w:marRight w:val="0"/>
      <w:marTop w:val="0"/>
      <w:marBottom w:val="0"/>
      <w:divBdr>
        <w:top w:val="none" w:sz="0" w:space="0" w:color="auto"/>
        <w:left w:val="none" w:sz="0" w:space="0" w:color="auto"/>
        <w:bottom w:val="none" w:sz="0" w:space="0" w:color="auto"/>
        <w:right w:val="none" w:sz="0" w:space="0" w:color="auto"/>
      </w:divBdr>
    </w:div>
    <w:div w:id="1258099949">
      <w:bodyDiv w:val="1"/>
      <w:marLeft w:val="0"/>
      <w:marRight w:val="0"/>
      <w:marTop w:val="0"/>
      <w:marBottom w:val="0"/>
      <w:divBdr>
        <w:top w:val="none" w:sz="0" w:space="0" w:color="auto"/>
        <w:left w:val="none" w:sz="0" w:space="0" w:color="auto"/>
        <w:bottom w:val="none" w:sz="0" w:space="0" w:color="auto"/>
        <w:right w:val="none" w:sz="0" w:space="0" w:color="auto"/>
      </w:divBdr>
    </w:div>
    <w:div w:id="1281036820">
      <w:bodyDiv w:val="1"/>
      <w:marLeft w:val="0"/>
      <w:marRight w:val="0"/>
      <w:marTop w:val="0"/>
      <w:marBottom w:val="0"/>
      <w:divBdr>
        <w:top w:val="none" w:sz="0" w:space="0" w:color="auto"/>
        <w:left w:val="none" w:sz="0" w:space="0" w:color="auto"/>
        <w:bottom w:val="none" w:sz="0" w:space="0" w:color="auto"/>
        <w:right w:val="none" w:sz="0" w:space="0" w:color="auto"/>
      </w:divBdr>
    </w:div>
    <w:div w:id="1348827027">
      <w:bodyDiv w:val="1"/>
      <w:marLeft w:val="0"/>
      <w:marRight w:val="0"/>
      <w:marTop w:val="0"/>
      <w:marBottom w:val="0"/>
      <w:divBdr>
        <w:top w:val="none" w:sz="0" w:space="0" w:color="auto"/>
        <w:left w:val="none" w:sz="0" w:space="0" w:color="auto"/>
        <w:bottom w:val="none" w:sz="0" w:space="0" w:color="auto"/>
        <w:right w:val="none" w:sz="0" w:space="0" w:color="auto"/>
      </w:divBdr>
    </w:div>
    <w:div w:id="1367292616">
      <w:bodyDiv w:val="1"/>
      <w:marLeft w:val="0"/>
      <w:marRight w:val="0"/>
      <w:marTop w:val="0"/>
      <w:marBottom w:val="0"/>
      <w:divBdr>
        <w:top w:val="none" w:sz="0" w:space="0" w:color="auto"/>
        <w:left w:val="none" w:sz="0" w:space="0" w:color="auto"/>
        <w:bottom w:val="none" w:sz="0" w:space="0" w:color="auto"/>
        <w:right w:val="none" w:sz="0" w:space="0" w:color="auto"/>
      </w:divBdr>
    </w:div>
    <w:div w:id="1389038117">
      <w:bodyDiv w:val="1"/>
      <w:marLeft w:val="0"/>
      <w:marRight w:val="0"/>
      <w:marTop w:val="0"/>
      <w:marBottom w:val="0"/>
      <w:divBdr>
        <w:top w:val="none" w:sz="0" w:space="0" w:color="auto"/>
        <w:left w:val="none" w:sz="0" w:space="0" w:color="auto"/>
        <w:bottom w:val="none" w:sz="0" w:space="0" w:color="auto"/>
        <w:right w:val="none" w:sz="0" w:space="0" w:color="auto"/>
      </w:divBdr>
    </w:div>
    <w:div w:id="1403602467">
      <w:bodyDiv w:val="1"/>
      <w:marLeft w:val="0"/>
      <w:marRight w:val="0"/>
      <w:marTop w:val="0"/>
      <w:marBottom w:val="0"/>
      <w:divBdr>
        <w:top w:val="none" w:sz="0" w:space="0" w:color="auto"/>
        <w:left w:val="none" w:sz="0" w:space="0" w:color="auto"/>
        <w:bottom w:val="none" w:sz="0" w:space="0" w:color="auto"/>
        <w:right w:val="none" w:sz="0" w:space="0" w:color="auto"/>
      </w:divBdr>
    </w:div>
    <w:div w:id="1434012676">
      <w:bodyDiv w:val="1"/>
      <w:marLeft w:val="0"/>
      <w:marRight w:val="0"/>
      <w:marTop w:val="0"/>
      <w:marBottom w:val="0"/>
      <w:divBdr>
        <w:top w:val="none" w:sz="0" w:space="0" w:color="auto"/>
        <w:left w:val="none" w:sz="0" w:space="0" w:color="auto"/>
        <w:bottom w:val="none" w:sz="0" w:space="0" w:color="auto"/>
        <w:right w:val="none" w:sz="0" w:space="0" w:color="auto"/>
      </w:divBdr>
    </w:div>
    <w:div w:id="1465469613">
      <w:bodyDiv w:val="1"/>
      <w:marLeft w:val="0"/>
      <w:marRight w:val="0"/>
      <w:marTop w:val="0"/>
      <w:marBottom w:val="0"/>
      <w:divBdr>
        <w:top w:val="none" w:sz="0" w:space="0" w:color="auto"/>
        <w:left w:val="none" w:sz="0" w:space="0" w:color="auto"/>
        <w:bottom w:val="none" w:sz="0" w:space="0" w:color="auto"/>
        <w:right w:val="none" w:sz="0" w:space="0" w:color="auto"/>
      </w:divBdr>
    </w:div>
    <w:div w:id="1487043503">
      <w:bodyDiv w:val="1"/>
      <w:marLeft w:val="0"/>
      <w:marRight w:val="0"/>
      <w:marTop w:val="0"/>
      <w:marBottom w:val="0"/>
      <w:divBdr>
        <w:top w:val="none" w:sz="0" w:space="0" w:color="auto"/>
        <w:left w:val="none" w:sz="0" w:space="0" w:color="auto"/>
        <w:bottom w:val="none" w:sz="0" w:space="0" w:color="auto"/>
        <w:right w:val="none" w:sz="0" w:space="0" w:color="auto"/>
      </w:divBdr>
    </w:div>
    <w:div w:id="1500151373">
      <w:bodyDiv w:val="1"/>
      <w:marLeft w:val="0"/>
      <w:marRight w:val="0"/>
      <w:marTop w:val="0"/>
      <w:marBottom w:val="0"/>
      <w:divBdr>
        <w:top w:val="none" w:sz="0" w:space="0" w:color="auto"/>
        <w:left w:val="none" w:sz="0" w:space="0" w:color="auto"/>
        <w:bottom w:val="none" w:sz="0" w:space="0" w:color="auto"/>
        <w:right w:val="none" w:sz="0" w:space="0" w:color="auto"/>
      </w:divBdr>
    </w:div>
    <w:div w:id="1520852513">
      <w:bodyDiv w:val="1"/>
      <w:marLeft w:val="0"/>
      <w:marRight w:val="0"/>
      <w:marTop w:val="0"/>
      <w:marBottom w:val="0"/>
      <w:divBdr>
        <w:top w:val="none" w:sz="0" w:space="0" w:color="auto"/>
        <w:left w:val="none" w:sz="0" w:space="0" w:color="auto"/>
        <w:bottom w:val="none" w:sz="0" w:space="0" w:color="auto"/>
        <w:right w:val="none" w:sz="0" w:space="0" w:color="auto"/>
      </w:divBdr>
    </w:div>
    <w:div w:id="1649242672">
      <w:bodyDiv w:val="1"/>
      <w:marLeft w:val="0"/>
      <w:marRight w:val="0"/>
      <w:marTop w:val="0"/>
      <w:marBottom w:val="0"/>
      <w:divBdr>
        <w:top w:val="none" w:sz="0" w:space="0" w:color="auto"/>
        <w:left w:val="none" w:sz="0" w:space="0" w:color="auto"/>
        <w:bottom w:val="none" w:sz="0" w:space="0" w:color="auto"/>
        <w:right w:val="none" w:sz="0" w:space="0" w:color="auto"/>
      </w:divBdr>
    </w:div>
    <w:div w:id="1686516412">
      <w:bodyDiv w:val="1"/>
      <w:marLeft w:val="0"/>
      <w:marRight w:val="0"/>
      <w:marTop w:val="0"/>
      <w:marBottom w:val="0"/>
      <w:divBdr>
        <w:top w:val="none" w:sz="0" w:space="0" w:color="auto"/>
        <w:left w:val="none" w:sz="0" w:space="0" w:color="auto"/>
        <w:bottom w:val="none" w:sz="0" w:space="0" w:color="auto"/>
        <w:right w:val="none" w:sz="0" w:space="0" w:color="auto"/>
      </w:divBdr>
    </w:div>
    <w:div w:id="1745562324">
      <w:bodyDiv w:val="1"/>
      <w:marLeft w:val="0"/>
      <w:marRight w:val="0"/>
      <w:marTop w:val="0"/>
      <w:marBottom w:val="0"/>
      <w:divBdr>
        <w:top w:val="none" w:sz="0" w:space="0" w:color="auto"/>
        <w:left w:val="none" w:sz="0" w:space="0" w:color="auto"/>
        <w:bottom w:val="none" w:sz="0" w:space="0" w:color="auto"/>
        <w:right w:val="none" w:sz="0" w:space="0" w:color="auto"/>
      </w:divBdr>
    </w:div>
    <w:div w:id="1755202102">
      <w:bodyDiv w:val="1"/>
      <w:marLeft w:val="0"/>
      <w:marRight w:val="0"/>
      <w:marTop w:val="0"/>
      <w:marBottom w:val="0"/>
      <w:divBdr>
        <w:top w:val="none" w:sz="0" w:space="0" w:color="auto"/>
        <w:left w:val="none" w:sz="0" w:space="0" w:color="auto"/>
        <w:bottom w:val="none" w:sz="0" w:space="0" w:color="auto"/>
        <w:right w:val="none" w:sz="0" w:space="0" w:color="auto"/>
      </w:divBdr>
    </w:div>
    <w:div w:id="1800145325">
      <w:bodyDiv w:val="1"/>
      <w:marLeft w:val="0"/>
      <w:marRight w:val="0"/>
      <w:marTop w:val="0"/>
      <w:marBottom w:val="0"/>
      <w:divBdr>
        <w:top w:val="none" w:sz="0" w:space="0" w:color="auto"/>
        <w:left w:val="none" w:sz="0" w:space="0" w:color="auto"/>
        <w:bottom w:val="none" w:sz="0" w:space="0" w:color="auto"/>
        <w:right w:val="none" w:sz="0" w:space="0" w:color="auto"/>
      </w:divBdr>
    </w:div>
    <w:div w:id="1808624742">
      <w:bodyDiv w:val="1"/>
      <w:marLeft w:val="0"/>
      <w:marRight w:val="0"/>
      <w:marTop w:val="0"/>
      <w:marBottom w:val="0"/>
      <w:divBdr>
        <w:top w:val="none" w:sz="0" w:space="0" w:color="auto"/>
        <w:left w:val="none" w:sz="0" w:space="0" w:color="auto"/>
        <w:bottom w:val="none" w:sz="0" w:space="0" w:color="auto"/>
        <w:right w:val="none" w:sz="0" w:space="0" w:color="auto"/>
      </w:divBdr>
    </w:div>
    <w:div w:id="1809084310">
      <w:bodyDiv w:val="1"/>
      <w:marLeft w:val="0"/>
      <w:marRight w:val="0"/>
      <w:marTop w:val="0"/>
      <w:marBottom w:val="0"/>
      <w:divBdr>
        <w:top w:val="none" w:sz="0" w:space="0" w:color="auto"/>
        <w:left w:val="none" w:sz="0" w:space="0" w:color="auto"/>
        <w:bottom w:val="none" w:sz="0" w:space="0" w:color="auto"/>
        <w:right w:val="none" w:sz="0" w:space="0" w:color="auto"/>
      </w:divBdr>
    </w:div>
    <w:div w:id="1932011402">
      <w:bodyDiv w:val="1"/>
      <w:marLeft w:val="0"/>
      <w:marRight w:val="0"/>
      <w:marTop w:val="0"/>
      <w:marBottom w:val="0"/>
      <w:divBdr>
        <w:top w:val="none" w:sz="0" w:space="0" w:color="auto"/>
        <w:left w:val="none" w:sz="0" w:space="0" w:color="auto"/>
        <w:bottom w:val="none" w:sz="0" w:space="0" w:color="auto"/>
        <w:right w:val="none" w:sz="0" w:space="0" w:color="auto"/>
      </w:divBdr>
    </w:div>
    <w:div w:id="1941137360">
      <w:bodyDiv w:val="1"/>
      <w:marLeft w:val="0"/>
      <w:marRight w:val="0"/>
      <w:marTop w:val="0"/>
      <w:marBottom w:val="0"/>
      <w:divBdr>
        <w:top w:val="none" w:sz="0" w:space="0" w:color="auto"/>
        <w:left w:val="none" w:sz="0" w:space="0" w:color="auto"/>
        <w:bottom w:val="none" w:sz="0" w:space="0" w:color="auto"/>
        <w:right w:val="none" w:sz="0" w:space="0" w:color="auto"/>
      </w:divBdr>
    </w:div>
    <w:div w:id="199598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image" Target="media/image10.png"/><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image" Target="media/image9.png"/><Relationship Id="rId10" Type="http://schemas.openxmlformats.org/officeDocument/2006/relationships/hyperlink" Target="https://www.internetgovernance.org/2024/05/22/did-agi-write-this-paper/digitaleyedatanetworkandcybersecuritytechnologyvectorbackground/" TargetMode="Externa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diagramColors" Target="diagrams/colors1.xml"/><Relationship Id="rId22" Type="http://schemas.openxmlformats.org/officeDocument/2006/relationships/image" Target="media/image8.pn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93BE4BD-0A41-4784-9041-B0038014ABA3}" type="doc">
      <dgm:prSet loTypeId="urn:microsoft.com/office/officeart/2005/8/layout/process2" loCatId="process" qsTypeId="urn:microsoft.com/office/officeart/2005/8/quickstyle/3d5" qsCatId="3D" csTypeId="urn:microsoft.com/office/officeart/2005/8/colors/accent0_3" csCatId="mainScheme" phldr="1"/>
      <dgm:spPr/>
    </dgm:pt>
    <dgm:pt modelId="{02EF2AB7-4F87-435A-8E47-8C480E3730EF}">
      <dgm:prSet phldrT="[Text]"/>
      <dgm:spPr/>
      <dgm:t>
        <a:bodyPr/>
        <a:lstStyle/>
        <a:p>
          <a:r>
            <a:rPr lang="en-GB"/>
            <a:t>Start</a:t>
          </a:r>
        </a:p>
      </dgm:t>
    </dgm:pt>
    <dgm:pt modelId="{76B39981-BAF0-43A4-8ED0-9E2219D4EAD5}" type="parTrans" cxnId="{056490EE-6B32-4406-9E0C-5E06084A9041}">
      <dgm:prSet/>
      <dgm:spPr/>
      <dgm:t>
        <a:bodyPr/>
        <a:lstStyle/>
        <a:p>
          <a:endParaRPr lang="en-GB"/>
        </a:p>
      </dgm:t>
    </dgm:pt>
    <dgm:pt modelId="{DBA36078-7644-4E6F-92CB-ACF158B1B47E}" type="sibTrans" cxnId="{056490EE-6B32-4406-9E0C-5E06084A9041}">
      <dgm:prSet/>
      <dgm:spPr/>
      <dgm:t>
        <a:bodyPr/>
        <a:lstStyle/>
        <a:p>
          <a:endParaRPr lang="en-GB"/>
        </a:p>
      </dgm:t>
    </dgm:pt>
    <dgm:pt modelId="{AE1A4D63-20A7-48D5-AFC5-2FE85C0770BD}">
      <dgm:prSet phldrT="[Text]"/>
      <dgm:spPr/>
      <dgm:t>
        <a:bodyPr/>
        <a:lstStyle/>
        <a:p>
          <a:r>
            <a:rPr lang="en-GB"/>
            <a:t>Threat Detected </a:t>
          </a:r>
        </a:p>
      </dgm:t>
    </dgm:pt>
    <dgm:pt modelId="{4F564915-6A4F-43EA-82BA-372823470507}" type="parTrans" cxnId="{50789DF1-0636-4AA8-8F18-4486A6AE910D}">
      <dgm:prSet/>
      <dgm:spPr/>
      <dgm:t>
        <a:bodyPr/>
        <a:lstStyle/>
        <a:p>
          <a:endParaRPr lang="en-GB"/>
        </a:p>
      </dgm:t>
    </dgm:pt>
    <dgm:pt modelId="{9479D28F-113A-4D2F-81C9-0B52314C4771}" type="sibTrans" cxnId="{50789DF1-0636-4AA8-8F18-4486A6AE910D}">
      <dgm:prSet/>
      <dgm:spPr/>
      <dgm:t>
        <a:bodyPr/>
        <a:lstStyle/>
        <a:p>
          <a:endParaRPr lang="en-GB"/>
        </a:p>
      </dgm:t>
    </dgm:pt>
    <dgm:pt modelId="{CC35D44E-E170-4BC4-9703-04B1452861B8}">
      <dgm:prSet phldrT="[Text]"/>
      <dgm:spPr/>
      <dgm:t>
        <a:bodyPr/>
        <a:lstStyle/>
        <a:p>
          <a:r>
            <a:rPr lang="en-GB"/>
            <a:t>Analyse Threat</a:t>
          </a:r>
        </a:p>
      </dgm:t>
    </dgm:pt>
    <dgm:pt modelId="{A88CED26-B7A8-48F3-8DE9-484CCBA110B7}" type="sibTrans" cxnId="{DAC1D6E9-8B9B-4C6D-9C4E-872C0CCA8B55}">
      <dgm:prSet/>
      <dgm:spPr/>
      <dgm:t>
        <a:bodyPr/>
        <a:lstStyle/>
        <a:p>
          <a:endParaRPr lang="en-GB"/>
        </a:p>
      </dgm:t>
    </dgm:pt>
    <dgm:pt modelId="{2C648B0A-EE06-4D44-8820-5BC5E79AC857}" type="parTrans" cxnId="{DAC1D6E9-8B9B-4C6D-9C4E-872C0CCA8B55}">
      <dgm:prSet/>
      <dgm:spPr/>
      <dgm:t>
        <a:bodyPr/>
        <a:lstStyle/>
        <a:p>
          <a:endParaRPr lang="en-GB"/>
        </a:p>
      </dgm:t>
    </dgm:pt>
    <dgm:pt modelId="{3095C8F7-7D35-4EA8-82C4-E0A2286BA4E3}">
      <dgm:prSet/>
      <dgm:spPr/>
      <dgm:t>
        <a:bodyPr/>
        <a:lstStyle/>
        <a:p>
          <a:r>
            <a:rPr lang="en-GB"/>
            <a:t>Contain Attack</a:t>
          </a:r>
        </a:p>
      </dgm:t>
    </dgm:pt>
    <dgm:pt modelId="{9B5957B1-8E9D-46D6-930A-2F5D31161BBC}" type="parTrans" cxnId="{57A60BAF-9ABD-40C4-B883-792D3FD581DF}">
      <dgm:prSet/>
      <dgm:spPr/>
      <dgm:t>
        <a:bodyPr/>
        <a:lstStyle/>
        <a:p>
          <a:endParaRPr lang="en-GB"/>
        </a:p>
      </dgm:t>
    </dgm:pt>
    <dgm:pt modelId="{F1BEF28B-3AF0-4D7B-A5E1-9A7C696269E4}" type="sibTrans" cxnId="{57A60BAF-9ABD-40C4-B883-792D3FD581DF}">
      <dgm:prSet/>
      <dgm:spPr/>
      <dgm:t>
        <a:bodyPr/>
        <a:lstStyle/>
        <a:p>
          <a:endParaRPr lang="en-GB"/>
        </a:p>
      </dgm:t>
    </dgm:pt>
    <dgm:pt modelId="{45085F36-00CE-40F7-8E9C-93664B8FACF1}">
      <dgm:prSet/>
      <dgm:spPr/>
      <dgm:t>
        <a:bodyPr/>
        <a:lstStyle/>
        <a:p>
          <a:r>
            <a:rPr lang="en-GB"/>
            <a:t>Remove Threat</a:t>
          </a:r>
        </a:p>
      </dgm:t>
    </dgm:pt>
    <dgm:pt modelId="{D3C5B151-E526-4550-B42A-80406A25DAC5}" type="parTrans" cxnId="{7F36F245-FE5C-4A9C-8446-89BD767A605D}">
      <dgm:prSet/>
      <dgm:spPr/>
      <dgm:t>
        <a:bodyPr/>
        <a:lstStyle/>
        <a:p>
          <a:endParaRPr lang="en-GB"/>
        </a:p>
      </dgm:t>
    </dgm:pt>
    <dgm:pt modelId="{FA26D2EC-2934-414B-A167-90382EED9AC8}" type="sibTrans" cxnId="{7F36F245-FE5C-4A9C-8446-89BD767A605D}">
      <dgm:prSet/>
      <dgm:spPr/>
      <dgm:t>
        <a:bodyPr/>
        <a:lstStyle/>
        <a:p>
          <a:endParaRPr lang="en-GB"/>
        </a:p>
      </dgm:t>
    </dgm:pt>
    <dgm:pt modelId="{BF92CB3A-8DD7-4F9F-A466-A0BF3194077B}">
      <dgm:prSet/>
      <dgm:spPr/>
      <dgm:t>
        <a:bodyPr/>
        <a:lstStyle/>
        <a:p>
          <a:r>
            <a:rPr lang="en-GB"/>
            <a:t>Recover Systems </a:t>
          </a:r>
        </a:p>
      </dgm:t>
    </dgm:pt>
    <dgm:pt modelId="{6068A805-F304-4528-9ADA-2B54577477E3}" type="parTrans" cxnId="{38F45BEE-B086-4AB3-AFBB-A9940355F0CC}">
      <dgm:prSet/>
      <dgm:spPr/>
      <dgm:t>
        <a:bodyPr/>
        <a:lstStyle/>
        <a:p>
          <a:endParaRPr lang="en-GB"/>
        </a:p>
      </dgm:t>
    </dgm:pt>
    <dgm:pt modelId="{B36B7EB7-6C33-4A83-95A0-342DADDB5D78}" type="sibTrans" cxnId="{38F45BEE-B086-4AB3-AFBB-A9940355F0CC}">
      <dgm:prSet/>
      <dgm:spPr/>
      <dgm:t>
        <a:bodyPr/>
        <a:lstStyle/>
        <a:p>
          <a:endParaRPr lang="en-GB"/>
        </a:p>
      </dgm:t>
    </dgm:pt>
    <dgm:pt modelId="{61051DE1-2E9A-4A33-8C0B-49A351CEB683}">
      <dgm:prSet/>
      <dgm:spPr/>
      <dgm:t>
        <a:bodyPr/>
        <a:lstStyle/>
        <a:p>
          <a:r>
            <a:rPr lang="en-GB"/>
            <a:t>Review &amp; Improve</a:t>
          </a:r>
        </a:p>
      </dgm:t>
    </dgm:pt>
    <dgm:pt modelId="{0F9365B0-D794-425E-9602-8E87ED059238}" type="parTrans" cxnId="{57453A97-4D1F-460F-998F-DC4C033FA530}">
      <dgm:prSet/>
      <dgm:spPr/>
      <dgm:t>
        <a:bodyPr/>
        <a:lstStyle/>
        <a:p>
          <a:endParaRPr lang="en-GB"/>
        </a:p>
      </dgm:t>
    </dgm:pt>
    <dgm:pt modelId="{4A2E3048-223E-4B80-8650-DDDC9881A0DB}" type="sibTrans" cxnId="{57453A97-4D1F-460F-998F-DC4C033FA530}">
      <dgm:prSet/>
      <dgm:spPr/>
      <dgm:t>
        <a:bodyPr/>
        <a:lstStyle/>
        <a:p>
          <a:endParaRPr lang="en-GB"/>
        </a:p>
      </dgm:t>
    </dgm:pt>
    <dgm:pt modelId="{A7EF3808-6A5A-4E37-948F-E264A84D5B5A}">
      <dgm:prSet/>
      <dgm:spPr/>
      <dgm:t>
        <a:bodyPr/>
        <a:lstStyle/>
        <a:p>
          <a:r>
            <a:rPr lang="en-GB"/>
            <a:t>End</a:t>
          </a:r>
        </a:p>
      </dgm:t>
    </dgm:pt>
    <dgm:pt modelId="{C1D9A87C-95DC-4F3C-8499-E9632FC74235}" type="parTrans" cxnId="{3C31DB03-5459-401A-8CFB-42DFB5B8722C}">
      <dgm:prSet/>
      <dgm:spPr/>
      <dgm:t>
        <a:bodyPr/>
        <a:lstStyle/>
        <a:p>
          <a:endParaRPr lang="en-GB"/>
        </a:p>
      </dgm:t>
    </dgm:pt>
    <dgm:pt modelId="{A9FCFA70-64E2-4096-A0C2-AB7CF0826C09}" type="sibTrans" cxnId="{3C31DB03-5459-401A-8CFB-42DFB5B8722C}">
      <dgm:prSet/>
      <dgm:spPr/>
      <dgm:t>
        <a:bodyPr/>
        <a:lstStyle/>
        <a:p>
          <a:endParaRPr lang="en-GB"/>
        </a:p>
      </dgm:t>
    </dgm:pt>
    <dgm:pt modelId="{779181F5-CC06-4D2C-91A5-0720E43B7DE8}" type="pres">
      <dgm:prSet presAssocID="{F93BE4BD-0A41-4784-9041-B0038014ABA3}" presName="linearFlow" presStyleCnt="0">
        <dgm:presLayoutVars>
          <dgm:resizeHandles val="exact"/>
        </dgm:presLayoutVars>
      </dgm:prSet>
      <dgm:spPr/>
    </dgm:pt>
    <dgm:pt modelId="{057AD071-D543-4850-8C75-53A95400321D}" type="pres">
      <dgm:prSet presAssocID="{02EF2AB7-4F87-435A-8E47-8C480E3730EF}" presName="node" presStyleLbl="node1" presStyleIdx="0" presStyleCnt="8">
        <dgm:presLayoutVars>
          <dgm:bulletEnabled val="1"/>
        </dgm:presLayoutVars>
      </dgm:prSet>
      <dgm:spPr/>
    </dgm:pt>
    <dgm:pt modelId="{AD4D07A4-D3AE-47D5-82FD-D1AB6C04AAA5}" type="pres">
      <dgm:prSet presAssocID="{DBA36078-7644-4E6F-92CB-ACF158B1B47E}" presName="sibTrans" presStyleLbl="sibTrans2D1" presStyleIdx="0" presStyleCnt="7"/>
      <dgm:spPr/>
    </dgm:pt>
    <dgm:pt modelId="{3E1F75E4-5EB9-4F64-B14E-312B5EE76086}" type="pres">
      <dgm:prSet presAssocID="{DBA36078-7644-4E6F-92CB-ACF158B1B47E}" presName="connectorText" presStyleLbl="sibTrans2D1" presStyleIdx="0" presStyleCnt="7"/>
      <dgm:spPr/>
    </dgm:pt>
    <dgm:pt modelId="{41474E0A-FD56-4124-BA1D-64C952E2E82F}" type="pres">
      <dgm:prSet presAssocID="{AE1A4D63-20A7-48D5-AFC5-2FE85C0770BD}" presName="node" presStyleLbl="node1" presStyleIdx="1" presStyleCnt="8">
        <dgm:presLayoutVars>
          <dgm:bulletEnabled val="1"/>
        </dgm:presLayoutVars>
      </dgm:prSet>
      <dgm:spPr/>
    </dgm:pt>
    <dgm:pt modelId="{E8D55AE6-FE54-4B61-B5CA-3D9553415B2B}" type="pres">
      <dgm:prSet presAssocID="{9479D28F-113A-4D2F-81C9-0B52314C4771}" presName="sibTrans" presStyleLbl="sibTrans2D1" presStyleIdx="1" presStyleCnt="7"/>
      <dgm:spPr/>
    </dgm:pt>
    <dgm:pt modelId="{4B38CD9A-22F7-4A11-A5CD-63BC6FA64070}" type="pres">
      <dgm:prSet presAssocID="{9479D28F-113A-4D2F-81C9-0B52314C4771}" presName="connectorText" presStyleLbl="sibTrans2D1" presStyleIdx="1" presStyleCnt="7"/>
      <dgm:spPr/>
    </dgm:pt>
    <dgm:pt modelId="{1EBF9403-440C-457A-B396-C1E7E0AAA2CE}" type="pres">
      <dgm:prSet presAssocID="{CC35D44E-E170-4BC4-9703-04B1452861B8}" presName="node" presStyleLbl="node1" presStyleIdx="2" presStyleCnt="8">
        <dgm:presLayoutVars>
          <dgm:bulletEnabled val="1"/>
        </dgm:presLayoutVars>
      </dgm:prSet>
      <dgm:spPr/>
    </dgm:pt>
    <dgm:pt modelId="{4F3760DA-6589-4E7A-A7CE-B182BBAF7B80}" type="pres">
      <dgm:prSet presAssocID="{A88CED26-B7A8-48F3-8DE9-484CCBA110B7}" presName="sibTrans" presStyleLbl="sibTrans2D1" presStyleIdx="2" presStyleCnt="7"/>
      <dgm:spPr/>
    </dgm:pt>
    <dgm:pt modelId="{578328E0-B490-470F-A121-2042534B8247}" type="pres">
      <dgm:prSet presAssocID="{A88CED26-B7A8-48F3-8DE9-484CCBA110B7}" presName="connectorText" presStyleLbl="sibTrans2D1" presStyleIdx="2" presStyleCnt="7"/>
      <dgm:spPr/>
    </dgm:pt>
    <dgm:pt modelId="{047F6380-E6FF-43BF-8DE1-01DDC8B7A1F9}" type="pres">
      <dgm:prSet presAssocID="{3095C8F7-7D35-4EA8-82C4-E0A2286BA4E3}" presName="node" presStyleLbl="node1" presStyleIdx="3" presStyleCnt="8">
        <dgm:presLayoutVars>
          <dgm:bulletEnabled val="1"/>
        </dgm:presLayoutVars>
      </dgm:prSet>
      <dgm:spPr/>
    </dgm:pt>
    <dgm:pt modelId="{7EAF3999-243D-42E2-818F-C2D334E079CC}" type="pres">
      <dgm:prSet presAssocID="{F1BEF28B-3AF0-4D7B-A5E1-9A7C696269E4}" presName="sibTrans" presStyleLbl="sibTrans2D1" presStyleIdx="3" presStyleCnt="7"/>
      <dgm:spPr/>
    </dgm:pt>
    <dgm:pt modelId="{171111B0-1959-47B2-BB4B-AD3962D7E5CC}" type="pres">
      <dgm:prSet presAssocID="{F1BEF28B-3AF0-4D7B-A5E1-9A7C696269E4}" presName="connectorText" presStyleLbl="sibTrans2D1" presStyleIdx="3" presStyleCnt="7"/>
      <dgm:spPr/>
    </dgm:pt>
    <dgm:pt modelId="{F1116396-2D6D-44F2-90D9-35D77D6B808E}" type="pres">
      <dgm:prSet presAssocID="{45085F36-00CE-40F7-8E9C-93664B8FACF1}" presName="node" presStyleLbl="node1" presStyleIdx="4" presStyleCnt="8">
        <dgm:presLayoutVars>
          <dgm:bulletEnabled val="1"/>
        </dgm:presLayoutVars>
      </dgm:prSet>
      <dgm:spPr/>
    </dgm:pt>
    <dgm:pt modelId="{BEB1CC9D-2FBB-46B7-896D-BDB128A27B33}" type="pres">
      <dgm:prSet presAssocID="{FA26D2EC-2934-414B-A167-90382EED9AC8}" presName="sibTrans" presStyleLbl="sibTrans2D1" presStyleIdx="4" presStyleCnt="7"/>
      <dgm:spPr/>
    </dgm:pt>
    <dgm:pt modelId="{8DE717B7-8B67-4FDE-B23D-9F2A42DCC51F}" type="pres">
      <dgm:prSet presAssocID="{FA26D2EC-2934-414B-A167-90382EED9AC8}" presName="connectorText" presStyleLbl="sibTrans2D1" presStyleIdx="4" presStyleCnt="7"/>
      <dgm:spPr/>
    </dgm:pt>
    <dgm:pt modelId="{A852B81B-70F8-4F58-8811-13ABD616EAB6}" type="pres">
      <dgm:prSet presAssocID="{BF92CB3A-8DD7-4F9F-A466-A0BF3194077B}" presName="node" presStyleLbl="node1" presStyleIdx="5" presStyleCnt="8">
        <dgm:presLayoutVars>
          <dgm:bulletEnabled val="1"/>
        </dgm:presLayoutVars>
      </dgm:prSet>
      <dgm:spPr/>
    </dgm:pt>
    <dgm:pt modelId="{340EA58F-4563-4A7B-A1BA-B71171A0E763}" type="pres">
      <dgm:prSet presAssocID="{B36B7EB7-6C33-4A83-95A0-342DADDB5D78}" presName="sibTrans" presStyleLbl="sibTrans2D1" presStyleIdx="5" presStyleCnt="7"/>
      <dgm:spPr/>
    </dgm:pt>
    <dgm:pt modelId="{A99C4EF7-4107-429E-ADF2-FDACA2304CF3}" type="pres">
      <dgm:prSet presAssocID="{B36B7EB7-6C33-4A83-95A0-342DADDB5D78}" presName="connectorText" presStyleLbl="sibTrans2D1" presStyleIdx="5" presStyleCnt="7"/>
      <dgm:spPr/>
    </dgm:pt>
    <dgm:pt modelId="{7713D580-C8BE-4A12-A251-97454F446924}" type="pres">
      <dgm:prSet presAssocID="{61051DE1-2E9A-4A33-8C0B-49A351CEB683}" presName="node" presStyleLbl="node1" presStyleIdx="6" presStyleCnt="8">
        <dgm:presLayoutVars>
          <dgm:bulletEnabled val="1"/>
        </dgm:presLayoutVars>
      </dgm:prSet>
      <dgm:spPr/>
    </dgm:pt>
    <dgm:pt modelId="{3A249F3B-22BE-43DC-9ED2-F367DDC9B874}" type="pres">
      <dgm:prSet presAssocID="{4A2E3048-223E-4B80-8650-DDDC9881A0DB}" presName="sibTrans" presStyleLbl="sibTrans2D1" presStyleIdx="6" presStyleCnt="7"/>
      <dgm:spPr/>
    </dgm:pt>
    <dgm:pt modelId="{8DCCDFD3-65D5-43EC-BA2A-7E502A98FF91}" type="pres">
      <dgm:prSet presAssocID="{4A2E3048-223E-4B80-8650-DDDC9881A0DB}" presName="connectorText" presStyleLbl="sibTrans2D1" presStyleIdx="6" presStyleCnt="7"/>
      <dgm:spPr/>
    </dgm:pt>
    <dgm:pt modelId="{AA0EB7B6-4876-44FF-AA96-F606FD5B8F54}" type="pres">
      <dgm:prSet presAssocID="{A7EF3808-6A5A-4E37-948F-E264A84D5B5A}" presName="node" presStyleLbl="node1" presStyleIdx="7" presStyleCnt="8">
        <dgm:presLayoutVars>
          <dgm:bulletEnabled val="1"/>
        </dgm:presLayoutVars>
      </dgm:prSet>
      <dgm:spPr/>
    </dgm:pt>
  </dgm:ptLst>
  <dgm:cxnLst>
    <dgm:cxn modelId="{3C31DB03-5459-401A-8CFB-42DFB5B8722C}" srcId="{F93BE4BD-0A41-4784-9041-B0038014ABA3}" destId="{A7EF3808-6A5A-4E37-948F-E264A84D5B5A}" srcOrd="7" destOrd="0" parTransId="{C1D9A87C-95DC-4F3C-8499-E9632FC74235}" sibTransId="{A9FCFA70-64E2-4096-A0C2-AB7CF0826C09}"/>
    <dgm:cxn modelId="{4FDE1E0C-CC49-46E7-9E88-BF2A036D48D4}" type="presOf" srcId="{61051DE1-2E9A-4A33-8C0B-49A351CEB683}" destId="{7713D580-C8BE-4A12-A251-97454F446924}" srcOrd="0" destOrd="0" presId="urn:microsoft.com/office/officeart/2005/8/layout/process2"/>
    <dgm:cxn modelId="{56F98F15-95CF-4BF8-9417-4D839F4CB1F1}" type="presOf" srcId="{3095C8F7-7D35-4EA8-82C4-E0A2286BA4E3}" destId="{047F6380-E6FF-43BF-8DE1-01DDC8B7A1F9}" srcOrd="0" destOrd="0" presId="urn:microsoft.com/office/officeart/2005/8/layout/process2"/>
    <dgm:cxn modelId="{88CE4D2F-709D-411F-99BC-8713CA0F576E}" type="presOf" srcId="{FA26D2EC-2934-414B-A167-90382EED9AC8}" destId="{8DE717B7-8B67-4FDE-B23D-9F2A42DCC51F}" srcOrd="1" destOrd="0" presId="urn:microsoft.com/office/officeart/2005/8/layout/process2"/>
    <dgm:cxn modelId="{D51A085C-CCE0-464D-A561-4B6D189131B0}" type="presOf" srcId="{F1BEF28B-3AF0-4D7B-A5E1-9A7C696269E4}" destId="{171111B0-1959-47B2-BB4B-AD3962D7E5CC}" srcOrd="1" destOrd="0" presId="urn:microsoft.com/office/officeart/2005/8/layout/process2"/>
    <dgm:cxn modelId="{1370425E-AA71-4581-85EE-5B6ECD030123}" type="presOf" srcId="{B36B7EB7-6C33-4A83-95A0-342DADDB5D78}" destId="{340EA58F-4563-4A7B-A1BA-B71171A0E763}" srcOrd="0" destOrd="0" presId="urn:microsoft.com/office/officeart/2005/8/layout/process2"/>
    <dgm:cxn modelId="{7FB33F5F-CE60-40FF-9D6F-D2EDDB1C419F}" type="presOf" srcId="{4A2E3048-223E-4B80-8650-DDDC9881A0DB}" destId="{8DCCDFD3-65D5-43EC-BA2A-7E502A98FF91}" srcOrd="1" destOrd="0" presId="urn:microsoft.com/office/officeart/2005/8/layout/process2"/>
    <dgm:cxn modelId="{7F36F245-FE5C-4A9C-8446-89BD767A605D}" srcId="{F93BE4BD-0A41-4784-9041-B0038014ABA3}" destId="{45085F36-00CE-40F7-8E9C-93664B8FACF1}" srcOrd="4" destOrd="0" parTransId="{D3C5B151-E526-4550-B42A-80406A25DAC5}" sibTransId="{FA26D2EC-2934-414B-A167-90382EED9AC8}"/>
    <dgm:cxn modelId="{6B3EF96F-F659-474E-9317-6B79368DF3F5}" type="presOf" srcId="{B36B7EB7-6C33-4A83-95A0-342DADDB5D78}" destId="{A99C4EF7-4107-429E-ADF2-FDACA2304CF3}" srcOrd="1" destOrd="0" presId="urn:microsoft.com/office/officeart/2005/8/layout/process2"/>
    <dgm:cxn modelId="{C1E64771-A098-4E19-9EC6-1E94E14263A1}" type="presOf" srcId="{A7EF3808-6A5A-4E37-948F-E264A84D5B5A}" destId="{AA0EB7B6-4876-44FF-AA96-F606FD5B8F54}" srcOrd="0" destOrd="0" presId="urn:microsoft.com/office/officeart/2005/8/layout/process2"/>
    <dgm:cxn modelId="{D73DDF52-2AB9-4A57-9360-EB1C42794287}" type="presOf" srcId="{F93BE4BD-0A41-4784-9041-B0038014ABA3}" destId="{779181F5-CC06-4D2C-91A5-0720E43B7DE8}" srcOrd="0" destOrd="0" presId="urn:microsoft.com/office/officeart/2005/8/layout/process2"/>
    <dgm:cxn modelId="{D61C7156-9655-4BF9-AFAB-F01973417D94}" type="presOf" srcId="{02EF2AB7-4F87-435A-8E47-8C480E3730EF}" destId="{057AD071-D543-4850-8C75-53A95400321D}" srcOrd="0" destOrd="0" presId="urn:microsoft.com/office/officeart/2005/8/layout/process2"/>
    <dgm:cxn modelId="{4F566791-91CE-4998-B804-B772AEBEA000}" type="presOf" srcId="{A88CED26-B7A8-48F3-8DE9-484CCBA110B7}" destId="{578328E0-B490-470F-A121-2042534B8247}" srcOrd="1" destOrd="0" presId="urn:microsoft.com/office/officeart/2005/8/layout/process2"/>
    <dgm:cxn modelId="{57453A97-4D1F-460F-998F-DC4C033FA530}" srcId="{F93BE4BD-0A41-4784-9041-B0038014ABA3}" destId="{61051DE1-2E9A-4A33-8C0B-49A351CEB683}" srcOrd="6" destOrd="0" parTransId="{0F9365B0-D794-425E-9602-8E87ED059238}" sibTransId="{4A2E3048-223E-4B80-8650-DDDC9881A0DB}"/>
    <dgm:cxn modelId="{992B3C98-CADE-49C3-AA78-BFDE5ED61BDC}" type="presOf" srcId="{9479D28F-113A-4D2F-81C9-0B52314C4771}" destId="{E8D55AE6-FE54-4B61-B5CA-3D9553415B2B}" srcOrd="0" destOrd="0" presId="urn:microsoft.com/office/officeart/2005/8/layout/process2"/>
    <dgm:cxn modelId="{16703C9B-A6DB-4C67-A833-9CD09375A828}" type="presOf" srcId="{F1BEF28B-3AF0-4D7B-A5E1-9A7C696269E4}" destId="{7EAF3999-243D-42E2-818F-C2D334E079CC}" srcOrd="0" destOrd="0" presId="urn:microsoft.com/office/officeart/2005/8/layout/process2"/>
    <dgm:cxn modelId="{0195FC9F-2F86-411B-A11E-52D37B33441F}" type="presOf" srcId="{DBA36078-7644-4E6F-92CB-ACF158B1B47E}" destId="{AD4D07A4-D3AE-47D5-82FD-D1AB6C04AAA5}" srcOrd="0" destOrd="0" presId="urn:microsoft.com/office/officeart/2005/8/layout/process2"/>
    <dgm:cxn modelId="{038A25A0-60B4-49D1-BCFA-1E216125AE35}" type="presOf" srcId="{CC35D44E-E170-4BC4-9703-04B1452861B8}" destId="{1EBF9403-440C-457A-B396-C1E7E0AAA2CE}" srcOrd="0" destOrd="0" presId="urn:microsoft.com/office/officeart/2005/8/layout/process2"/>
    <dgm:cxn modelId="{D7749DA2-0118-433F-BF40-38C69B774DFF}" type="presOf" srcId="{BF92CB3A-8DD7-4F9F-A466-A0BF3194077B}" destId="{A852B81B-70F8-4F58-8811-13ABD616EAB6}" srcOrd="0" destOrd="0" presId="urn:microsoft.com/office/officeart/2005/8/layout/process2"/>
    <dgm:cxn modelId="{7B2B2DAA-D4FE-409B-83AD-BB082C52D02E}" type="presOf" srcId="{DBA36078-7644-4E6F-92CB-ACF158B1B47E}" destId="{3E1F75E4-5EB9-4F64-B14E-312B5EE76086}" srcOrd="1" destOrd="0" presId="urn:microsoft.com/office/officeart/2005/8/layout/process2"/>
    <dgm:cxn modelId="{57A60BAF-9ABD-40C4-B883-792D3FD581DF}" srcId="{F93BE4BD-0A41-4784-9041-B0038014ABA3}" destId="{3095C8F7-7D35-4EA8-82C4-E0A2286BA4E3}" srcOrd="3" destOrd="0" parTransId="{9B5957B1-8E9D-46D6-930A-2F5D31161BBC}" sibTransId="{F1BEF28B-3AF0-4D7B-A5E1-9A7C696269E4}"/>
    <dgm:cxn modelId="{14505FB2-A890-4C70-AFCA-B4B361F2B644}" type="presOf" srcId="{4A2E3048-223E-4B80-8650-DDDC9881A0DB}" destId="{3A249F3B-22BE-43DC-9ED2-F367DDC9B874}" srcOrd="0" destOrd="0" presId="urn:microsoft.com/office/officeart/2005/8/layout/process2"/>
    <dgm:cxn modelId="{875186B6-297F-4620-BE90-5DC064C923F2}" type="presOf" srcId="{9479D28F-113A-4D2F-81C9-0B52314C4771}" destId="{4B38CD9A-22F7-4A11-A5CD-63BC6FA64070}" srcOrd="1" destOrd="0" presId="urn:microsoft.com/office/officeart/2005/8/layout/process2"/>
    <dgm:cxn modelId="{665C98C8-B136-4E08-96F4-73831CD86B32}" type="presOf" srcId="{A88CED26-B7A8-48F3-8DE9-484CCBA110B7}" destId="{4F3760DA-6589-4E7A-A7CE-B182BBAF7B80}" srcOrd="0" destOrd="0" presId="urn:microsoft.com/office/officeart/2005/8/layout/process2"/>
    <dgm:cxn modelId="{38B82DDB-419C-4DF9-9774-3775A0D16C83}" type="presOf" srcId="{45085F36-00CE-40F7-8E9C-93664B8FACF1}" destId="{F1116396-2D6D-44F2-90D9-35D77D6B808E}" srcOrd="0" destOrd="0" presId="urn:microsoft.com/office/officeart/2005/8/layout/process2"/>
    <dgm:cxn modelId="{3AC04DE3-3CD4-445C-AA0B-7A30D03BD818}" type="presOf" srcId="{AE1A4D63-20A7-48D5-AFC5-2FE85C0770BD}" destId="{41474E0A-FD56-4124-BA1D-64C952E2E82F}" srcOrd="0" destOrd="0" presId="urn:microsoft.com/office/officeart/2005/8/layout/process2"/>
    <dgm:cxn modelId="{DAC1D6E9-8B9B-4C6D-9C4E-872C0CCA8B55}" srcId="{F93BE4BD-0A41-4784-9041-B0038014ABA3}" destId="{CC35D44E-E170-4BC4-9703-04B1452861B8}" srcOrd="2" destOrd="0" parTransId="{2C648B0A-EE06-4D44-8820-5BC5E79AC857}" sibTransId="{A88CED26-B7A8-48F3-8DE9-484CCBA110B7}"/>
    <dgm:cxn modelId="{38F45BEE-B086-4AB3-AFBB-A9940355F0CC}" srcId="{F93BE4BD-0A41-4784-9041-B0038014ABA3}" destId="{BF92CB3A-8DD7-4F9F-A466-A0BF3194077B}" srcOrd="5" destOrd="0" parTransId="{6068A805-F304-4528-9ADA-2B54577477E3}" sibTransId="{B36B7EB7-6C33-4A83-95A0-342DADDB5D78}"/>
    <dgm:cxn modelId="{056490EE-6B32-4406-9E0C-5E06084A9041}" srcId="{F93BE4BD-0A41-4784-9041-B0038014ABA3}" destId="{02EF2AB7-4F87-435A-8E47-8C480E3730EF}" srcOrd="0" destOrd="0" parTransId="{76B39981-BAF0-43A4-8ED0-9E2219D4EAD5}" sibTransId="{DBA36078-7644-4E6F-92CB-ACF158B1B47E}"/>
    <dgm:cxn modelId="{50789DF1-0636-4AA8-8F18-4486A6AE910D}" srcId="{F93BE4BD-0A41-4784-9041-B0038014ABA3}" destId="{AE1A4D63-20A7-48D5-AFC5-2FE85C0770BD}" srcOrd="1" destOrd="0" parTransId="{4F564915-6A4F-43EA-82BA-372823470507}" sibTransId="{9479D28F-113A-4D2F-81C9-0B52314C4771}"/>
    <dgm:cxn modelId="{F6F026FD-E03E-4DCA-B274-F66E575B01DF}" type="presOf" srcId="{FA26D2EC-2934-414B-A167-90382EED9AC8}" destId="{BEB1CC9D-2FBB-46B7-896D-BDB128A27B33}" srcOrd="0" destOrd="0" presId="urn:microsoft.com/office/officeart/2005/8/layout/process2"/>
    <dgm:cxn modelId="{ED4C6FA5-9AA1-4CFC-866C-0C28A3361ED7}" type="presParOf" srcId="{779181F5-CC06-4D2C-91A5-0720E43B7DE8}" destId="{057AD071-D543-4850-8C75-53A95400321D}" srcOrd="0" destOrd="0" presId="urn:microsoft.com/office/officeart/2005/8/layout/process2"/>
    <dgm:cxn modelId="{71D643C3-E003-4F41-B71A-3CAAEC47CF96}" type="presParOf" srcId="{779181F5-CC06-4D2C-91A5-0720E43B7DE8}" destId="{AD4D07A4-D3AE-47D5-82FD-D1AB6C04AAA5}" srcOrd="1" destOrd="0" presId="urn:microsoft.com/office/officeart/2005/8/layout/process2"/>
    <dgm:cxn modelId="{C694AECB-E28C-4B99-932C-4E185F4FA0B2}" type="presParOf" srcId="{AD4D07A4-D3AE-47D5-82FD-D1AB6C04AAA5}" destId="{3E1F75E4-5EB9-4F64-B14E-312B5EE76086}" srcOrd="0" destOrd="0" presId="urn:microsoft.com/office/officeart/2005/8/layout/process2"/>
    <dgm:cxn modelId="{269909E1-2719-46D5-8340-D5D6D819D176}" type="presParOf" srcId="{779181F5-CC06-4D2C-91A5-0720E43B7DE8}" destId="{41474E0A-FD56-4124-BA1D-64C952E2E82F}" srcOrd="2" destOrd="0" presId="urn:microsoft.com/office/officeart/2005/8/layout/process2"/>
    <dgm:cxn modelId="{A6D92B70-D363-4560-BF91-6EFEA59F949E}" type="presParOf" srcId="{779181F5-CC06-4D2C-91A5-0720E43B7DE8}" destId="{E8D55AE6-FE54-4B61-B5CA-3D9553415B2B}" srcOrd="3" destOrd="0" presId="urn:microsoft.com/office/officeart/2005/8/layout/process2"/>
    <dgm:cxn modelId="{E9BAC842-1C52-4FD9-8131-29E11C9D4CCD}" type="presParOf" srcId="{E8D55AE6-FE54-4B61-B5CA-3D9553415B2B}" destId="{4B38CD9A-22F7-4A11-A5CD-63BC6FA64070}" srcOrd="0" destOrd="0" presId="urn:microsoft.com/office/officeart/2005/8/layout/process2"/>
    <dgm:cxn modelId="{88FB5C0A-FDE8-4241-96F5-A67F63EEF262}" type="presParOf" srcId="{779181F5-CC06-4D2C-91A5-0720E43B7DE8}" destId="{1EBF9403-440C-457A-B396-C1E7E0AAA2CE}" srcOrd="4" destOrd="0" presId="urn:microsoft.com/office/officeart/2005/8/layout/process2"/>
    <dgm:cxn modelId="{A8344CDE-4C09-4E79-B37C-1A314EE790B9}" type="presParOf" srcId="{779181F5-CC06-4D2C-91A5-0720E43B7DE8}" destId="{4F3760DA-6589-4E7A-A7CE-B182BBAF7B80}" srcOrd="5" destOrd="0" presId="urn:microsoft.com/office/officeart/2005/8/layout/process2"/>
    <dgm:cxn modelId="{4398CF52-6C02-4477-ACA4-5E159CB20A93}" type="presParOf" srcId="{4F3760DA-6589-4E7A-A7CE-B182BBAF7B80}" destId="{578328E0-B490-470F-A121-2042534B8247}" srcOrd="0" destOrd="0" presId="urn:microsoft.com/office/officeart/2005/8/layout/process2"/>
    <dgm:cxn modelId="{16A9CA06-8220-4361-8DC0-4E21F34A5560}" type="presParOf" srcId="{779181F5-CC06-4D2C-91A5-0720E43B7DE8}" destId="{047F6380-E6FF-43BF-8DE1-01DDC8B7A1F9}" srcOrd="6" destOrd="0" presId="urn:microsoft.com/office/officeart/2005/8/layout/process2"/>
    <dgm:cxn modelId="{F7999D63-2BDC-4EB6-9397-96DC863CBB75}" type="presParOf" srcId="{779181F5-CC06-4D2C-91A5-0720E43B7DE8}" destId="{7EAF3999-243D-42E2-818F-C2D334E079CC}" srcOrd="7" destOrd="0" presId="urn:microsoft.com/office/officeart/2005/8/layout/process2"/>
    <dgm:cxn modelId="{B126F0A1-3285-4DA2-A4C1-2639C181D273}" type="presParOf" srcId="{7EAF3999-243D-42E2-818F-C2D334E079CC}" destId="{171111B0-1959-47B2-BB4B-AD3962D7E5CC}" srcOrd="0" destOrd="0" presId="urn:microsoft.com/office/officeart/2005/8/layout/process2"/>
    <dgm:cxn modelId="{7BB836E5-E1F9-497C-AD7F-62C95C3E95CA}" type="presParOf" srcId="{779181F5-CC06-4D2C-91A5-0720E43B7DE8}" destId="{F1116396-2D6D-44F2-90D9-35D77D6B808E}" srcOrd="8" destOrd="0" presId="urn:microsoft.com/office/officeart/2005/8/layout/process2"/>
    <dgm:cxn modelId="{7214BDC3-3CB3-414B-A9DA-41F5152230EA}" type="presParOf" srcId="{779181F5-CC06-4D2C-91A5-0720E43B7DE8}" destId="{BEB1CC9D-2FBB-46B7-896D-BDB128A27B33}" srcOrd="9" destOrd="0" presId="urn:microsoft.com/office/officeart/2005/8/layout/process2"/>
    <dgm:cxn modelId="{83E2414D-CD9A-42A9-ADC9-9397289C7B7F}" type="presParOf" srcId="{BEB1CC9D-2FBB-46B7-896D-BDB128A27B33}" destId="{8DE717B7-8B67-4FDE-B23D-9F2A42DCC51F}" srcOrd="0" destOrd="0" presId="urn:microsoft.com/office/officeart/2005/8/layout/process2"/>
    <dgm:cxn modelId="{421C7F14-673E-4F14-AF8E-97A29FCB313E}" type="presParOf" srcId="{779181F5-CC06-4D2C-91A5-0720E43B7DE8}" destId="{A852B81B-70F8-4F58-8811-13ABD616EAB6}" srcOrd="10" destOrd="0" presId="urn:microsoft.com/office/officeart/2005/8/layout/process2"/>
    <dgm:cxn modelId="{1462F5C9-29E2-4742-9DF9-663D7790C08C}" type="presParOf" srcId="{779181F5-CC06-4D2C-91A5-0720E43B7DE8}" destId="{340EA58F-4563-4A7B-A1BA-B71171A0E763}" srcOrd="11" destOrd="0" presId="urn:microsoft.com/office/officeart/2005/8/layout/process2"/>
    <dgm:cxn modelId="{C9702EC9-96E0-45F4-8EB8-009FB6858313}" type="presParOf" srcId="{340EA58F-4563-4A7B-A1BA-B71171A0E763}" destId="{A99C4EF7-4107-429E-ADF2-FDACA2304CF3}" srcOrd="0" destOrd="0" presId="urn:microsoft.com/office/officeart/2005/8/layout/process2"/>
    <dgm:cxn modelId="{204D0430-25AE-4767-B03B-3FD1234D7633}" type="presParOf" srcId="{779181F5-CC06-4D2C-91A5-0720E43B7DE8}" destId="{7713D580-C8BE-4A12-A251-97454F446924}" srcOrd="12" destOrd="0" presId="urn:microsoft.com/office/officeart/2005/8/layout/process2"/>
    <dgm:cxn modelId="{2E93E887-D67A-40E8-8A93-E66A6C76F4B4}" type="presParOf" srcId="{779181F5-CC06-4D2C-91A5-0720E43B7DE8}" destId="{3A249F3B-22BE-43DC-9ED2-F367DDC9B874}" srcOrd="13" destOrd="0" presId="urn:microsoft.com/office/officeart/2005/8/layout/process2"/>
    <dgm:cxn modelId="{118A5189-BFFA-4EC6-80D9-E0A55C67A1DC}" type="presParOf" srcId="{3A249F3B-22BE-43DC-9ED2-F367DDC9B874}" destId="{8DCCDFD3-65D5-43EC-BA2A-7E502A98FF91}" srcOrd="0" destOrd="0" presId="urn:microsoft.com/office/officeart/2005/8/layout/process2"/>
    <dgm:cxn modelId="{7960796D-7BCB-4B4B-AF66-093171719F21}" type="presParOf" srcId="{779181F5-CC06-4D2C-91A5-0720E43B7DE8}" destId="{AA0EB7B6-4876-44FF-AA96-F606FD5B8F54}" srcOrd="14" destOrd="0" presId="urn:microsoft.com/office/officeart/2005/8/layout/process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7AD071-D543-4850-8C75-53A95400321D}">
      <dsp:nvSpPr>
        <dsp:cNvPr id="0" name=""/>
        <dsp:cNvSpPr/>
      </dsp:nvSpPr>
      <dsp:spPr>
        <a:xfrm>
          <a:off x="2222176" y="781"/>
          <a:ext cx="1042046" cy="278159"/>
        </a:xfrm>
        <a:prstGeom prst="roundRect">
          <a:avLst>
            <a:gd name="adj" fmla="val 10000"/>
          </a:avLst>
        </a:prstGeom>
        <a:solidFill>
          <a:schemeClr val="dk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Start</a:t>
          </a:r>
        </a:p>
      </dsp:txBody>
      <dsp:txXfrm>
        <a:off x="2230323" y="8928"/>
        <a:ext cx="1025752" cy="261865"/>
      </dsp:txXfrm>
    </dsp:sp>
    <dsp:sp modelId="{AD4D07A4-D3AE-47D5-82FD-D1AB6C04AAA5}">
      <dsp:nvSpPr>
        <dsp:cNvPr id="0" name=""/>
        <dsp:cNvSpPr/>
      </dsp:nvSpPr>
      <dsp:spPr>
        <a:xfrm rot="5400000">
          <a:off x="2691045" y="285895"/>
          <a:ext cx="104309" cy="125171"/>
        </a:xfrm>
        <a:prstGeom prst="rightArrow">
          <a:avLst>
            <a:gd name="adj1" fmla="val 60000"/>
            <a:gd name="adj2" fmla="val 50000"/>
          </a:avLst>
        </a:prstGeom>
        <a:solidFill>
          <a:schemeClr val="dk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5400000">
        <a:off x="2705649" y="296326"/>
        <a:ext cx="75103" cy="73016"/>
      </dsp:txXfrm>
    </dsp:sp>
    <dsp:sp modelId="{41474E0A-FD56-4124-BA1D-64C952E2E82F}">
      <dsp:nvSpPr>
        <dsp:cNvPr id="0" name=""/>
        <dsp:cNvSpPr/>
      </dsp:nvSpPr>
      <dsp:spPr>
        <a:xfrm>
          <a:off x="2222176" y="418020"/>
          <a:ext cx="1042046" cy="278159"/>
        </a:xfrm>
        <a:prstGeom prst="roundRect">
          <a:avLst>
            <a:gd name="adj" fmla="val 10000"/>
          </a:avLst>
        </a:prstGeom>
        <a:solidFill>
          <a:schemeClr val="dk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Threat Detected </a:t>
          </a:r>
        </a:p>
      </dsp:txBody>
      <dsp:txXfrm>
        <a:off x="2230323" y="426167"/>
        <a:ext cx="1025752" cy="261865"/>
      </dsp:txXfrm>
    </dsp:sp>
    <dsp:sp modelId="{E8D55AE6-FE54-4B61-B5CA-3D9553415B2B}">
      <dsp:nvSpPr>
        <dsp:cNvPr id="0" name=""/>
        <dsp:cNvSpPr/>
      </dsp:nvSpPr>
      <dsp:spPr>
        <a:xfrm rot="5400000">
          <a:off x="2691045" y="703134"/>
          <a:ext cx="104309" cy="125171"/>
        </a:xfrm>
        <a:prstGeom prst="rightArrow">
          <a:avLst>
            <a:gd name="adj1" fmla="val 60000"/>
            <a:gd name="adj2" fmla="val 50000"/>
          </a:avLst>
        </a:prstGeom>
        <a:solidFill>
          <a:schemeClr val="dk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5400000">
        <a:off x="2705649" y="713565"/>
        <a:ext cx="75103" cy="73016"/>
      </dsp:txXfrm>
    </dsp:sp>
    <dsp:sp modelId="{1EBF9403-440C-457A-B396-C1E7E0AAA2CE}">
      <dsp:nvSpPr>
        <dsp:cNvPr id="0" name=""/>
        <dsp:cNvSpPr/>
      </dsp:nvSpPr>
      <dsp:spPr>
        <a:xfrm>
          <a:off x="2222176" y="835260"/>
          <a:ext cx="1042046" cy="278159"/>
        </a:xfrm>
        <a:prstGeom prst="roundRect">
          <a:avLst>
            <a:gd name="adj" fmla="val 10000"/>
          </a:avLst>
        </a:prstGeom>
        <a:solidFill>
          <a:schemeClr val="dk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Analyse Threat</a:t>
          </a:r>
        </a:p>
      </dsp:txBody>
      <dsp:txXfrm>
        <a:off x="2230323" y="843407"/>
        <a:ext cx="1025752" cy="261865"/>
      </dsp:txXfrm>
    </dsp:sp>
    <dsp:sp modelId="{4F3760DA-6589-4E7A-A7CE-B182BBAF7B80}">
      <dsp:nvSpPr>
        <dsp:cNvPr id="0" name=""/>
        <dsp:cNvSpPr/>
      </dsp:nvSpPr>
      <dsp:spPr>
        <a:xfrm rot="5400000">
          <a:off x="2691045" y="1120374"/>
          <a:ext cx="104309" cy="125171"/>
        </a:xfrm>
        <a:prstGeom prst="rightArrow">
          <a:avLst>
            <a:gd name="adj1" fmla="val 60000"/>
            <a:gd name="adj2" fmla="val 50000"/>
          </a:avLst>
        </a:prstGeom>
        <a:solidFill>
          <a:schemeClr val="dk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5400000">
        <a:off x="2705649" y="1130805"/>
        <a:ext cx="75103" cy="73016"/>
      </dsp:txXfrm>
    </dsp:sp>
    <dsp:sp modelId="{047F6380-E6FF-43BF-8DE1-01DDC8B7A1F9}">
      <dsp:nvSpPr>
        <dsp:cNvPr id="0" name=""/>
        <dsp:cNvSpPr/>
      </dsp:nvSpPr>
      <dsp:spPr>
        <a:xfrm>
          <a:off x="2222176" y="1252500"/>
          <a:ext cx="1042046" cy="278159"/>
        </a:xfrm>
        <a:prstGeom prst="roundRect">
          <a:avLst>
            <a:gd name="adj" fmla="val 10000"/>
          </a:avLst>
        </a:prstGeom>
        <a:solidFill>
          <a:schemeClr val="dk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Contain Attack</a:t>
          </a:r>
        </a:p>
      </dsp:txBody>
      <dsp:txXfrm>
        <a:off x="2230323" y="1260647"/>
        <a:ext cx="1025752" cy="261865"/>
      </dsp:txXfrm>
    </dsp:sp>
    <dsp:sp modelId="{7EAF3999-243D-42E2-818F-C2D334E079CC}">
      <dsp:nvSpPr>
        <dsp:cNvPr id="0" name=""/>
        <dsp:cNvSpPr/>
      </dsp:nvSpPr>
      <dsp:spPr>
        <a:xfrm rot="5400000">
          <a:off x="2691045" y="1537614"/>
          <a:ext cx="104309" cy="125171"/>
        </a:xfrm>
        <a:prstGeom prst="rightArrow">
          <a:avLst>
            <a:gd name="adj1" fmla="val 60000"/>
            <a:gd name="adj2" fmla="val 50000"/>
          </a:avLst>
        </a:prstGeom>
        <a:solidFill>
          <a:schemeClr val="dk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5400000">
        <a:off x="2705649" y="1548045"/>
        <a:ext cx="75103" cy="73016"/>
      </dsp:txXfrm>
    </dsp:sp>
    <dsp:sp modelId="{F1116396-2D6D-44F2-90D9-35D77D6B808E}">
      <dsp:nvSpPr>
        <dsp:cNvPr id="0" name=""/>
        <dsp:cNvSpPr/>
      </dsp:nvSpPr>
      <dsp:spPr>
        <a:xfrm>
          <a:off x="2222176" y="1669739"/>
          <a:ext cx="1042046" cy="278159"/>
        </a:xfrm>
        <a:prstGeom prst="roundRect">
          <a:avLst>
            <a:gd name="adj" fmla="val 10000"/>
          </a:avLst>
        </a:prstGeom>
        <a:solidFill>
          <a:schemeClr val="dk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Remove Threat</a:t>
          </a:r>
        </a:p>
      </dsp:txBody>
      <dsp:txXfrm>
        <a:off x="2230323" y="1677886"/>
        <a:ext cx="1025752" cy="261865"/>
      </dsp:txXfrm>
    </dsp:sp>
    <dsp:sp modelId="{BEB1CC9D-2FBB-46B7-896D-BDB128A27B33}">
      <dsp:nvSpPr>
        <dsp:cNvPr id="0" name=""/>
        <dsp:cNvSpPr/>
      </dsp:nvSpPr>
      <dsp:spPr>
        <a:xfrm rot="5400000">
          <a:off x="2691045" y="1954853"/>
          <a:ext cx="104309" cy="125171"/>
        </a:xfrm>
        <a:prstGeom prst="rightArrow">
          <a:avLst>
            <a:gd name="adj1" fmla="val 60000"/>
            <a:gd name="adj2" fmla="val 50000"/>
          </a:avLst>
        </a:prstGeom>
        <a:solidFill>
          <a:schemeClr val="dk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5400000">
        <a:off x="2705649" y="1965284"/>
        <a:ext cx="75103" cy="73016"/>
      </dsp:txXfrm>
    </dsp:sp>
    <dsp:sp modelId="{A852B81B-70F8-4F58-8811-13ABD616EAB6}">
      <dsp:nvSpPr>
        <dsp:cNvPr id="0" name=""/>
        <dsp:cNvSpPr/>
      </dsp:nvSpPr>
      <dsp:spPr>
        <a:xfrm>
          <a:off x="2222176" y="2086979"/>
          <a:ext cx="1042046" cy="278159"/>
        </a:xfrm>
        <a:prstGeom prst="roundRect">
          <a:avLst>
            <a:gd name="adj" fmla="val 10000"/>
          </a:avLst>
        </a:prstGeom>
        <a:solidFill>
          <a:schemeClr val="dk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Recover Systems </a:t>
          </a:r>
        </a:p>
      </dsp:txBody>
      <dsp:txXfrm>
        <a:off x="2230323" y="2095126"/>
        <a:ext cx="1025752" cy="261865"/>
      </dsp:txXfrm>
    </dsp:sp>
    <dsp:sp modelId="{340EA58F-4563-4A7B-A1BA-B71171A0E763}">
      <dsp:nvSpPr>
        <dsp:cNvPr id="0" name=""/>
        <dsp:cNvSpPr/>
      </dsp:nvSpPr>
      <dsp:spPr>
        <a:xfrm rot="5400000">
          <a:off x="2691045" y="2372093"/>
          <a:ext cx="104309" cy="125171"/>
        </a:xfrm>
        <a:prstGeom prst="rightArrow">
          <a:avLst>
            <a:gd name="adj1" fmla="val 60000"/>
            <a:gd name="adj2" fmla="val 50000"/>
          </a:avLst>
        </a:prstGeom>
        <a:solidFill>
          <a:schemeClr val="dk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5400000">
        <a:off x="2705649" y="2382524"/>
        <a:ext cx="75103" cy="73016"/>
      </dsp:txXfrm>
    </dsp:sp>
    <dsp:sp modelId="{7713D580-C8BE-4A12-A251-97454F446924}">
      <dsp:nvSpPr>
        <dsp:cNvPr id="0" name=""/>
        <dsp:cNvSpPr/>
      </dsp:nvSpPr>
      <dsp:spPr>
        <a:xfrm>
          <a:off x="2222176" y="2504219"/>
          <a:ext cx="1042046" cy="278159"/>
        </a:xfrm>
        <a:prstGeom prst="roundRect">
          <a:avLst>
            <a:gd name="adj" fmla="val 10000"/>
          </a:avLst>
        </a:prstGeom>
        <a:solidFill>
          <a:schemeClr val="dk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Review &amp; Improve</a:t>
          </a:r>
        </a:p>
      </dsp:txBody>
      <dsp:txXfrm>
        <a:off x="2230323" y="2512366"/>
        <a:ext cx="1025752" cy="261865"/>
      </dsp:txXfrm>
    </dsp:sp>
    <dsp:sp modelId="{3A249F3B-22BE-43DC-9ED2-F367DDC9B874}">
      <dsp:nvSpPr>
        <dsp:cNvPr id="0" name=""/>
        <dsp:cNvSpPr/>
      </dsp:nvSpPr>
      <dsp:spPr>
        <a:xfrm rot="5400000">
          <a:off x="2691045" y="2789332"/>
          <a:ext cx="104309" cy="125171"/>
        </a:xfrm>
        <a:prstGeom prst="rightArrow">
          <a:avLst>
            <a:gd name="adj1" fmla="val 60000"/>
            <a:gd name="adj2" fmla="val 50000"/>
          </a:avLst>
        </a:prstGeom>
        <a:solidFill>
          <a:schemeClr val="dk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5400000">
        <a:off x="2705649" y="2799763"/>
        <a:ext cx="75103" cy="73016"/>
      </dsp:txXfrm>
    </dsp:sp>
    <dsp:sp modelId="{AA0EB7B6-4876-44FF-AA96-F606FD5B8F54}">
      <dsp:nvSpPr>
        <dsp:cNvPr id="0" name=""/>
        <dsp:cNvSpPr/>
      </dsp:nvSpPr>
      <dsp:spPr>
        <a:xfrm>
          <a:off x="2222176" y="2921458"/>
          <a:ext cx="1042046" cy="278159"/>
        </a:xfrm>
        <a:prstGeom prst="roundRect">
          <a:avLst>
            <a:gd name="adj" fmla="val 10000"/>
          </a:avLst>
        </a:prstGeom>
        <a:solidFill>
          <a:schemeClr val="dk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End</a:t>
          </a:r>
        </a:p>
      </dsp:txBody>
      <dsp:txXfrm>
        <a:off x="2230323" y="2929605"/>
        <a:ext cx="1025752" cy="26186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LONDON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UKG23</b:Tag>
    <b:SourceType>Report</b:SourceType>
    <b:Guid>{2452F7CE-3F39-43BE-A907-014B4830C75D}</b:Guid>
    <b:Author>
      <b:Author>
        <b:NameList>
          <b:Person>
            <b:Last>Government</b:Last>
            <b:First>UK</b:First>
          </b:Person>
        </b:NameList>
      </b:Author>
    </b:Author>
    <b:Title>Guide to the UK General Data Protection Regulation (UK GDPR)</b:Title>
    <b:Year>2023</b:Year>
    <b:RefOrder>2</b:RefOrder>
  </b:Source>
  <b:Source>
    <b:Tag>Cis24</b:Tag>
    <b:SourceType>Report</b:SourceType>
    <b:Guid>{2DDE9524-5DD9-479C-91C6-861E960B95B4}</b:Guid>
    <b:Author>
      <b:Author>
        <b:NameList>
          <b:Person>
            <b:Last>Cisco</b:Last>
          </b:Person>
        </b:NameList>
      </b:Author>
    </b:Author>
    <b:Title>Cybersecurity Best Practices</b:Title>
    <b:Year>2024</b:Year>
    <b:RefOrder>3</b:RefOrder>
  </b:Source>
  <b:Source>
    <b:Tag>Nat23</b:Tag>
    <b:SourceType>Report</b:SourceType>
    <b:Guid>{10868FE0-E5B7-4582-9C71-8FF61B468F8A}</b:Guid>
    <b:Author>
      <b:Author>
        <b:NameList>
          <b:Person>
            <b:Last>Centre</b:Last>
            <b:First>National</b:First>
            <b:Middle>Cyber Security</b:Middle>
          </b:Person>
        </b:NameList>
      </b:Author>
    </b:Author>
    <b:Title>Cyber Security Training and Awareness</b:Title>
    <b:Year>2023</b:Year>
    <b:RefOrder>4</b:RefOrder>
  </b:Source>
  <b:Source>
    <b:Tag>ISO22</b:Tag>
    <b:SourceType>Report</b:SourceType>
    <b:Guid>{B3542C8B-9AB7-4EBD-B116-94B094BA6C99}</b:Guid>
    <b:Title>ISO/IEC 27001 Information Security Management Systems</b:Title>
    <b:Year>2022</b:Year>
    <b:Author>
      <b:Author>
        <b:NameList>
          <b:Person>
            <b:Last>ISO/IEC</b:La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26F040-6740-4EE3-AEF5-B4DEF58EE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1</Pages>
  <Words>2506</Words>
  <Characters>14288</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ASSESSMENT 1</vt:lpstr>
    </vt:vector>
  </TitlesOfParts>
  <Company>University of wales trinity saint david</Company>
  <LinksUpToDate>false</LinksUpToDate>
  <CharactersWithSpaces>16761</CharactersWithSpaces>
  <SharedDoc>false</SharedDoc>
  <HLinks>
    <vt:vector size="120" baseType="variant">
      <vt:variant>
        <vt:i4>1572917</vt:i4>
      </vt:variant>
      <vt:variant>
        <vt:i4>116</vt:i4>
      </vt:variant>
      <vt:variant>
        <vt:i4>0</vt:i4>
      </vt:variant>
      <vt:variant>
        <vt:i4>5</vt:i4>
      </vt:variant>
      <vt:variant>
        <vt:lpwstr/>
      </vt:variant>
      <vt:variant>
        <vt:lpwstr>_Toc227328261</vt:lpwstr>
      </vt:variant>
      <vt:variant>
        <vt:i4>1572917</vt:i4>
      </vt:variant>
      <vt:variant>
        <vt:i4>110</vt:i4>
      </vt:variant>
      <vt:variant>
        <vt:i4>0</vt:i4>
      </vt:variant>
      <vt:variant>
        <vt:i4>5</vt:i4>
      </vt:variant>
      <vt:variant>
        <vt:lpwstr/>
      </vt:variant>
      <vt:variant>
        <vt:lpwstr>_Toc227328260</vt:lpwstr>
      </vt:variant>
      <vt:variant>
        <vt:i4>1769525</vt:i4>
      </vt:variant>
      <vt:variant>
        <vt:i4>104</vt:i4>
      </vt:variant>
      <vt:variant>
        <vt:i4>0</vt:i4>
      </vt:variant>
      <vt:variant>
        <vt:i4>5</vt:i4>
      </vt:variant>
      <vt:variant>
        <vt:lpwstr/>
      </vt:variant>
      <vt:variant>
        <vt:lpwstr>_Toc227328259</vt:lpwstr>
      </vt:variant>
      <vt:variant>
        <vt:i4>1769525</vt:i4>
      </vt:variant>
      <vt:variant>
        <vt:i4>98</vt:i4>
      </vt:variant>
      <vt:variant>
        <vt:i4>0</vt:i4>
      </vt:variant>
      <vt:variant>
        <vt:i4>5</vt:i4>
      </vt:variant>
      <vt:variant>
        <vt:lpwstr/>
      </vt:variant>
      <vt:variant>
        <vt:lpwstr>_Toc227328258</vt:lpwstr>
      </vt:variant>
      <vt:variant>
        <vt:i4>1769525</vt:i4>
      </vt:variant>
      <vt:variant>
        <vt:i4>92</vt:i4>
      </vt:variant>
      <vt:variant>
        <vt:i4>0</vt:i4>
      </vt:variant>
      <vt:variant>
        <vt:i4>5</vt:i4>
      </vt:variant>
      <vt:variant>
        <vt:lpwstr/>
      </vt:variant>
      <vt:variant>
        <vt:lpwstr>_Toc227328257</vt:lpwstr>
      </vt:variant>
      <vt:variant>
        <vt:i4>1769525</vt:i4>
      </vt:variant>
      <vt:variant>
        <vt:i4>86</vt:i4>
      </vt:variant>
      <vt:variant>
        <vt:i4>0</vt:i4>
      </vt:variant>
      <vt:variant>
        <vt:i4>5</vt:i4>
      </vt:variant>
      <vt:variant>
        <vt:lpwstr/>
      </vt:variant>
      <vt:variant>
        <vt:lpwstr>_Toc227328256</vt:lpwstr>
      </vt:variant>
      <vt:variant>
        <vt:i4>1769525</vt:i4>
      </vt:variant>
      <vt:variant>
        <vt:i4>80</vt:i4>
      </vt:variant>
      <vt:variant>
        <vt:i4>0</vt:i4>
      </vt:variant>
      <vt:variant>
        <vt:i4>5</vt:i4>
      </vt:variant>
      <vt:variant>
        <vt:lpwstr/>
      </vt:variant>
      <vt:variant>
        <vt:lpwstr>_Toc227328255</vt:lpwstr>
      </vt:variant>
      <vt:variant>
        <vt:i4>1769525</vt:i4>
      </vt:variant>
      <vt:variant>
        <vt:i4>74</vt:i4>
      </vt:variant>
      <vt:variant>
        <vt:i4>0</vt:i4>
      </vt:variant>
      <vt:variant>
        <vt:i4>5</vt:i4>
      </vt:variant>
      <vt:variant>
        <vt:lpwstr/>
      </vt:variant>
      <vt:variant>
        <vt:lpwstr>_Toc227328254</vt:lpwstr>
      </vt:variant>
      <vt:variant>
        <vt:i4>1769525</vt:i4>
      </vt:variant>
      <vt:variant>
        <vt:i4>68</vt:i4>
      </vt:variant>
      <vt:variant>
        <vt:i4>0</vt:i4>
      </vt:variant>
      <vt:variant>
        <vt:i4>5</vt:i4>
      </vt:variant>
      <vt:variant>
        <vt:lpwstr/>
      </vt:variant>
      <vt:variant>
        <vt:lpwstr>_Toc227328253</vt:lpwstr>
      </vt:variant>
      <vt:variant>
        <vt:i4>1769525</vt:i4>
      </vt:variant>
      <vt:variant>
        <vt:i4>62</vt:i4>
      </vt:variant>
      <vt:variant>
        <vt:i4>0</vt:i4>
      </vt:variant>
      <vt:variant>
        <vt:i4>5</vt:i4>
      </vt:variant>
      <vt:variant>
        <vt:lpwstr/>
      </vt:variant>
      <vt:variant>
        <vt:lpwstr>_Toc227328252</vt:lpwstr>
      </vt:variant>
      <vt:variant>
        <vt:i4>1769525</vt:i4>
      </vt:variant>
      <vt:variant>
        <vt:i4>56</vt:i4>
      </vt:variant>
      <vt:variant>
        <vt:i4>0</vt:i4>
      </vt:variant>
      <vt:variant>
        <vt:i4>5</vt:i4>
      </vt:variant>
      <vt:variant>
        <vt:lpwstr/>
      </vt:variant>
      <vt:variant>
        <vt:lpwstr>_Toc227328251</vt:lpwstr>
      </vt:variant>
      <vt:variant>
        <vt:i4>1769525</vt:i4>
      </vt:variant>
      <vt:variant>
        <vt:i4>50</vt:i4>
      </vt:variant>
      <vt:variant>
        <vt:i4>0</vt:i4>
      </vt:variant>
      <vt:variant>
        <vt:i4>5</vt:i4>
      </vt:variant>
      <vt:variant>
        <vt:lpwstr/>
      </vt:variant>
      <vt:variant>
        <vt:lpwstr>_Toc227328250</vt:lpwstr>
      </vt:variant>
      <vt:variant>
        <vt:i4>1703989</vt:i4>
      </vt:variant>
      <vt:variant>
        <vt:i4>44</vt:i4>
      </vt:variant>
      <vt:variant>
        <vt:i4>0</vt:i4>
      </vt:variant>
      <vt:variant>
        <vt:i4>5</vt:i4>
      </vt:variant>
      <vt:variant>
        <vt:lpwstr/>
      </vt:variant>
      <vt:variant>
        <vt:lpwstr>_Toc227328249</vt:lpwstr>
      </vt:variant>
      <vt:variant>
        <vt:i4>1703989</vt:i4>
      </vt:variant>
      <vt:variant>
        <vt:i4>38</vt:i4>
      </vt:variant>
      <vt:variant>
        <vt:i4>0</vt:i4>
      </vt:variant>
      <vt:variant>
        <vt:i4>5</vt:i4>
      </vt:variant>
      <vt:variant>
        <vt:lpwstr/>
      </vt:variant>
      <vt:variant>
        <vt:lpwstr>_Toc227328248</vt:lpwstr>
      </vt:variant>
      <vt:variant>
        <vt:i4>1703989</vt:i4>
      </vt:variant>
      <vt:variant>
        <vt:i4>32</vt:i4>
      </vt:variant>
      <vt:variant>
        <vt:i4>0</vt:i4>
      </vt:variant>
      <vt:variant>
        <vt:i4>5</vt:i4>
      </vt:variant>
      <vt:variant>
        <vt:lpwstr/>
      </vt:variant>
      <vt:variant>
        <vt:lpwstr>_Toc227328247</vt:lpwstr>
      </vt:variant>
      <vt:variant>
        <vt:i4>1703989</vt:i4>
      </vt:variant>
      <vt:variant>
        <vt:i4>26</vt:i4>
      </vt:variant>
      <vt:variant>
        <vt:i4>0</vt:i4>
      </vt:variant>
      <vt:variant>
        <vt:i4>5</vt:i4>
      </vt:variant>
      <vt:variant>
        <vt:lpwstr/>
      </vt:variant>
      <vt:variant>
        <vt:lpwstr>_Toc227328246</vt:lpwstr>
      </vt:variant>
      <vt:variant>
        <vt:i4>1703989</vt:i4>
      </vt:variant>
      <vt:variant>
        <vt:i4>20</vt:i4>
      </vt:variant>
      <vt:variant>
        <vt:i4>0</vt:i4>
      </vt:variant>
      <vt:variant>
        <vt:i4>5</vt:i4>
      </vt:variant>
      <vt:variant>
        <vt:lpwstr/>
      </vt:variant>
      <vt:variant>
        <vt:lpwstr>_Toc227328245</vt:lpwstr>
      </vt:variant>
      <vt:variant>
        <vt:i4>1703989</vt:i4>
      </vt:variant>
      <vt:variant>
        <vt:i4>14</vt:i4>
      </vt:variant>
      <vt:variant>
        <vt:i4>0</vt:i4>
      </vt:variant>
      <vt:variant>
        <vt:i4>5</vt:i4>
      </vt:variant>
      <vt:variant>
        <vt:lpwstr/>
      </vt:variant>
      <vt:variant>
        <vt:lpwstr>_Toc227328244</vt:lpwstr>
      </vt:variant>
      <vt:variant>
        <vt:i4>1703989</vt:i4>
      </vt:variant>
      <vt:variant>
        <vt:i4>8</vt:i4>
      </vt:variant>
      <vt:variant>
        <vt:i4>0</vt:i4>
      </vt:variant>
      <vt:variant>
        <vt:i4>5</vt:i4>
      </vt:variant>
      <vt:variant>
        <vt:lpwstr/>
      </vt:variant>
      <vt:variant>
        <vt:lpwstr>_Toc227328243</vt:lpwstr>
      </vt:variant>
      <vt:variant>
        <vt:i4>1703989</vt:i4>
      </vt:variant>
      <vt:variant>
        <vt:i4>2</vt:i4>
      </vt:variant>
      <vt:variant>
        <vt:i4>0</vt:i4>
      </vt:variant>
      <vt:variant>
        <vt:i4>5</vt:i4>
      </vt:variant>
      <vt:variant>
        <vt:lpwstr/>
      </vt:variant>
      <vt:variant>
        <vt:lpwstr>_Toc227328242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Synthesize a solution to a potential real-life scenario</dc:subject>
  <dc:creator>University of Wales Trinity Saint David</dc:creator>
  <cp:keywords/>
  <dc:description/>
  <cp:lastModifiedBy>Elena Mihail (2437664)</cp:lastModifiedBy>
  <cp:revision>145</cp:revision>
  <dcterms:created xsi:type="dcterms:W3CDTF">2026-03-27T19:52:00Z</dcterms:created>
  <dcterms:modified xsi:type="dcterms:W3CDTF">2026-04-27T13:45:00Z</dcterms:modified>
  <cp:category>London Campus</cp:category>
</cp:coreProperties>
</file>