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80168" w14:textId="7CA98299" w:rsidR="00815E5C" w:rsidRDefault="00B22943" w:rsidP="00B37B7E">
      <w:pPr>
        <w:spacing w:after="0" w:line="360" w:lineRule="auto"/>
        <w:rPr>
          <w:rFonts w:ascii="Arial" w:hAnsi="Arial" w:cs="Arial"/>
        </w:rPr>
      </w:pPr>
      <w:r>
        <w:rPr>
          <w:noProof/>
        </w:rPr>
        <w:drawing>
          <wp:inline distT="0" distB="0" distL="0" distR="0" wp14:anchorId="396100CD" wp14:editId="5968954F">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0E041B80" w14:textId="4E9FB0FA" w:rsidR="00B22943" w:rsidRDefault="00B22943" w:rsidP="00B37B7E">
      <w:pPr>
        <w:spacing w:line="360" w:lineRule="auto"/>
        <w:rPr>
          <w:rFonts w:ascii="Arial" w:hAnsi="Arial" w:cs="Arial"/>
        </w:rPr>
      </w:pPr>
    </w:p>
    <w:p w14:paraId="63651329" w14:textId="66A54ABF" w:rsidR="00B22943" w:rsidRDefault="00B22943" w:rsidP="00B37B7E">
      <w:pPr>
        <w:rPr>
          <w:rFonts w:asciiTheme="minorBidi" w:hAnsiTheme="minorBidi"/>
          <w:sz w:val="28"/>
          <w:szCs w:val="28"/>
          <w:lang w:val="en-US"/>
        </w:rPr>
      </w:pPr>
    </w:p>
    <w:p w14:paraId="379D007C" w14:textId="39940002" w:rsidR="00B22943" w:rsidRPr="00117A74" w:rsidRDefault="006432AF" w:rsidP="00B37B7E">
      <w:pPr>
        <w:rPr>
          <w:rFonts w:asciiTheme="minorBidi" w:hAnsiTheme="minorBidi"/>
          <w:sz w:val="28"/>
          <w:szCs w:val="28"/>
          <w:lang w:val="en-US"/>
        </w:rPr>
      </w:pPr>
      <w:r w:rsidRPr="00117A74">
        <w:rPr>
          <w:rFonts w:asciiTheme="minorBidi" w:hAnsiTheme="minorBidi"/>
          <w:sz w:val="28"/>
          <w:szCs w:val="28"/>
          <w:lang w:val="en-US"/>
        </w:rPr>
        <w:t>N</w:t>
      </w:r>
      <w:r w:rsidR="00B22943" w:rsidRPr="00117A74">
        <w:rPr>
          <w:rFonts w:asciiTheme="minorBidi" w:hAnsiTheme="minorBidi"/>
          <w:sz w:val="28"/>
          <w:szCs w:val="28"/>
          <w:lang w:val="en-US"/>
        </w:rPr>
        <w:t>ame: Catarina Barroso Ngunza</w:t>
      </w:r>
    </w:p>
    <w:p w14:paraId="1D2860CD" w14:textId="77777777" w:rsidR="00B22943" w:rsidRPr="00117A74" w:rsidRDefault="00B22943" w:rsidP="00B37B7E">
      <w:pPr>
        <w:rPr>
          <w:rFonts w:asciiTheme="minorBidi" w:hAnsiTheme="minorBidi"/>
          <w:sz w:val="28"/>
          <w:szCs w:val="28"/>
          <w:lang w:val="en-US"/>
        </w:rPr>
      </w:pPr>
      <w:r w:rsidRPr="00117A74">
        <w:rPr>
          <w:rFonts w:asciiTheme="minorBidi" w:hAnsiTheme="minorBidi"/>
          <w:sz w:val="28"/>
          <w:szCs w:val="28"/>
          <w:lang w:val="en-US"/>
        </w:rPr>
        <w:t>Student ID: 2509011</w:t>
      </w:r>
    </w:p>
    <w:p w14:paraId="31166474" w14:textId="77777777" w:rsidR="00B22943" w:rsidRPr="005C2510" w:rsidRDefault="00B22943" w:rsidP="00B37B7E">
      <w:pPr>
        <w:rPr>
          <w:rFonts w:asciiTheme="minorBidi" w:hAnsiTheme="minorBidi"/>
          <w:sz w:val="28"/>
          <w:szCs w:val="28"/>
          <w:lang w:val="en-US"/>
        </w:rPr>
      </w:pPr>
      <w:r w:rsidRPr="005C2510">
        <w:rPr>
          <w:rFonts w:asciiTheme="minorBidi" w:hAnsiTheme="minorBidi"/>
          <w:sz w:val="28"/>
          <w:szCs w:val="28"/>
          <w:lang w:val="en-US"/>
        </w:rPr>
        <w:t xml:space="preserve">Module Code: </w:t>
      </w:r>
      <w:r>
        <w:rPr>
          <w:rFonts w:asciiTheme="minorBidi" w:hAnsiTheme="minorBidi"/>
          <w:sz w:val="28"/>
          <w:szCs w:val="28"/>
          <w:lang w:val="en-US"/>
        </w:rPr>
        <w:t>(LCHS4007_BIRM)</w:t>
      </w:r>
    </w:p>
    <w:p w14:paraId="431870A9" w14:textId="77777777" w:rsidR="00B22943" w:rsidRPr="005C2510" w:rsidRDefault="00B22943" w:rsidP="00B37B7E">
      <w:pPr>
        <w:rPr>
          <w:rFonts w:asciiTheme="minorBidi" w:hAnsiTheme="minorBidi"/>
          <w:sz w:val="28"/>
          <w:szCs w:val="28"/>
          <w:lang w:val="en-US"/>
        </w:rPr>
      </w:pPr>
      <w:r w:rsidRPr="005C2510">
        <w:rPr>
          <w:rFonts w:asciiTheme="minorBidi" w:hAnsiTheme="minorBidi"/>
          <w:sz w:val="28"/>
          <w:szCs w:val="28"/>
          <w:lang w:val="en-US"/>
        </w:rPr>
        <w:t xml:space="preserve">Module: </w:t>
      </w:r>
      <w:r>
        <w:rPr>
          <w:rFonts w:asciiTheme="minorBidi" w:hAnsiTheme="minorBidi"/>
          <w:sz w:val="28"/>
          <w:szCs w:val="28"/>
          <w:lang w:val="en-US"/>
        </w:rPr>
        <w:t>Digital Skills and Research Methods</w:t>
      </w:r>
    </w:p>
    <w:p w14:paraId="1BA6D7EB" w14:textId="6E316F9B" w:rsidR="00B22943" w:rsidRDefault="00B22943" w:rsidP="00B37B7E">
      <w:pPr>
        <w:rPr>
          <w:rFonts w:asciiTheme="minorBidi" w:hAnsiTheme="minorBidi"/>
          <w:sz w:val="28"/>
          <w:szCs w:val="28"/>
          <w:lang w:val="en-US"/>
        </w:rPr>
      </w:pPr>
      <w:r w:rsidRPr="005C2510">
        <w:rPr>
          <w:rFonts w:asciiTheme="minorBidi" w:hAnsiTheme="minorBidi"/>
          <w:sz w:val="28"/>
          <w:szCs w:val="28"/>
          <w:lang w:val="en-US"/>
        </w:rPr>
        <w:t xml:space="preserve">Lecturer: </w:t>
      </w:r>
      <w:r>
        <w:rPr>
          <w:rFonts w:asciiTheme="minorBidi" w:hAnsiTheme="minorBidi"/>
          <w:sz w:val="28"/>
          <w:szCs w:val="28"/>
          <w:lang w:val="en-US"/>
        </w:rPr>
        <w:t>Justin Okoli</w:t>
      </w:r>
    </w:p>
    <w:p w14:paraId="59D8865C" w14:textId="12A9F5F3" w:rsidR="00B22943" w:rsidRPr="00315B0C" w:rsidRDefault="003E7FDD" w:rsidP="00B37B7E">
      <w:pPr>
        <w:rPr>
          <w:rFonts w:asciiTheme="minorBidi" w:hAnsiTheme="minorBidi"/>
          <w:sz w:val="28"/>
          <w:szCs w:val="28"/>
          <w:lang w:val="en-US"/>
        </w:rPr>
      </w:pPr>
      <w:r>
        <w:rPr>
          <w:rFonts w:asciiTheme="minorBidi" w:hAnsiTheme="minorBidi"/>
          <w:sz w:val="28"/>
          <w:szCs w:val="28"/>
          <w:lang w:val="en-US"/>
        </w:rPr>
        <w:t xml:space="preserve">Submitted on: </w:t>
      </w:r>
      <w:r w:rsidR="004C053A">
        <w:rPr>
          <w:rFonts w:asciiTheme="minorBidi" w:hAnsiTheme="minorBidi"/>
          <w:sz w:val="28"/>
          <w:szCs w:val="28"/>
          <w:lang w:val="en-US"/>
        </w:rPr>
        <w:t>16 November 2025</w:t>
      </w:r>
    </w:p>
    <w:p w14:paraId="1E6E5DAE" w14:textId="0F9923F6" w:rsidR="003E7FDD" w:rsidRDefault="003E7FDD" w:rsidP="00B37B7E">
      <w:pPr>
        <w:rPr>
          <w:rFonts w:ascii="Arial" w:hAnsi="Arial" w:cs="Arial"/>
          <w:b/>
          <w:bCs/>
          <w:sz w:val="28"/>
          <w:szCs w:val="28"/>
          <w:lang w:val="en-US"/>
        </w:rPr>
      </w:pPr>
      <w:r>
        <w:rPr>
          <w:rFonts w:ascii="Arial" w:hAnsi="Arial" w:cs="Arial"/>
          <w:b/>
          <w:bCs/>
          <w:sz w:val="28"/>
          <w:szCs w:val="28"/>
          <w:lang w:val="en-US"/>
        </w:rPr>
        <w:t>Research topic:</w:t>
      </w:r>
      <w:r w:rsidR="00EE436B">
        <w:rPr>
          <w:rFonts w:ascii="Arial" w:hAnsi="Arial" w:cs="Arial"/>
          <w:b/>
          <w:bCs/>
          <w:sz w:val="28"/>
          <w:szCs w:val="28"/>
          <w:lang w:val="en-US"/>
        </w:rPr>
        <w:t xml:space="preserve"> </w:t>
      </w:r>
      <w:r w:rsidR="00EE436B" w:rsidRPr="004F1311">
        <w:rPr>
          <w:rFonts w:ascii="Arial" w:hAnsi="Arial" w:cs="Arial"/>
          <w:b/>
          <w:bCs/>
          <w:lang w:val="en-US"/>
        </w:rPr>
        <w:t>Causes of road accidents among young drivers</w:t>
      </w:r>
    </w:p>
    <w:p w14:paraId="52A354B8" w14:textId="452016B5" w:rsidR="003E7FDD" w:rsidRPr="00A018E2" w:rsidRDefault="003E7FDD" w:rsidP="00B37B7E">
      <w:pPr>
        <w:pStyle w:val="ListParagraph"/>
        <w:numPr>
          <w:ilvl w:val="0"/>
          <w:numId w:val="7"/>
        </w:numPr>
        <w:rPr>
          <w:rFonts w:ascii="Arial" w:hAnsi="Arial" w:cs="Arial"/>
          <w:sz w:val="28"/>
          <w:szCs w:val="28"/>
          <w:lang w:val="en-US"/>
        </w:rPr>
      </w:pPr>
      <w:r w:rsidRPr="00A018E2">
        <w:rPr>
          <w:rFonts w:ascii="Arial" w:hAnsi="Arial" w:cs="Arial"/>
          <w:b/>
          <w:bCs/>
          <w:sz w:val="28"/>
          <w:szCs w:val="28"/>
          <w:lang w:val="en-US"/>
        </w:rPr>
        <w:t>Introduction</w:t>
      </w:r>
      <w:r w:rsidRPr="00A018E2">
        <w:rPr>
          <w:rFonts w:ascii="Arial" w:hAnsi="Arial" w:cs="Arial"/>
          <w:sz w:val="28"/>
          <w:szCs w:val="28"/>
          <w:lang w:val="en-US"/>
        </w:rPr>
        <w:t xml:space="preserve"> </w:t>
      </w:r>
    </w:p>
    <w:p w14:paraId="7B140959" w14:textId="4118C186" w:rsidR="003E7FDD" w:rsidRDefault="003E7FDD" w:rsidP="00B37B7E">
      <w:pPr>
        <w:pStyle w:val="ListParagraph"/>
        <w:rPr>
          <w:rFonts w:ascii="Arial" w:hAnsi="Arial" w:cs="Arial"/>
          <w:b/>
          <w:bCs/>
          <w:sz w:val="24"/>
          <w:szCs w:val="24"/>
          <w:lang w:val="en-US"/>
        </w:rPr>
      </w:pPr>
      <w:r w:rsidRPr="003E7FDD">
        <w:rPr>
          <w:rFonts w:ascii="Arial" w:hAnsi="Arial" w:cs="Arial"/>
          <w:b/>
          <w:bCs/>
          <w:sz w:val="24"/>
          <w:szCs w:val="24"/>
          <w:lang w:val="en-US"/>
        </w:rPr>
        <w:t>Research topic and its relevance</w:t>
      </w:r>
    </w:p>
    <w:p w14:paraId="391F80ED" w14:textId="77777777" w:rsidR="009E23AB" w:rsidRDefault="003E7FDD" w:rsidP="00B37B7E">
      <w:pPr>
        <w:pStyle w:val="ListParagraph"/>
        <w:rPr>
          <w:rFonts w:ascii="Arial" w:hAnsi="Arial" w:cs="Arial"/>
          <w:b/>
          <w:bCs/>
          <w:sz w:val="24"/>
          <w:szCs w:val="24"/>
          <w:lang w:val="en-US"/>
        </w:rPr>
      </w:pPr>
      <w:r w:rsidRPr="003E7FDD">
        <w:rPr>
          <w:rFonts w:ascii="Arial" w:hAnsi="Arial" w:cs="Arial"/>
          <w:color w:val="1B1C1D"/>
          <w:shd w:val="clear" w:color="auto" w:fill="FFFFFF"/>
          <w:lang w:val="en-US"/>
        </w:rPr>
        <w:t xml:space="preserve">This research report explores the causes of road traffic accidents (RTAs) among young drivers employed within the UK’s health and social care sector. Young drivers, defined here as aged 17–24, exhibit a disproportionately high crash risk due to a combination of inexperience, developmental factors, and behavioural tendencies. Within the health and social care context, this risk is exacerbated by high-stress work environments, irregular shift patterns, and frequent travel between patient/client locations. </w:t>
      </w:r>
      <w:r w:rsidR="009E23AB" w:rsidRPr="003E7FDD">
        <w:rPr>
          <w:rFonts w:ascii="Arial" w:hAnsi="Arial" w:cs="Arial"/>
          <w:color w:val="1B1C1D"/>
          <w:shd w:val="clear" w:color="auto" w:fill="FFFFFF"/>
          <w:lang w:val="en-US"/>
        </w:rPr>
        <w:t>The purpose of this research is to identify the specific contributory factors</w:t>
      </w:r>
      <w:r w:rsidR="009E23AB">
        <w:rPr>
          <w:rFonts w:ascii="Arial" w:hAnsi="Arial" w:cs="Arial"/>
          <w:color w:val="1B1C1D"/>
          <w:shd w:val="clear" w:color="auto" w:fill="FFFFFF"/>
          <w:lang w:val="en-US"/>
        </w:rPr>
        <w:t>.</w:t>
      </w:r>
    </w:p>
    <w:p w14:paraId="1AF2CDFB" w14:textId="77777777" w:rsidR="00D30A0D" w:rsidRPr="00A018E2" w:rsidRDefault="00D30A0D" w:rsidP="00B37B7E">
      <w:pPr>
        <w:rPr>
          <w:rFonts w:ascii="Arial" w:hAnsi="Arial" w:cs="Arial"/>
          <w:b/>
          <w:bCs/>
          <w:sz w:val="28"/>
          <w:szCs w:val="28"/>
          <w:lang w:val="en-US"/>
        </w:rPr>
      </w:pPr>
    </w:p>
    <w:p w14:paraId="572163D1" w14:textId="3FEE1870" w:rsidR="00641DA2" w:rsidRPr="00A018E2" w:rsidRDefault="00F95CDC" w:rsidP="00B37B7E">
      <w:pPr>
        <w:pStyle w:val="ListParagraph"/>
        <w:numPr>
          <w:ilvl w:val="0"/>
          <w:numId w:val="7"/>
        </w:numPr>
        <w:rPr>
          <w:rFonts w:ascii="Arial" w:hAnsi="Arial" w:cs="Arial"/>
          <w:b/>
          <w:bCs/>
          <w:sz w:val="28"/>
          <w:szCs w:val="28"/>
          <w:lang w:val="en-US"/>
        </w:rPr>
      </w:pPr>
      <w:r w:rsidRPr="00A018E2">
        <w:rPr>
          <w:rFonts w:ascii="Arial" w:hAnsi="Arial" w:cs="Arial"/>
          <w:b/>
          <w:bCs/>
          <w:sz w:val="28"/>
          <w:szCs w:val="28"/>
          <w:lang w:val="en-US"/>
        </w:rPr>
        <w:t xml:space="preserve">Research Topic Identification </w:t>
      </w:r>
    </w:p>
    <w:p w14:paraId="326BEBF9" w14:textId="53924DD0" w:rsidR="006432AF" w:rsidRPr="00D77389" w:rsidRDefault="00D77389" w:rsidP="00B37B7E">
      <w:pPr>
        <w:pStyle w:val="ListParagraph"/>
        <w:numPr>
          <w:ilvl w:val="1"/>
          <w:numId w:val="7"/>
        </w:numPr>
        <w:rPr>
          <w:rFonts w:ascii="Arial" w:hAnsi="Arial" w:cs="Arial"/>
          <w:b/>
          <w:bCs/>
          <w:sz w:val="24"/>
          <w:szCs w:val="24"/>
          <w:lang w:val="en-US"/>
        </w:rPr>
      </w:pPr>
      <w:r>
        <w:rPr>
          <w:rFonts w:ascii="Arial" w:hAnsi="Arial" w:cs="Arial"/>
          <w:b/>
          <w:bCs/>
          <w:sz w:val="24"/>
          <w:szCs w:val="24"/>
          <w:lang w:val="en-US"/>
        </w:rPr>
        <w:t>Issue Description and affected parties</w:t>
      </w:r>
    </w:p>
    <w:p w14:paraId="01B8CD1A" w14:textId="77777777" w:rsidR="00641DA2" w:rsidRDefault="00641DA2" w:rsidP="00B37B7E">
      <w:pPr>
        <w:pStyle w:val="ListParagraph"/>
        <w:rPr>
          <w:rFonts w:ascii="Arial" w:hAnsi="Arial" w:cs="Arial"/>
          <w:b/>
          <w:bCs/>
          <w:lang w:val="en-US"/>
        </w:rPr>
      </w:pPr>
    </w:p>
    <w:p w14:paraId="22C8A72A" w14:textId="77777777" w:rsidR="00D77389" w:rsidRPr="00D77389" w:rsidRDefault="00D77389" w:rsidP="00B37B7E">
      <w:pPr>
        <w:pStyle w:val="ListParagraph"/>
        <w:rPr>
          <w:rFonts w:ascii="Arial" w:eastAsia="Times New Roman" w:hAnsi="Arial" w:cs="Arial"/>
          <w:color w:val="1F1F1F"/>
          <w:lang w:val="en" w:eastAsia="pt-PT"/>
        </w:rPr>
      </w:pPr>
      <w:r w:rsidRPr="00D77389">
        <w:rPr>
          <w:rFonts w:ascii="Arial" w:eastAsia="Times New Roman" w:hAnsi="Arial" w:cs="Arial"/>
          <w:color w:val="1F1F1F"/>
          <w:lang w:val="en" w:eastAsia="pt-PT"/>
        </w:rPr>
        <w:t>The core issue requiring investigation is the elevated incidence of road traffic accidents (RTAs) involving young health and social care workers in the UK. Young drivers (aged 17–24) are statistically the highest-risk group on UK roads; they are involved in approximately 20% of all killed or seriously injured (KSI) casualties from car collisions, despite holding only a small percentage of full driving licences (GOV.UK, 2024). This inherent vulnerability is compounded when these individuals are employed in roles—such as Community Care Workers, Domiciliary Carers, or Junior Nurses—that require them to drive frequently as part of their daily duties.</w:t>
      </w:r>
    </w:p>
    <w:p w14:paraId="06C1CD7A" w14:textId="77777777" w:rsidR="00D77389" w:rsidRPr="009E23AB" w:rsidRDefault="00D77389" w:rsidP="00B37B7E">
      <w:pPr>
        <w:rPr>
          <w:rFonts w:ascii="Arial" w:eastAsia="Times New Roman" w:hAnsi="Arial" w:cs="Arial"/>
          <w:color w:val="1F1F1F"/>
          <w:lang w:val="en" w:eastAsia="pt-PT"/>
        </w:rPr>
      </w:pPr>
    </w:p>
    <w:p w14:paraId="0B3A10E6" w14:textId="53F48548" w:rsidR="00641DA2" w:rsidRDefault="00D77389" w:rsidP="00B37B7E">
      <w:pPr>
        <w:pStyle w:val="ListParagraph"/>
        <w:rPr>
          <w:rFonts w:ascii="Arial" w:eastAsia="Times New Roman" w:hAnsi="Arial" w:cs="Arial"/>
          <w:color w:val="1F1F1F"/>
          <w:lang w:val="en" w:eastAsia="pt-PT"/>
        </w:rPr>
      </w:pPr>
      <w:r w:rsidRPr="00D77389">
        <w:rPr>
          <w:rFonts w:ascii="Arial" w:eastAsia="Times New Roman" w:hAnsi="Arial" w:cs="Arial"/>
          <w:color w:val="1F1F1F"/>
          <w:lang w:val="en" w:eastAsia="pt-PT"/>
        </w:rPr>
        <w:lastRenderedPageBreak/>
        <w:t>The issue is more than just a general road safety concern; it is a critical workplace and public health</w:t>
      </w:r>
    </w:p>
    <w:p w14:paraId="1D8BE0EF" w14:textId="77777777" w:rsidR="00641DA2" w:rsidRPr="00641DA2" w:rsidRDefault="00641DA2" w:rsidP="00B37B7E">
      <w:pPr>
        <w:pStyle w:val="NormalWeb"/>
        <w:shd w:val="clear" w:color="auto" w:fill="FFFFFF"/>
        <w:spacing w:before="0" w:beforeAutospacing="0" w:after="120" w:afterAutospacing="0"/>
        <w:rPr>
          <w:rFonts w:ascii="Arial" w:hAnsi="Arial" w:cs="Arial"/>
          <w:color w:val="1B1C1D"/>
          <w:lang w:val="en-US"/>
        </w:rPr>
      </w:pPr>
      <w:r w:rsidRPr="00641DA2">
        <w:rPr>
          <w:rFonts w:ascii="Arial" w:hAnsi="Arial" w:cs="Arial"/>
          <w:color w:val="1B1C1D"/>
          <w:lang w:val="en-US"/>
        </w:rPr>
        <w:t>he issue is more than just a general road safety concern; it is a critical workplace and public health hazard.</w:t>
      </w:r>
    </w:p>
    <w:p w14:paraId="1A40DF95" w14:textId="77777777" w:rsidR="00641DA2" w:rsidRDefault="00641DA2" w:rsidP="00B37B7E">
      <w:pPr>
        <w:pStyle w:val="NormalWeb"/>
        <w:numPr>
          <w:ilvl w:val="0"/>
          <w:numId w:val="5"/>
        </w:numPr>
        <w:shd w:val="clear" w:color="auto" w:fill="FFFFFF"/>
        <w:spacing w:before="120" w:beforeAutospacing="0" w:after="120" w:afterAutospacing="0"/>
        <w:rPr>
          <w:rFonts w:ascii="Arial" w:hAnsi="Arial" w:cs="Arial"/>
          <w:color w:val="1B1C1D"/>
        </w:rPr>
      </w:pPr>
      <w:r>
        <w:rPr>
          <w:rFonts w:ascii="Arial" w:hAnsi="Arial" w:cs="Arial"/>
          <w:b/>
          <w:bCs/>
          <w:color w:val="1B1C1D"/>
        </w:rPr>
        <w:t>Affected Parties:</w:t>
      </w:r>
    </w:p>
    <w:p w14:paraId="45CE17CB" w14:textId="77777777" w:rsidR="00641DA2" w:rsidRPr="00641DA2" w:rsidRDefault="00641DA2" w:rsidP="00B37B7E">
      <w:pPr>
        <w:pStyle w:val="NormalWeb"/>
        <w:numPr>
          <w:ilvl w:val="1"/>
          <w:numId w:val="5"/>
        </w:numPr>
        <w:shd w:val="clear" w:color="auto" w:fill="FFFFFF"/>
        <w:spacing w:before="120" w:beforeAutospacing="0" w:after="120" w:afterAutospacing="0"/>
        <w:rPr>
          <w:rFonts w:ascii="Arial" w:hAnsi="Arial" w:cs="Arial"/>
          <w:color w:val="1B1C1D"/>
          <w:lang w:val="en-US"/>
        </w:rPr>
      </w:pPr>
      <w:r w:rsidRPr="00641DA2">
        <w:rPr>
          <w:rFonts w:ascii="Arial" w:hAnsi="Arial" w:cs="Arial"/>
          <w:b/>
          <w:bCs/>
          <w:color w:val="1B1C1D"/>
          <w:lang w:val="en-US"/>
        </w:rPr>
        <w:t>Young Drivers (Care Workers):</w:t>
      </w:r>
      <w:r w:rsidRPr="00641DA2">
        <w:rPr>
          <w:rFonts w:ascii="Arial" w:hAnsi="Arial" w:cs="Arial"/>
          <w:color w:val="1B1C1D"/>
          <w:lang w:val="en-US"/>
        </w:rPr>
        <w:t> They face the immediate and devastating physical, psychological, and financial consequences of an RTA, including injury, death, loss of livelihood, and trauma.</w:t>
      </w:r>
    </w:p>
    <w:p w14:paraId="0E739739" w14:textId="77777777" w:rsidR="00641DA2" w:rsidRPr="00641DA2" w:rsidRDefault="00641DA2" w:rsidP="00B37B7E">
      <w:pPr>
        <w:pStyle w:val="NormalWeb"/>
        <w:numPr>
          <w:ilvl w:val="1"/>
          <w:numId w:val="5"/>
        </w:numPr>
        <w:shd w:val="clear" w:color="auto" w:fill="FFFFFF"/>
        <w:spacing w:before="120" w:beforeAutospacing="0" w:after="120" w:afterAutospacing="0"/>
        <w:rPr>
          <w:rFonts w:ascii="Arial" w:hAnsi="Arial" w:cs="Arial"/>
          <w:color w:val="1B1C1D"/>
          <w:lang w:val="en-US"/>
        </w:rPr>
      </w:pPr>
      <w:r w:rsidRPr="00641DA2">
        <w:rPr>
          <w:rFonts w:ascii="Arial" w:hAnsi="Arial" w:cs="Arial"/>
          <w:b/>
          <w:bCs/>
          <w:color w:val="1B1C1D"/>
          <w:lang w:val="en-US"/>
        </w:rPr>
        <w:t>Organisations (NHS Trusts, Private Care Providers):</w:t>
      </w:r>
      <w:r w:rsidRPr="00641DA2">
        <w:rPr>
          <w:rFonts w:ascii="Arial" w:hAnsi="Arial" w:cs="Arial"/>
          <w:color w:val="1B1C1D"/>
          <w:lang w:val="en-US"/>
        </w:rPr>
        <w:t> The organisations suffer from staff absenteeism, reduced service capacity, costly vehicle repairs/replacements, increased insurance premiums, and potential legal liability. A car crash involving a care worker directly affects the continuity of care, which is vital for service provision.</w:t>
      </w:r>
    </w:p>
    <w:p w14:paraId="037D1C55" w14:textId="77777777" w:rsidR="00641DA2" w:rsidRPr="00641DA2" w:rsidRDefault="00641DA2" w:rsidP="00B37B7E">
      <w:pPr>
        <w:pStyle w:val="NormalWeb"/>
        <w:numPr>
          <w:ilvl w:val="1"/>
          <w:numId w:val="5"/>
        </w:numPr>
        <w:shd w:val="clear" w:color="auto" w:fill="FFFFFF"/>
        <w:spacing w:before="120" w:beforeAutospacing="0" w:after="120" w:afterAutospacing="0"/>
        <w:rPr>
          <w:rFonts w:ascii="Arial" w:hAnsi="Arial" w:cs="Arial"/>
          <w:color w:val="1B1C1D"/>
          <w:lang w:val="en-US"/>
        </w:rPr>
      </w:pPr>
      <w:r w:rsidRPr="00641DA2">
        <w:rPr>
          <w:rFonts w:ascii="Arial" w:hAnsi="Arial" w:cs="Arial"/>
          <w:b/>
          <w:bCs/>
          <w:color w:val="1B1C1D"/>
          <w:lang w:val="en-US"/>
        </w:rPr>
        <w:t>Patients and Clients:</w:t>
      </w:r>
      <w:r w:rsidRPr="00641DA2">
        <w:rPr>
          <w:rFonts w:ascii="Arial" w:hAnsi="Arial" w:cs="Arial"/>
          <w:color w:val="1B1C1D"/>
          <w:lang w:val="en-US"/>
        </w:rPr>
        <w:t> The most vulnerable individuals are indirectly, yet profoundly, affected. A care worker's accident can result in missed or delayed care visits, impacting medication schedules, essential personal support, and overall well-being, which is especially critical for elderly or disabled clients who rely entirely on timely support.</w:t>
      </w:r>
    </w:p>
    <w:p w14:paraId="7B50B382" w14:textId="77777777" w:rsidR="00641DA2" w:rsidRPr="00641DA2" w:rsidRDefault="00641DA2" w:rsidP="00B37B7E">
      <w:pPr>
        <w:pStyle w:val="NormalWeb"/>
        <w:shd w:val="clear" w:color="auto" w:fill="FFFFFF"/>
        <w:spacing w:before="0" w:beforeAutospacing="0" w:after="120" w:afterAutospacing="0"/>
        <w:rPr>
          <w:rFonts w:ascii="Arial" w:hAnsi="Arial" w:cs="Arial"/>
          <w:color w:val="1B1C1D"/>
          <w:lang w:val="en-US"/>
        </w:rPr>
      </w:pPr>
      <w:r w:rsidRPr="00641DA2">
        <w:rPr>
          <w:rFonts w:ascii="Arial" w:hAnsi="Arial" w:cs="Arial"/>
          <w:color w:val="1B1C1D"/>
          <w:lang w:val="en-US"/>
        </w:rPr>
        <w:t>The specific causes are rooted in a convergence of factors. General young driver risks include </w:t>
      </w:r>
      <w:r w:rsidRPr="00641DA2">
        <w:rPr>
          <w:rFonts w:ascii="Arial" w:hAnsi="Arial" w:cs="Arial"/>
          <w:b/>
          <w:bCs/>
          <w:color w:val="1B1C1D"/>
          <w:lang w:val="en-US"/>
        </w:rPr>
        <w:t>inexperience</w:t>
      </w:r>
      <w:r w:rsidRPr="00641DA2">
        <w:rPr>
          <w:rFonts w:ascii="Arial" w:hAnsi="Arial" w:cs="Arial"/>
          <w:color w:val="1B1C1D"/>
          <w:lang w:val="en-US"/>
        </w:rPr>
        <w:t> leading to poor hazard perception, </w:t>
      </w:r>
      <w:r w:rsidRPr="00641DA2">
        <w:rPr>
          <w:rFonts w:ascii="Arial" w:hAnsi="Arial" w:cs="Arial"/>
          <w:b/>
          <w:bCs/>
          <w:color w:val="1B1C1D"/>
          <w:lang w:val="en-US"/>
        </w:rPr>
        <w:t>risk-taking behaviour</w:t>
      </w:r>
      <w:r w:rsidRPr="00641DA2">
        <w:rPr>
          <w:rFonts w:ascii="Arial" w:hAnsi="Arial" w:cs="Arial"/>
          <w:color w:val="1B1C1D"/>
          <w:lang w:val="en-US"/>
        </w:rPr>
        <w:t> (such as speeding or mobile phone use), and </w:t>
      </w:r>
      <w:r w:rsidRPr="00641DA2">
        <w:rPr>
          <w:rFonts w:ascii="Arial" w:hAnsi="Arial" w:cs="Arial"/>
          <w:b/>
          <w:bCs/>
          <w:color w:val="1B1C1D"/>
          <w:lang w:val="en-US"/>
        </w:rPr>
        <w:t>physiological immaturity</w:t>
      </w:r>
      <w:r w:rsidRPr="00641DA2">
        <w:rPr>
          <w:rFonts w:ascii="Arial" w:hAnsi="Arial" w:cs="Arial"/>
          <w:color w:val="1B1C1D"/>
          <w:lang w:val="en-US"/>
        </w:rPr>
        <w:t> of the pre-frontal cortex, which governs impulse control (Brake, n.d.; RAC Foundation, 2013). The health and social care sector adds unique </w:t>
      </w:r>
      <w:r w:rsidRPr="00641DA2">
        <w:rPr>
          <w:rFonts w:ascii="Arial" w:hAnsi="Arial" w:cs="Arial"/>
          <w:b/>
          <w:bCs/>
          <w:color w:val="1B1C1D"/>
          <w:lang w:val="en-US"/>
        </w:rPr>
        <w:t>occupational risk multipliers</w:t>
      </w:r>
      <w:r w:rsidRPr="00641DA2">
        <w:rPr>
          <w:rFonts w:ascii="Arial" w:hAnsi="Arial" w:cs="Arial"/>
          <w:color w:val="1B1C1D"/>
          <w:lang w:val="en-US"/>
        </w:rPr>
        <w:t>:</w:t>
      </w:r>
    </w:p>
    <w:p w14:paraId="62038D4B" w14:textId="77777777" w:rsidR="00641DA2" w:rsidRPr="00641DA2" w:rsidRDefault="00641DA2" w:rsidP="00B37B7E">
      <w:pPr>
        <w:pStyle w:val="NormalWeb"/>
        <w:numPr>
          <w:ilvl w:val="0"/>
          <w:numId w:val="6"/>
        </w:numPr>
        <w:shd w:val="clear" w:color="auto" w:fill="FFFFFF"/>
        <w:spacing w:before="120" w:beforeAutospacing="0" w:after="120" w:afterAutospacing="0"/>
        <w:rPr>
          <w:rFonts w:ascii="Arial" w:hAnsi="Arial" w:cs="Arial"/>
          <w:color w:val="1B1C1D"/>
          <w:lang w:val="en-US"/>
        </w:rPr>
      </w:pPr>
      <w:r w:rsidRPr="00A018E2">
        <w:rPr>
          <w:rFonts w:ascii="Arial" w:hAnsi="Arial" w:cs="Arial"/>
          <w:b/>
          <w:bCs/>
          <w:color w:val="1B1C1D"/>
          <w:sz w:val="22"/>
          <w:szCs w:val="22"/>
          <w:lang w:val="en-US"/>
        </w:rPr>
        <w:t>Fatigue:</w:t>
      </w:r>
      <w:r w:rsidRPr="00641DA2">
        <w:rPr>
          <w:rFonts w:ascii="Arial" w:hAnsi="Arial" w:cs="Arial"/>
          <w:color w:val="1B1C1D"/>
          <w:lang w:val="en-US"/>
        </w:rPr>
        <w:t> Irregular shift patterns (early mornings, late nights), long hours, and working multiple jobs increase the risk of driving while tired.</w:t>
      </w:r>
    </w:p>
    <w:p w14:paraId="3D5054E2" w14:textId="77777777" w:rsidR="00641DA2" w:rsidRPr="00641DA2" w:rsidRDefault="00641DA2" w:rsidP="00B37B7E">
      <w:pPr>
        <w:pStyle w:val="NormalWeb"/>
        <w:numPr>
          <w:ilvl w:val="0"/>
          <w:numId w:val="6"/>
        </w:numPr>
        <w:shd w:val="clear" w:color="auto" w:fill="FFFFFF"/>
        <w:spacing w:before="120" w:beforeAutospacing="0" w:after="120" w:afterAutospacing="0"/>
        <w:rPr>
          <w:rFonts w:ascii="Arial" w:hAnsi="Arial" w:cs="Arial"/>
          <w:color w:val="1B1C1D"/>
          <w:lang w:val="en-US"/>
        </w:rPr>
      </w:pPr>
      <w:r w:rsidRPr="00A018E2">
        <w:rPr>
          <w:rFonts w:ascii="Arial" w:hAnsi="Arial" w:cs="Arial"/>
          <w:b/>
          <w:bCs/>
          <w:color w:val="1B1C1D"/>
          <w:sz w:val="22"/>
          <w:szCs w:val="22"/>
          <w:lang w:val="en-US"/>
        </w:rPr>
        <w:t>Time Pressure</w:t>
      </w:r>
      <w:r w:rsidRPr="00641DA2">
        <w:rPr>
          <w:rFonts w:ascii="Arial" w:hAnsi="Arial" w:cs="Arial"/>
          <w:b/>
          <w:bCs/>
          <w:color w:val="1B1C1D"/>
          <w:lang w:val="en-US"/>
        </w:rPr>
        <w:t>:</w:t>
      </w:r>
      <w:r w:rsidRPr="00641DA2">
        <w:rPr>
          <w:rFonts w:ascii="Arial" w:hAnsi="Arial" w:cs="Arial"/>
          <w:color w:val="1B1C1D"/>
          <w:lang w:val="en-US"/>
        </w:rPr>
        <w:t> Tight scheduling, pressure to maintain timely appointments, and often unrealistic routing can lead to </w:t>
      </w:r>
      <w:r w:rsidRPr="00641DA2">
        <w:rPr>
          <w:rFonts w:ascii="Arial" w:hAnsi="Arial" w:cs="Arial"/>
          <w:b/>
          <w:bCs/>
          <w:color w:val="1B1C1D"/>
          <w:lang w:val="en-US"/>
        </w:rPr>
        <w:t>speeding</w:t>
      </w:r>
      <w:r w:rsidRPr="00641DA2">
        <w:rPr>
          <w:rFonts w:ascii="Arial" w:hAnsi="Arial" w:cs="Arial"/>
          <w:color w:val="1B1C1D"/>
          <w:lang w:val="en-US"/>
        </w:rPr>
        <w:t> and other aggressive driving behaviours to stay on schedule.</w:t>
      </w:r>
    </w:p>
    <w:p w14:paraId="2A824A37" w14:textId="0E138F32" w:rsidR="00D77389" w:rsidRPr="00315B0C" w:rsidRDefault="00A018E2" w:rsidP="00B37B7E">
      <w:pPr>
        <w:pStyle w:val="NormalWeb"/>
        <w:shd w:val="clear" w:color="auto" w:fill="FFFFFF"/>
        <w:spacing w:before="120" w:beforeAutospacing="0" w:after="120" w:afterAutospacing="0"/>
        <w:rPr>
          <w:rFonts w:ascii="Arial" w:hAnsi="Arial" w:cs="Arial"/>
          <w:color w:val="1B1C1D"/>
          <w:lang w:val="en-US"/>
        </w:rPr>
      </w:pPr>
      <w:r>
        <w:rPr>
          <w:rFonts w:ascii="Arial" w:hAnsi="Arial" w:cs="Arial"/>
          <w:color w:val="1B1C1D"/>
          <w:lang w:val="en-US"/>
        </w:rPr>
        <w:t xml:space="preserve">       </w:t>
      </w:r>
      <w:r w:rsidR="00D30A0D" w:rsidRPr="00D30A0D">
        <w:rPr>
          <w:rFonts w:ascii="Arial" w:hAnsi="Arial" w:cs="Arial"/>
          <w:color w:val="1B1C1D"/>
          <w:lang w:val="en-US"/>
        </w:rPr>
        <w:t>3</w:t>
      </w:r>
      <w:r>
        <w:rPr>
          <w:rFonts w:ascii="Arial" w:hAnsi="Arial" w:cs="Arial"/>
          <w:color w:val="1B1C1D"/>
          <w:lang w:val="en-US"/>
        </w:rPr>
        <w:t>.</w:t>
      </w:r>
      <w:r w:rsidR="00D30A0D" w:rsidRPr="00D30A0D">
        <w:rPr>
          <w:rFonts w:ascii="Arial" w:hAnsi="Arial" w:cs="Arial"/>
          <w:color w:val="1B1C1D"/>
          <w:lang w:val="en-US"/>
        </w:rPr>
        <w:t xml:space="preserve"> </w:t>
      </w:r>
      <w:r w:rsidR="00641DA2" w:rsidRPr="00A018E2">
        <w:rPr>
          <w:rFonts w:ascii="Arial" w:hAnsi="Arial" w:cs="Arial"/>
          <w:b/>
          <w:bCs/>
          <w:color w:val="1B1C1D"/>
          <w:sz w:val="22"/>
          <w:szCs w:val="22"/>
          <w:lang w:val="en-US"/>
        </w:rPr>
        <w:t>Stress and Distraction</w:t>
      </w:r>
      <w:r w:rsidR="00641DA2" w:rsidRPr="00641DA2">
        <w:rPr>
          <w:rFonts w:ascii="Arial" w:hAnsi="Arial" w:cs="Arial"/>
          <w:b/>
          <w:bCs/>
          <w:color w:val="1B1C1D"/>
          <w:lang w:val="en-US"/>
        </w:rPr>
        <w:t>:</w:t>
      </w:r>
      <w:r w:rsidR="00641DA2" w:rsidRPr="00641DA2">
        <w:rPr>
          <w:rFonts w:ascii="Arial" w:hAnsi="Arial" w:cs="Arial"/>
          <w:color w:val="1B1C1D"/>
          <w:lang w:val="en-US"/>
        </w:rPr>
        <w:t xml:space="preserve"> The emotional burden and high cognitive load of </w:t>
      </w:r>
      <w:r>
        <w:rPr>
          <w:rFonts w:ascii="Arial" w:hAnsi="Arial" w:cs="Arial"/>
          <w:color w:val="1B1C1D"/>
          <w:lang w:val="en-US"/>
        </w:rPr>
        <w:t xml:space="preserve">   </w:t>
      </w:r>
      <w:r w:rsidR="00641DA2" w:rsidRPr="00641DA2">
        <w:rPr>
          <w:rFonts w:ascii="Arial" w:hAnsi="Arial" w:cs="Arial"/>
          <w:color w:val="1B1C1D"/>
          <w:lang w:val="en-US"/>
        </w:rPr>
        <w:t>complex care work can contribute to distracted driving immediately before or after a shift (GOV.UK, 2013)</w:t>
      </w:r>
    </w:p>
    <w:p w14:paraId="201134DB" w14:textId="77777777" w:rsidR="00A018E2" w:rsidRDefault="00A018E2" w:rsidP="00B37B7E">
      <w:pPr>
        <w:pStyle w:val="NormalWeb"/>
        <w:shd w:val="clear" w:color="auto" w:fill="FFFFFF"/>
        <w:spacing w:before="120" w:beforeAutospacing="0" w:after="120" w:afterAutospacing="0"/>
        <w:rPr>
          <w:rFonts w:ascii="Arial" w:hAnsi="Arial" w:cs="Arial"/>
          <w:b/>
          <w:bCs/>
          <w:color w:val="1B1C1D"/>
          <w:lang w:val="en-US"/>
        </w:rPr>
      </w:pPr>
    </w:p>
    <w:p w14:paraId="5A648E3C" w14:textId="1F692731" w:rsidR="001475C4" w:rsidRPr="00A018E2" w:rsidRDefault="006432AF" w:rsidP="00B37B7E">
      <w:pPr>
        <w:pStyle w:val="NormalWeb"/>
        <w:shd w:val="clear" w:color="auto" w:fill="FFFFFF"/>
        <w:spacing w:before="120" w:beforeAutospacing="0" w:after="120" w:afterAutospacing="0"/>
        <w:rPr>
          <w:rFonts w:ascii="Arial" w:hAnsi="Arial" w:cs="Arial"/>
          <w:color w:val="1B1C1D"/>
          <w:lang w:val="en-US"/>
        </w:rPr>
      </w:pPr>
      <w:r w:rsidRPr="00A018E2">
        <w:rPr>
          <w:rFonts w:ascii="Arial" w:hAnsi="Arial" w:cs="Arial"/>
          <w:b/>
          <w:bCs/>
          <w:color w:val="1B1C1D"/>
          <w:lang w:val="en-US"/>
        </w:rPr>
        <w:t xml:space="preserve">2.2 </w:t>
      </w:r>
      <w:r w:rsidR="00263D61" w:rsidRPr="00A018E2">
        <w:rPr>
          <w:rFonts w:ascii="Arial" w:hAnsi="Arial" w:cs="Arial"/>
          <w:b/>
          <w:bCs/>
          <w:color w:val="1B1C1D"/>
          <w:lang w:val="en-US"/>
        </w:rPr>
        <w:t xml:space="preserve">Justification for the research </w:t>
      </w:r>
    </w:p>
    <w:p w14:paraId="3ED14AB4" w14:textId="2558242A" w:rsidR="004F70FB" w:rsidRDefault="004F70FB" w:rsidP="00B37B7E">
      <w:pPr>
        <w:pStyle w:val="NormalWeb"/>
        <w:shd w:val="clear" w:color="auto" w:fill="FFFFFF"/>
        <w:spacing w:before="120" w:beforeAutospacing="0" w:after="120" w:afterAutospacing="0"/>
        <w:rPr>
          <w:rFonts w:ascii="Arial" w:hAnsi="Arial" w:cs="Arial"/>
          <w:color w:val="1B1C1D"/>
          <w:lang w:val="en-US"/>
        </w:rPr>
      </w:pPr>
      <w:r w:rsidRPr="004F70FB">
        <w:rPr>
          <w:rFonts w:ascii="Arial" w:hAnsi="Arial" w:cs="Arial"/>
          <w:color w:val="1B1C1D"/>
          <w:lang w:val="en-US"/>
        </w:rPr>
        <w:t>This research is important because it specifically helps to understand the need for care tailored to this group in a crucial way, given the disproportionate risk, the public health imperative, and the current gap in sector-specific intervention strategies.</w:t>
      </w:r>
    </w:p>
    <w:p w14:paraId="37D9C438" w14:textId="657CE8B4" w:rsidR="00D77389" w:rsidRDefault="006715EA" w:rsidP="00B37B7E">
      <w:pPr>
        <w:shd w:val="clear" w:color="auto" w:fill="FFFFFF"/>
        <w:spacing w:after="240" w:line="240" w:lineRule="auto"/>
        <w:rPr>
          <w:rFonts w:ascii="Arial" w:eastAsia="Times New Roman" w:hAnsi="Arial" w:cs="Arial"/>
          <w:color w:val="1B1C1D"/>
          <w:sz w:val="24"/>
          <w:szCs w:val="24"/>
          <w:lang w:val="en-US" w:eastAsia="pt-PT"/>
        </w:rPr>
      </w:pPr>
      <w:r w:rsidRPr="006715EA">
        <w:rPr>
          <w:rFonts w:ascii="Arial" w:eastAsia="Times New Roman" w:hAnsi="Arial" w:cs="Arial"/>
          <w:color w:val="1B1C1D"/>
          <w:sz w:val="24"/>
          <w:szCs w:val="24"/>
          <w:lang w:val="en-US" w:eastAsia="pt-PT"/>
        </w:rPr>
        <w:t xml:space="preserve">Firstly, road casualties are a leading cause of death for young people globally, and the UK statistics confirm this as a public health crisis (GOV.UK, 2024). When the individuals most at risk are key frontline workers, their safety becomes an ethical and operational priority for the sector itself. Currently, road </w:t>
      </w:r>
      <w:r w:rsidRPr="006715EA">
        <w:rPr>
          <w:rFonts w:ascii="Arial" w:eastAsia="Times New Roman" w:hAnsi="Arial" w:cs="Arial"/>
          <w:color w:val="1B1C1D"/>
          <w:sz w:val="24"/>
          <w:szCs w:val="24"/>
          <w:lang w:val="en-US" w:eastAsia="pt-PT"/>
        </w:rPr>
        <w:lastRenderedPageBreak/>
        <w:t>safety interventions often target young drivers generally, or fleet drivers regardless of age. There is a demonstrable need to investigate if the high-pressure, unpredictable working environment of health and social care introduces </w:t>
      </w:r>
      <w:r w:rsidRPr="006715EA">
        <w:rPr>
          <w:rFonts w:ascii="Arial" w:eastAsia="Times New Roman" w:hAnsi="Arial" w:cs="Arial"/>
          <w:b/>
          <w:bCs/>
          <w:color w:val="1B1C1D"/>
          <w:sz w:val="24"/>
          <w:szCs w:val="24"/>
          <w:lang w:val="en-US" w:eastAsia="pt-PT"/>
        </w:rPr>
        <w:t>novel or amplified risk factors</w:t>
      </w:r>
      <w:r w:rsidRPr="006715EA">
        <w:rPr>
          <w:rFonts w:ascii="Arial" w:eastAsia="Times New Roman" w:hAnsi="Arial" w:cs="Arial"/>
          <w:color w:val="1B1C1D"/>
          <w:sz w:val="24"/>
          <w:szCs w:val="24"/>
          <w:lang w:val="en-US" w:eastAsia="pt-PT"/>
        </w:rPr>
        <w:t> that are not addressed by generic driver training.</w:t>
      </w:r>
    </w:p>
    <w:p w14:paraId="0275C458" w14:textId="72C8BA82" w:rsidR="00D77389" w:rsidRPr="00D77389" w:rsidRDefault="00D77389" w:rsidP="00B37B7E">
      <w:pPr>
        <w:shd w:val="clear" w:color="auto" w:fill="FFFFFF"/>
        <w:spacing w:after="240" w:line="240" w:lineRule="auto"/>
        <w:rPr>
          <w:rFonts w:ascii="Arial" w:eastAsia="Times New Roman" w:hAnsi="Arial" w:cs="Arial"/>
          <w:b/>
          <w:bCs/>
          <w:color w:val="1B1C1D"/>
          <w:sz w:val="24"/>
          <w:szCs w:val="24"/>
          <w:lang w:val="en-US" w:eastAsia="pt-PT"/>
        </w:rPr>
      </w:pPr>
      <w:r w:rsidRPr="00D77389">
        <w:rPr>
          <w:rFonts w:ascii="Arial" w:eastAsia="Times New Roman" w:hAnsi="Arial" w:cs="Arial"/>
          <w:b/>
          <w:bCs/>
          <w:color w:val="1B1C1D"/>
          <w:sz w:val="24"/>
          <w:szCs w:val="24"/>
          <w:lang w:val="en-US" w:eastAsia="pt-PT"/>
        </w:rPr>
        <w:t>2.3</w:t>
      </w:r>
      <w:r>
        <w:rPr>
          <w:rFonts w:ascii="Arial" w:eastAsia="Times New Roman" w:hAnsi="Arial" w:cs="Arial"/>
          <w:b/>
          <w:bCs/>
          <w:color w:val="1B1C1D"/>
          <w:sz w:val="24"/>
          <w:szCs w:val="24"/>
          <w:lang w:val="en-US" w:eastAsia="pt-PT"/>
        </w:rPr>
        <w:t xml:space="preserve"> </w:t>
      </w:r>
      <w:r w:rsidRPr="00D77389">
        <w:rPr>
          <w:rFonts w:ascii="Arial" w:eastAsia="Times New Roman" w:hAnsi="Arial" w:cs="Arial"/>
          <w:b/>
          <w:bCs/>
          <w:color w:val="1B1C1D"/>
          <w:sz w:val="24"/>
          <w:szCs w:val="24"/>
          <w:lang w:val="en-US" w:eastAsia="pt-PT"/>
        </w:rPr>
        <w:t>Selected information Sources</w:t>
      </w:r>
    </w:p>
    <w:p w14:paraId="64B06120" w14:textId="731DCE88" w:rsidR="00D77389" w:rsidRDefault="00D77389" w:rsidP="00B37B7E">
      <w:pPr>
        <w:shd w:val="clear" w:color="auto" w:fill="FFFFFF"/>
        <w:spacing w:after="240" w:line="240" w:lineRule="auto"/>
        <w:rPr>
          <w:rFonts w:ascii="Arial" w:eastAsia="Times New Roman" w:hAnsi="Arial" w:cs="Arial"/>
          <w:color w:val="1B1C1D"/>
          <w:sz w:val="24"/>
          <w:szCs w:val="24"/>
          <w:lang w:val="en-US" w:eastAsia="pt-PT"/>
        </w:rPr>
      </w:pPr>
      <w:r w:rsidRPr="006715EA">
        <w:rPr>
          <w:rFonts w:ascii="Arial" w:eastAsia="Times New Roman" w:hAnsi="Arial" w:cs="Arial"/>
          <w:color w:val="1B1C1D"/>
          <w:sz w:val="24"/>
          <w:szCs w:val="24"/>
          <w:lang w:val="en-US" w:eastAsia="pt-PT"/>
        </w:rPr>
        <w:t>To support this research, three core sources have been selected, representing statistical evidence, behavioural/physiological analysis, and policy context</w:t>
      </w:r>
    </w:p>
    <w:p w14:paraId="13F08D2C" w14:textId="5D8AF0B3" w:rsidR="00D77389" w:rsidRPr="006715EA" w:rsidRDefault="00D77389" w:rsidP="00B37B7E">
      <w:pPr>
        <w:shd w:val="clear" w:color="auto" w:fill="FFFFFF"/>
        <w:spacing w:after="240" w:line="240" w:lineRule="auto"/>
        <w:rPr>
          <w:rFonts w:ascii="Arial" w:eastAsia="Times New Roman" w:hAnsi="Arial" w:cs="Arial"/>
          <w:color w:val="1B1C1D"/>
          <w:sz w:val="24"/>
          <w:szCs w:val="24"/>
          <w:lang w:val="en-US" w:eastAsia="pt-PT"/>
        </w:rPr>
      </w:pPr>
      <w:r w:rsidRPr="006715EA">
        <w:rPr>
          <w:rFonts w:ascii="Arial" w:eastAsia="Times New Roman" w:hAnsi="Arial" w:cs="Arial"/>
          <w:color w:val="1B1C1D"/>
          <w:sz w:val="24"/>
          <w:szCs w:val="24"/>
          <w:lang w:val="en-US" w:eastAsia="pt-PT"/>
        </w:rPr>
        <w:t>Secondly, the </w:t>
      </w:r>
      <w:r w:rsidRPr="006715EA">
        <w:rPr>
          <w:rFonts w:ascii="Arial" w:eastAsia="Times New Roman" w:hAnsi="Arial" w:cs="Arial"/>
          <w:b/>
          <w:bCs/>
          <w:color w:val="1B1C1D"/>
          <w:sz w:val="24"/>
          <w:szCs w:val="24"/>
          <w:lang w:val="en-US" w:eastAsia="pt-PT"/>
        </w:rPr>
        <w:t>economic and social cost</w:t>
      </w:r>
      <w:r w:rsidRPr="006715EA">
        <w:rPr>
          <w:rFonts w:ascii="Arial" w:eastAsia="Times New Roman" w:hAnsi="Arial" w:cs="Arial"/>
          <w:color w:val="1B1C1D"/>
          <w:sz w:val="24"/>
          <w:szCs w:val="24"/>
          <w:lang w:val="en-US" w:eastAsia="pt-PT"/>
        </w:rPr>
        <w:t> is significant. Accidents lead to substantial costs for the NHS and social care providers, which are already fiscally strained. Furthermore, injuries resulting from RTAs place an immediate, long-term burden on the NHS and social care system itself, creating a costly negative feedback loop (NI Assembly, 2014).</w:t>
      </w:r>
    </w:p>
    <w:p w14:paraId="0E64855D" w14:textId="77777777" w:rsidR="00D77389" w:rsidRPr="006715EA" w:rsidRDefault="00D77389" w:rsidP="00B37B7E">
      <w:pPr>
        <w:shd w:val="clear" w:color="auto" w:fill="FFFFFF"/>
        <w:spacing w:after="240" w:line="240" w:lineRule="auto"/>
        <w:rPr>
          <w:rFonts w:ascii="Arial" w:eastAsia="Times New Roman" w:hAnsi="Arial" w:cs="Arial"/>
          <w:color w:val="1B1C1D"/>
          <w:sz w:val="24"/>
          <w:szCs w:val="24"/>
          <w:lang w:val="en-US" w:eastAsia="pt-PT"/>
        </w:rPr>
      </w:pPr>
      <w:r w:rsidRPr="006715EA">
        <w:rPr>
          <w:rFonts w:ascii="Arial" w:eastAsia="Times New Roman" w:hAnsi="Arial" w:cs="Arial"/>
          <w:color w:val="1B1C1D"/>
          <w:sz w:val="24"/>
          <w:szCs w:val="24"/>
          <w:lang w:val="en-US" w:eastAsia="pt-PT"/>
        </w:rPr>
        <w:t>Finally, the research is necessary to move beyond simply acknowledging the high-risk demographic to developing </w:t>
      </w:r>
      <w:r w:rsidRPr="006715EA">
        <w:rPr>
          <w:rFonts w:ascii="Arial" w:eastAsia="Times New Roman" w:hAnsi="Arial" w:cs="Arial"/>
          <w:b/>
          <w:bCs/>
          <w:color w:val="1B1C1D"/>
          <w:sz w:val="24"/>
          <w:szCs w:val="24"/>
          <w:lang w:val="en-US" w:eastAsia="pt-PT"/>
        </w:rPr>
        <w:t>evidence-based, targeted countermeasures</w:t>
      </w:r>
      <w:r w:rsidRPr="006715EA">
        <w:rPr>
          <w:rFonts w:ascii="Arial" w:eastAsia="Times New Roman" w:hAnsi="Arial" w:cs="Arial"/>
          <w:color w:val="1B1C1D"/>
          <w:sz w:val="24"/>
          <w:szCs w:val="24"/>
          <w:lang w:val="en-US" w:eastAsia="pt-PT"/>
        </w:rPr>
        <w:t>. By isolating the unique intersectional risks (young driver status </w:t>
      </w:r>
      <w:r w:rsidRPr="006715EA">
        <w:rPr>
          <w:rFonts w:ascii="Times New Roman" w:eastAsia="Times New Roman" w:hAnsi="Times New Roman" w:cs="Times New Roman"/>
          <w:color w:val="1B1C1D"/>
          <w:sz w:val="29"/>
          <w:szCs w:val="29"/>
          <w:lang w:val="en-US" w:eastAsia="pt-PT"/>
        </w:rPr>
        <w:t>×</w:t>
      </w:r>
      <w:r w:rsidRPr="006715EA">
        <w:rPr>
          <w:rFonts w:ascii="Arial" w:eastAsia="Times New Roman" w:hAnsi="Arial" w:cs="Arial"/>
          <w:color w:val="1B1C1D"/>
          <w:sz w:val="24"/>
          <w:szCs w:val="24"/>
          <w:lang w:val="en-US" w:eastAsia="pt-PT"/>
        </w:rPr>
        <w:t> occupational demands), organisations can develop specific policies, fleet management protocols, and training programmes (e.g., fatigue management for care workers) to save lives, retain vital staff, and ensure the uninterrupted delivery of essential care services.</w:t>
      </w:r>
    </w:p>
    <w:tbl>
      <w:tblPr>
        <w:tblpPr w:leftFromText="141" w:rightFromText="141" w:vertAnchor="text" w:horzAnchor="margin" w:tblpXSpec="center" w:tblpY="155"/>
        <w:tblW w:w="10620" w:type="dxa"/>
        <w:tblCellSpacing w:w="15" w:type="dxa"/>
        <w:shd w:val="clear" w:color="auto" w:fill="F0F4F9"/>
        <w:tblCellMar>
          <w:top w:w="15" w:type="dxa"/>
          <w:left w:w="15" w:type="dxa"/>
          <w:bottom w:w="15" w:type="dxa"/>
          <w:right w:w="15" w:type="dxa"/>
        </w:tblCellMar>
        <w:tblLook w:val="04A0" w:firstRow="1" w:lastRow="0" w:firstColumn="1" w:lastColumn="0" w:noHBand="0" w:noVBand="1"/>
      </w:tblPr>
      <w:tblGrid>
        <w:gridCol w:w="2698"/>
        <w:gridCol w:w="4980"/>
        <w:gridCol w:w="2942"/>
      </w:tblGrid>
      <w:tr w:rsidR="0064795E" w:rsidRPr="006715EA" w14:paraId="75D8FF6E" w14:textId="77777777" w:rsidTr="0064795E">
        <w:trPr>
          <w:tblHeader/>
          <w:tblCellSpacing w:w="15" w:type="dxa"/>
        </w:trPr>
        <w:tc>
          <w:tcPr>
            <w:tcW w:w="0" w:type="auto"/>
            <w:shd w:val="clear" w:color="auto" w:fill="F8FAFD"/>
            <w:tcMar>
              <w:top w:w="120" w:type="dxa"/>
              <w:left w:w="180" w:type="dxa"/>
              <w:bottom w:w="120" w:type="dxa"/>
              <w:right w:w="180" w:type="dxa"/>
            </w:tcMar>
            <w:hideMark/>
          </w:tcPr>
          <w:p w14:paraId="0C233CF6" w14:textId="77777777" w:rsidR="0064795E" w:rsidRPr="006715EA" w:rsidRDefault="0064795E" w:rsidP="00B37B7E">
            <w:pPr>
              <w:spacing w:after="0" w:line="300" w:lineRule="atLeast"/>
              <w:rPr>
                <w:rFonts w:ascii="Arial" w:eastAsia="Times New Roman" w:hAnsi="Arial" w:cs="Arial"/>
                <w:sz w:val="21"/>
                <w:szCs w:val="21"/>
                <w:lang w:eastAsia="pt-PT"/>
              </w:rPr>
            </w:pPr>
            <w:r w:rsidRPr="006715EA">
              <w:rPr>
                <w:rFonts w:ascii="Arial" w:eastAsia="Times New Roman" w:hAnsi="Arial" w:cs="Arial"/>
                <w:sz w:val="21"/>
                <w:szCs w:val="21"/>
                <w:lang w:eastAsia="pt-PT"/>
              </w:rPr>
              <w:t>Source</w:t>
            </w:r>
          </w:p>
        </w:tc>
        <w:tc>
          <w:tcPr>
            <w:tcW w:w="0" w:type="auto"/>
            <w:shd w:val="clear" w:color="auto" w:fill="F8FAFD"/>
            <w:tcMar>
              <w:top w:w="120" w:type="dxa"/>
              <w:left w:w="180" w:type="dxa"/>
              <w:bottom w:w="120" w:type="dxa"/>
              <w:right w:w="180" w:type="dxa"/>
            </w:tcMar>
            <w:hideMark/>
          </w:tcPr>
          <w:p w14:paraId="3EE656B3" w14:textId="77777777" w:rsidR="0064795E" w:rsidRPr="006715EA" w:rsidRDefault="0064795E" w:rsidP="00B37B7E">
            <w:pPr>
              <w:spacing w:after="0" w:line="300" w:lineRule="atLeast"/>
              <w:rPr>
                <w:rFonts w:ascii="Arial" w:eastAsia="Times New Roman" w:hAnsi="Arial" w:cs="Arial"/>
                <w:sz w:val="21"/>
                <w:szCs w:val="21"/>
                <w:lang w:eastAsia="pt-PT"/>
              </w:rPr>
            </w:pPr>
            <w:r w:rsidRPr="006715EA">
              <w:rPr>
                <w:rFonts w:ascii="Arial" w:eastAsia="Times New Roman" w:hAnsi="Arial" w:cs="Arial"/>
                <w:sz w:val="21"/>
                <w:szCs w:val="21"/>
                <w:lang w:eastAsia="pt-PT"/>
              </w:rPr>
              <w:t>Content &amp; Relevance</w:t>
            </w:r>
          </w:p>
        </w:tc>
        <w:tc>
          <w:tcPr>
            <w:tcW w:w="0" w:type="auto"/>
            <w:shd w:val="clear" w:color="auto" w:fill="F8FAFD"/>
            <w:tcMar>
              <w:top w:w="120" w:type="dxa"/>
              <w:left w:w="180" w:type="dxa"/>
              <w:bottom w:w="120" w:type="dxa"/>
              <w:right w:w="180" w:type="dxa"/>
            </w:tcMar>
            <w:hideMark/>
          </w:tcPr>
          <w:p w14:paraId="2598E6BF" w14:textId="77777777" w:rsidR="0064795E" w:rsidRPr="006715EA" w:rsidRDefault="0064795E" w:rsidP="00B37B7E">
            <w:pPr>
              <w:spacing w:after="0" w:line="300" w:lineRule="atLeast"/>
              <w:rPr>
                <w:rFonts w:ascii="Arial" w:eastAsia="Times New Roman" w:hAnsi="Arial" w:cs="Arial"/>
                <w:sz w:val="21"/>
                <w:szCs w:val="21"/>
                <w:lang w:eastAsia="pt-PT"/>
              </w:rPr>
            </w:pPr>
            <w:r w:rsidRPr="006715EA">
              <w:rPr>
                <w:rFonts w:ascii="Arial" w:eastAsia="Times New Roman" w:hAnsi="Arial" w:cs="Arial"/>
                <w:sz w:val="21"/>
                <w:szCs w:val="21"/>
                <w:lang w:eastAsia="pt-PT"/>
              </w:rPr>
              <w:t>Justification for Selection</w:t>
            </w:r>
          </w:p>
        </w:tc>
      </w:tr>
      <w:tr w:rsidR="0064795E" w:rsidRPr="00A018E2" w14:paraId="47E0E074" w14:textId="77777777" w:rsidTr="0064795E">
        <w:trPr>
          <w:tblCellSpacing w:w="15" w:type="dxa"/>
        </w:trPr>
        <w:tc>
          <w:tcPr>
            <w:tcW w:w="0" w:type="auto"/>
            <w:shd w:val="clear" w:color="auto" w:fill="F8FAFD"/>
            <w:tcMar>
              <w:top w:w="120" w:type="dxa"/>
              <w:left w:w="180" w:type="dxa"/>
              <w:bottom w:w="120" w:type="dxa"/>
              <w:right w:w="180" w:type="dxa"/>
            </w:tcMar>
            <w:hideMark/>
          </w:tcPr>
          <w:p w14:paraId="20CC1B32" w14:textId="77777777" w:rsidR="0064795E" w:rsidRPr="006715EA" w:rsidRDefault="0064795E" w:rsidP="00B37B7E">
            <w:pPr>
              <w:spacing w:after="0" w:line="300" w:lineRule="atLeast"/>
              <w:rPr>
                <w:rFonts w:ascii="Arial" w:eastAsia="Times New Roman" w:hAnsi="Arial" w:cs="Arial"/>
                <w:sz w:val="21"/>
                <w:szCs w:val="21"/>
                <w:lang w:val="en-US" w:eastAsia="pt-PT"/>
              </w:rPr>
            </w:pPr>
            <w:r w:rsidRPr="006715EA">
              <w:rPr>
                <w:rFonts w:ascii="Arial" w:eastAsia="Times New Roman" w:hAnsi="Arial" w:cs="Arial"/>
                <w:b/>
                <w:bCs/>
                <w:sz w:val="21"/>
                <w:szCs w:val="21"/>
                <w:lang w:val="en-US" w:eastAsia="pt-PT"/>
              </w:rPr>
              <w:t>GOV.UK (Department for Transport) Younger Driver Factsheet (2024)</w:t>
            </w:r>
          </w:p>
        </w:tc>
        <w:tc>
          <w:tcPr>
            <w:tcW w:w="0" w:type="auto"/>
            <w:shd w:val="clear" w:color="auto" w:fill="F8FAFD"/>
            <w:tcMar>
              <w:top w:w="120" w:type="dxa"/>
              <w:left w:w="180" w:type="dxa"/>
              <w:bottom w:w="120" w:type="dxa"/>
              <w:right w:w="180" w:type="dxa"/>
            </w:tcMar>
            <w:hideMark/>
          </w:tcPr>
          <w:p w14:paraId="513C06EF" w14:textId="77777777" w:rsidR="0064795E" w:rsidRPr="006715EA" w:rsidRDefault="0064795E" w:rsidP="00B37B7E">
            <w:pPr>
              <w:spacing w:after="0" w:line="300" w:lineRule="atLeast"/>
              <w:rPr>
                <w:rFonts w:ascii="Arial" w:eastAsia="Times New Roman" w:hAnsi="Arial" w:cs="Arial"/>
                <w:sz w:val="21"/>
                <w:szCs w:val="21"/>
                <w:lang w:val="en-US" w:eastAsia="pt-PT"/>
              </w:rPr>
            </w:pPr>
            <w:r w:rsidRPr="006715EA">
              <w:rPr>
                <w:rFonts w:ascii="Arial" w:eastAsia="Times New Roman" w:hAnsi="Arial" w:cs="Arial"/>
                <w:b/>
                <w:bCs/>
                <w:sz w:val="21"/>
                <w:szCs w:val="21"/>
                <w:lang w:val="en-US" w:eastAsia="pt-PT"/>
              </w:rPr>
              <w:t>Content:</w:t>
            </w:r>
            <w:r w:rsidRPr="006715EA">
              <w:rPr>
                <w:rFonts w:ascii="Arial" w:eastAsia="Times New Roman" w:hAnsi="Arial" w:cs="Arial"/>
                <w:sz w:val="21"/>
                <w:szCs w:val="21"/>
                <w:lang w:val="en-US" w:eastAsia="pt-PT"/>
              </w:rPr>
              <w:t> Official statistical data on Killed or Seriously Injured (KSI) casualties involving younger drivers (17–24) in Great Britain, including key contributory factors (e.g., "failed to look properly"). </w:t>
            </w:r>
            <w:r w:rsidRPr="006715EA">
              <w:rPr>
                <w:rFonts w:ascii="Arial" w:eastAsia="Times New Roman" w:hAnsi="Arial" w:cs="Arial"/>
                <w:b/>
                <w:bCs/>
                <w:sz w:val="21"/>
                <w:szCs w:val="21"/>
                <w:lang w:val="en-US" w:eastAsia="pt-PT"/>
              </w:rPr>
              <w:t>Relevance:</w:t>
            </w:r>
            <w:r w:rsidRPr="006715EA">
              <w:rPr>
                <w:rFonts w:ascii="Arial" w:eastAsia="Times New Roman" w:hAnsi="Arial" w:cs="Arial"/>
                <w:sz w:val="21"/>
                <w:szCs w:val="21"/>
                <w:lang w:val="en-US" w:eastAsia="pt-PT"/>
              </w:rPr>
              <w:t> Provides the </w:t>
            </w:r>
            <w:r w:rsidRPr="006715EA">
              <w:rPr>
                <w:rFonts w:ascii="Arial" w:eastAsia="Times New Roman" w:hAnsi="Arial" w:cs="Arial"/>
                <w:b/>
                <w:bCs/>
                <w:sz w:val="21"/>
                <w:szCs w:val="21"/>
                <w:lang w:val="en-US" w:eastAsia="pt-PT"/>
              </w:rPr>
              <w:t>fundamental statistical baseline</w:t>
            </w:r>
            <w:r w:rsidRPr="006715EA">
              <w:rPr>
                <w:rFonts w:ascii="Arial" w:eastAsia="Times New Roman" w:hAnsi="Arial" w:cs="Arial"/>
                <w:sz w:val="21"/>
                <w:szCs w:val="21"/>
                <w:lang w:val="en-US" w:eastAsia="pt-PT"/>
              </w:rPr>
              <w:t> to establish the severity and scope of the problem in the UK.</w:t>
            </w:r>
          </w:p>
        </w:tc>
        <w:tc>
          <w:tcPr>
            <w:tcW w:w="0" w:type="auto"/>
            <w:shd w:val="clear" w:color="auto" w:fill="F8FAFD"/>
            <w:tcMar>
              <w:top w:w="120" w:type="dxa"/>
              <w:left w:w="180" w:type="dxa"/>
              <w:bottom w:w="120" w:type="dxa"/>
              <w:right w:w="180" w:type="dxa"/>
            </w:tcMar>
            <w:hideMark/>
          </w:tcPr>
          <w:p w14:paraId="06E2DA64" w14:textId="77777777" w:rsidR="0064795E" w:rsidRPr="006715EA" w:rsidRDefault="0064795E" w:rsidP="00B37B7E">
            <w:pPr>
              <w:spacing w:after="0" w:line="300" w:lineRule="atLeast"/>
              <w:rPr>
                <w:rFonts w:ascii="Arial" w:eastAsia="Times New Roman" w:hAnsi="Arial" w:cs="Arial"/>
                <w:sz w:val="21"/>
                <w:szCs w:val="21"/>
                <w:lang w:val="en-US" w:eastAsia="pt-PT"/>
              </w:rPr>
            </w:pPr>
            <w:r w:rsidRPr="006715EA">
              <w:rPr>
                <w:rFonts w:ascii="Arial" w:eastAsia="Times New Roman" w:hAnsi="Arial" w:cs="Arial"/>
                <w:sz w:val="21"/>
                <w:szCs w:val="21"/>
                <w:lang w:val="en-US" w:eastAsia="pt-PT"/>
              </w:rPr>
              <w:t>This official government data establishes the </w:t>
            </w:r>
            <w:r w:rsidRPr="006715EA">
              <w:rPr>
                <w:rFonts w:ascii="Arial" w:eastAsia="Times New Roman" w:hAnsi="Arial" w:cs="Arial"/>
                <w:b/>
                <w:bCs/>
                <w:sz w:val="21"/>
                <w:szCs w:val="21"/>
                <w:lang w:val="en-US" w:eastAsia="pt-PT"/>
              </w:rPr>
              <w:t>scale of the problem</w:t>
            </w:r>
            <w:r w:rsidRPr="006715EA">
              <w:rPr>
                <w:rFonts w:ascii="Arial" w:eastAsia="Times New Roman" w:hAnsi="Arial" w:cs="Arial"/>
                <w:sz w:val="21"/>
                <w:szCs w:val="21"/>
                <w:lang w:val="en-US" w:eastAsia="pt-PT"/>
              </w:rPr>
              <w:t> with unassailable authority. It proves that the research addresses a genuine, statistically verifiable issue within the target demographic.</w:t>
            </w:r>
          </w:p>
        </w:tc>
      </w:tr>
      <w:tr w:rsidR="0064795E" w:rsidRPr="00A018E2" w14:paraId="4337653C" w14:textId="77777777" w:rsidTr="0064795E">
        <w:trPr>
          <w:tblCellSpacing w:w="15" w:type="dxa"/>
        </w:trPr>
        <w:tc>
          <w:tcPr>
            <w:tcW w:w="0" w:type="auto"/>
            <w:shd w:val="clear" w:color="auto" w:fill="F8FAFD"/>
            <w:tcMar>
              <w:top w:w="120" w:type="dxa"/>
              <w:left w:w="180" w:type="dxa"/>
              <w:bottom w:w="120" w:type="dxa"/>
              <w:right w:w="180" w:type="dxa"/>
            </w:tcMar>
            <w:hideMark/>
          </w:tcPr>
          <w:p w14:paraId="190FAFD7" w14:textId="77777777" w:rsidR="0064795E" w:rsidRPr="006715EA" w:rsidRDefault="0064795E" w:rsidP="00B37B7E">
            <w:pPr>
              <w:spacing w:after="0" w:line="300" w:lineRule="atLeast"/>
              <w:rPr>
                <w:rFonts w:ascii="Arial" w:eastAsia="Times New Roman" w:hAnsi="Arial" w:cs="Arial"/>
                <w:sz w:val="21"/>
                <w:szCs w:val="21"/>
                <w:lang w:val="en-US" w:eastAsia="pt-PT"/>
              </w:rPr>
            </w:pPr>
            <w:r w:rsidRPr="006715EA">
              <w:rPr>
                <w:rFonts w:ascii="Arial" w:eastAsia="Times New Roman" w:hAnsi="Arial" w:cs="Arial"/>
                <w:b/>
                <w:bCs/>
                <w:sz w:val="21"/>
                <w:szCs w:val="21"/>
                <w:lang w:val="en-US" w:eastAsia="pt-PT"/>
              </w:rPr>
              <w:t>RAC Foundation/Brake Road Safety Charity Publications on Young Driver Safety</w:t>
            </w:r>
          </w:p>
        </w:tc>
        <w:tc>
          <w:tcPr>
            <w:tcW w:w="0" w:type="auto"/>
            <w:shd w:val="clear" w:color="auto" w:fill="F8FAFD"/>
            <w:tcMar>
              <w:top w:w="120" w:type="dxa"/>
              <w:left w:w="180" w:type="dxa"/>
              <w:bottom w:w="120" w:type="dxa"/>
              <w:right w:w="180" w:type="dxa"/>
            </w:tcMar>
            <w:hideMark/>
          </w:tcPr>
          <w:p w14:paraId="09D97B96" w14:textId="77777777" w:rsidR="0064795E" w:rsidRPr="006715EA" w:rsidRDefault="0064795E" w:rsidP="00B37B7E">
            <w:pPr>
              <w:spacing w:after="0" w:line="300" w:lineRule="atLeast"/>
              <w:rPr>
                <w:rFonts w:ascii="Arial" w:eastAsia="Times New Roman" w:hAnsi="Arial" w:cs="Arial"/>
                <w:sz w:val="21"/>
                <w:szCs w:val="21"/>
                <w:lang w:val="en-US" w:eastAsia="pt-PT"/>
              </w:rPr>
            </w:pPr>
            <w:r w:rsidRPr="006715EA">
              <w:rPr>
                <w:rFonts w:ascii="Arial" w:eastAsia="Times New Roman" w:hAnsi="Arial" w:cs="Arial"/>
                <w:b/>
                <w:bCs/>
                <w:sz w:val="21"/>
                <w:szCs w:val="21"/>
                <w:lang w:val="en-US" w:eastAsia="pt-PT"/>
              </w:rPr>
              <w:t>Content:</w:t>
            </w:r>
            <w:r w:rsidRPr="006715EA">
              <w:rPr>
                <w:rFonts w:ascii="Arial" w:eastAsia="Times New Roman" w:hAnsi="Arial" w:cs="Arial"/>
                <w:sz w:val="21"/>
                <w:szCs w:val="21"/>
                <w:lang w:val="en-US" w:eastAsia="pt-PT"/>
              </w:rPr>
              <w:t> Research and reports on the psychological, developmental, and behavioural factors contributing to young driver accidents, such as the immaturity of the pre-frontal cortex, over-confidence, and susceptibility to peer/mobile phone distraction. </w:t>
            </w:r>
            <w:r w:rsidRPr="006715EA">
              <w:rPr>
                <w:rFonts w:ascii="Arial" w:eastAsia="Times New Roman" w:hAnsi="Arial" w:cs="Arial"/>
                <w:b/>
                <w:bCs/>
                <w:sz w:val="21"/>
                <w:szCs w:val="21"/>
                <w:lang w:val="en-US" w:eastAsia="pt-PT"/>
              </w:rPr>
              <w:t>Relevance:</w:t>
            </w:r>
            <w:r w:rsidRPr="006715EA">
              <w:rPr>
                <w:rFonts w:ascii="Arial" w:eastAsia="Times New Roman" w:hAnsi="Arial" w:cs="Arial"/>
                <w:sz w:val="21"/>
                <w:szCs w:val="21"/>
                <w:lang w:val="en-US" w:eastAsia="pt-PT"/>
              </w:rPr>
              <w:t> Offers the </w:t>
            </w:r>
            <w:r w:rsidRPr="006715EA">
              <w:rPr>
                <w:rFonts w:ascii="Arial" w:eastAsia="Times New Roman" w:hAnsi="Arial" w:cs="Arial"/>
                <w:b/>
                <w:bCs/>
                <w:sz w:val="21"/>
                <w:szCs w:val="21"/>
                <w:lang w:val="en-US" w:eastAsia="pt-PT"/>
              </w:rPr>
              <w:t>explanatory, theoretical framework</w:t>
            </w:r>
            <w:r w:rsidRPr="006715EA">
              <w:rPr>
                <w:rFonts w:ascii="Arial" w:eastAsia="Times New Roman" w:hAnsi="Arial" w:cs="Arial"/>
                <w:sz w:val="21"/>
                <w:szCs w:val="21"/>
                <w:lang w:val="en-US" w:eastAsia="pt-PT"/>
              </w:rPr>
              <w:t> on </w:t>
            </w:r>
            <w:r w:rsidRPr="006715EA">
              <w:rPr>
                <w:rFonts w:ascii="Arial" w:eastAsia="Times New Roman" w:hAnsi="Arial" w:cs="Arial"/>
                <w:i/>
                <w:iCs/>
                <w:sz w:val="21"/>
                <w:szCs w:val="21"/>
                <w:lang w:val="en-US" w:eastAsia="pt-PT"/>
              </w:rPr>
              <w:t>why</w:t>
            </w:r>
            <w:r w:rsidRPr="006715EA">
              <w:rPr>
                <w:rFonts w:ascii="Arial" w:eastAsia="Times New Roman" w:hAnsi="Arial" w:cs="Arial"/>
                <w:sz w:val="21"/>
                <w:szCs w:val="21"/>
                <w:lang w:val="en-US" w:eastAsia="pt-PT"/>
              </w:rPr>
              <w:t> young drivers are high risk, moving beyond simple statistics to underlying causes.</w:t>
            </w:r>
          </w:p>
        </w:tc>
        <w:tc>
          <w:tcPr>
            <w:tcW w:w="0" w:type="auto"/>
            <w:shd w:val="clear" w:color="auto" w:fill="F8FAFD"/>
            <w:tcMar>
              <w:top w:w="120" w:type="dxa"/>
              <w:left w:w="180" w:type="dxa"/>
              <w:bottom w:w="120" w:type="dxa"/>
              <w:right w:w="180" w:type="dxa"/>
            </w:tcMar>
            <w:hideMark/>
          </w:tcPr>
          <w:p w14:paraId="7766F0F9" w14:textId="77777777" w:rsidR="0064795E" w:rsidRPr="006715EA" w:rsidRDefault="0064795E" w:rsidP="00B37B7E">
            <w:pPr>
              <w:spacing w:after="0" w:line="300" w:lineRule="atLeast"/>
              <w:rPr>
                <w:rFonts w:ascii="Arial" w:eastAsia="Times New Roman" w:hAnsi="Arial" w:cs="Arial"/>
                <w:sz w:val="21"/>
                <w:szCs w:val="21"/>
                <w:lang w:val="en-US" w:eastAsia="pt-PT"/>
              </w:rPr>
            </w:pPr>
            <w:r w:rsidRPr="006715EA">
              <w:rPr>
                <w:rFonts w:ascii="Arial" w:eastAsia="Times New Roman" w:hAnsi="Arial" w:cs="Arial"/>
                <w:sz w:val="21"/>
                <w:szCs w:val="21"/>
                <w:lang w:val="en-US" w:eastAsia="pt-PT"/>
              </w:rPr>
              <w:t>Selecting an independent, reputable road safety charity's work provides a </w:t>
            </w:r>
            <w:r w:rsidRPr="006715EA">
              <w:rPr>
                <w:rFonts w:ascii="Arial" w:eastAsia="Times New Roman" w:hAnsi="Arial" w:cs="Arial"/>
                <w:b/>
                <w:bCs/>
                <w:sz w:val="21"/>
                <w:szCs w:val="21"/>
                <w:lang w:val="en-US" w:eastAsia="pt-PT"/>
              </w:rPr>
              <w:t>robust, evidence-based psychological and behavioural foundation</w:t>
            </w:r>
            <w:r w:rsidRPr="006715EA">
              <w:rPr>
                <w:rFonts w:ascii="Arial" w:eastAsia="Times New Roman" w:hAnsi="Arial" w:cs="Arial"/>
                <w:sz w:val="21"/>
                <w:szCs w:val="21"/>
                <w:lang w:val="en-US" w:eastAsia="pt-PT"/>
              </w:rPr>
              <w:t> for the analysis of risk factors.</w:t>
            </w:r>
          </w:p>
        </w:tc>
      </w:tr>
      <w:tr w:rsidR="0064795E" w:rsidRPr="00A018E2" w14:paraId="2060BED3" w14:textId="77777777" w:rsidTr="0064795E">
        <w:trPr>
          <w:tblCellSpacing w:w="15" w:type="dxa"/>
        </w:trPr>
        <w:tc>
          <w:tcPr>
            <w:tcW w:w="0" w:type="auto"/>
            <w:shd w:val="clear" w:color="auto" w:fill="F8FAFD"/>
            <w:tcMar>
              <w:top w:w="120" w:type="dxa"/>
              <w:left w:w="180" w:type="dxa"/>
              <w:bottom w:w="120" w:type="dxa"/>
              <w:right w:w="180" w:type="dxa"/>
            </w:tcMar>
            <w:hideMark/>
          </w:tcPr>
          <w:p w14:paraId="3F33947A" w14:textId="77777777" w:rsidR="0064795E" w:rsidRPr="006715EA" w:rsidRDefault="0064795E" w:rsidP="00B37B7E">
            <w:pPr>
              <w:spacing w:after="0" w:line="300" w:lineRule="atLeast"/>
              <w:rPr>
                <w:rFonts w:ascii="Arial" w:eastAsia="Times New Roman" w:hAnsi="Arial" w:cs="Arial"/>
                <w:sz w:val="21"/>
                <w:szCs w:val="21"/>
                <w:lang w:val="en-US" w:eastAsia="pt-PT"/>
              </w:rPr>
            </w:pPr>
            <w:r w:rsidRPr="006715EA">
              <w:rPr>
                <w:rFonts w:ascii="Arial" w:eastAsia="Times New Roman" w:hAnsi="Arial" w:cs="Arial"/>
                <w:b/>
                <w:bCs/>
                <w:sz w:val="21"/>
                <w:szCs w:val="21"/>
                <w:lang w:val="en-US" w:eastAsia="pt-PT"/>
              </w:rPr>
              <w:lastRenderedPageBreak/>
              <w:t>The Northern Ireland Assembly Research and Information Service (2014): Driving as a Public Health Problem</w:t>
            </w:r>
          </w:p>
        </w:tc>
        <w:tc>
          <w:tcPr>
            <w:tcW w:w="0" w:type="auto"/>
            <w:shd w:val="clear" w:color="auto" w:fill="F8FAFD"/>
            <w:tcMar>
              <w:top w:w="120" w:type="dxa"/>
              <w:left w:w="180" w:type="dxa"/>
              <w:bottom w:w="120" w:type="dxa"/>
              <w:right w:w="180" w:type="dxa"/>
            </w:tcMar>
            <w:hideMark/>
          </w:tcPr>
          <w:p w14:paraId="38D3D274" w14:textId="77777777" w:rsidR="0064795E" w:rsidRPr="006715EA" w:rsidRDefault="0064795E" w:rsidP="00B37B7E">
            <w:pPr>
              <w:spacing w:after="0" w:line="300" w:lineRule="atLeast"/>
              <w:rPr>
                <w:rFonts w:ascii="Arial" w:eastAsia="Times New Roman" w:hAnsi="Arial" w:cs="Arial"/>
                <w:sz w:val="21"/>
                <w:szCs w:val="21"/>
                <w:lang w:val="en-US" w:eastAsia="pt-PT"/>
              </w:rPr>
            </w:pPr>
            <w:r w:rsidRPr="006715EA">
              <w:rPr>
                <w:rFonts w:ascii="Arial" w:eastAsia="Times New Roman" w:hAnsi="Arial" w:cs="Arial"/>
                <w:b/>
                <w:bCs/>
                <w:sz w:val="21"/>
                <w:szCs w:val="21"/>
                <w:lang w:val="en-US" w:eastAsia="pt-PT"/>
              </w:rPr>
              <w:t>Content:</w:t>
            </w:r>
            <w:r w:rsidRPr="006715EA">
              <w:rPr>
                <w:rFonts w:ascii="Arial" w:eastAsia="Times New Roman" w:hAnsi="Arial" w:cs="Arial"/>
                <w:sz w:val="21"/>
                <w:szCs w:val="21"/>
                <w:lang w:val="en-US" w:eastAsia="pt-PT"/>
              </w:rPr>
              <w:t> A report outlining the broad public health, social, and economic costs of young driver crashes, including mention of the consequential burden on the NHS and social care services for long-term care of RTA victims. </w:t>
            </w:r>
            <w:r w:rsidRPr="006715EA">
              <w:rPr>
                <w:rFonts w:ascii="Arial" w:eastAsia="Times New Roman" w:hAnsi="Arial" w:cs="Arial"/>
                <w:b/>
                <w:bCs/>
                <w:sz w:val="21"/>
                <w:szCs w:val="21"/>
                <w:lang w:val="en-US" w:eastAsia="pt-PT"/>
              </w:rPr>
              <w:t>Relevance:</w:t>
            </w:r>
            <w:r w:rsidRPr="006715EA">
              <w:rPr>
                <w:rFonts w:ascii="Arial" w:eastAsia="Times New Roman" w:hAnsi="Arial" w:cs="Arial"/>
                <w:sz w:val="21"/>
                <w:szCs w:val="21"/>
                <w:lang w:val="en-US" w:eastAsia="pt-PT"/>
              </w:rPr>
              <w:t> Establishes the </w:t>
            </w:r>
            <w:r w:rsidRPr="006715EA">
              <w:rPr>
                <w:rFonts w:ascii="Arial" w:eastAsia="Times New Roman" w:hAnsi="Arial" w:cs="Arial"/>
                <w:b/>
                <w:bCs/>
                <w:sz w:val="21"/>
                <w:szCs w:val="21"/>
                <w:lang w:val="en-US" w:eastAsia="pt-PT"/>
              </w:rPr>
              <w:t>public health and socio-economic context</w:t>
            </w:r>
            <w:r w:rsidRPr="006715EA">
              <w:rPr>
                <w:rFonts w:ascii="Arial" w:eastAsia="Times New Roman" w:hAnsi="Arial" w:cs="Arial"/>
                <w:sz w:val="21"/>
                <w:szCs w:val="21"/>
                <w:lang w:val="en-US" w:eastAsia="pt-PT"/>
              </w:rPr>
              <w:t>, linking young driver risk directly to the operational pressures and service demands on the health and social care system.</w:t>
            </w:r>
          </w:p>
        </w:tc>
        <w:tc>
          <w:tcPr>
            <w:tcW w:w="0" w:type="auto"/>
            <w:shd w:val="clear" w:color="auto" w:fill="F8FAFD"/>
            <w:tcMar>
              <w:top w:w="120" w:type="dxa"/>
              <w:left w:w="180" w:type="dxa"/>
              <w:bottom w:w="120" w:type="dxa"/>
              <w:right w:w="180" w:type="dxa"/>
            </w:tcMar>
            <w:hideMark/>
          </w:tcPr>
          <w:p w14:paraId="313D8695" w14:textId="77777777" w:rsidR="0064795E" w:rsidRPr="006715EA" w:rsidRDefault="0064795E" w:rsidP="00B37B7E">
            <w:pPr>
              <w:spacing w:after="0" w:line="300" w:lineRule="atLeast"/>
              <w:rPr>
                <w:rFonts w:ascii="Arial" w:eastAsia="Times New Roman" w:hAnsi="Arial" w:cs="Arial"/>
                <w:sz w:val="21"/>
                <w:szCs w:val="21"/>
                <w:lang w:val="en-US" w:eastAsia="pt-PT"/>
              </w:rPr>
            </w:pPr>
            <w:r w:rsidRPr="006715EA">
              <w:rPr>
                <w:rFonts w:ascii="Arial" w:eastAsia="Times New Roman" w:hAnsi="Arial" w:cs="Arial"/>
                <w:sz w:val="21"/>
                <w:szCs w:val="21"/>
                <w:lang w:val="en-US" w:eastAsia="pt-PT"/>
              </w:rPr>
              <w:t>Although a regional report, it clearly and explicitly links the consequences of young driver accidents to the </w:t>
            </w:r>
            <w:r w:rsidRPr="006715EA">
              <w:rPr>
                <w:rFonts w:ascii="Arial" w:eastAsia="Times New Roman" w:hAnsi="Arial" w:cs="Arial"/>
                <w:b/>
                <w:bCs/>
                <w:sz w:val="21"/>
                <w:szCs w:val="21"/>
                <w:lang w:val="en-US" w:eastAsia="pt-PT"/>
              </w:rPr>
              <w:t>burden on the health/social care sector</w:t>
            </w:r>
            <w:r w:rsidRPr="006715EA">
              <w:rPr>
                <w:rFonts w:ascii="Arial" w:eastAsia="Times New Roman" w:hAnsi="Arial" w:cs="Arial"/>
                <w:sz w:val="21"/>
                <w:szCs w:val="21"/>
                <w:lang w:val="en-US" w:eastAsia="pt-PT"/>
              </w:rPr>
              <w:t>, providing a critical justification point for the necessity of this sector-specific research.</w:t>
            </w:r>
          </w:p>
        </w:tc>
      </w:tr>
    </w:tbl>
    <w:p w14:paraId="36CB8B56" w14:textId="77777777" w:rsidR="00D30A0D" w:rsidRDefault="00D30A0D" w:rsidP="00B37B7E">
      <w:pPr>
        <w:rPr>
          <w:rFonts w:ascii="Arial" w:hAnsi="Arial" w:cs="Arial"/>
          <w:b/>
          <w:bCs/>
          <w:sz w:val="28"/>
          <w:szCs w:val="28"/>
          <w:lang w:val="en-US"/>
        </w:rPr>
      </w:pPr>
    </w:p>
    <w:p w14:paraId="07BA4733" w14:textId="2BFA2789" w:rsidR="00B22943" w:rsidRPr="008C5835" w:rsidRDefault="008C5835" w:rsidP="00B37B7E">
      <w:pPr>
        <w:rPr>
          <w:rFonts w:ascii="Arial" w:hAnsi="Arial" w:cs="Arial"/>
          <w:b/>
          <w:bCs/>
          <w:sz w:val="28"/>
          <w:szCs w:val="28"/>
          <w:lang w:val="en-US"/>
        </w:rPr>
      </w:pPr>
      <w:r>
        <w:rPr>
          <w:rFonts w:ascii="Arial" w:hAnsi="Arial" w:cs="Arial"/>
          <w:b/>
          <w:bCs/>
          <w:sz w:val="28"/>
          <w:szCs w:val="28"/>
          <w:lang w:val="en-US"/>
        </w:rPr>
        <w:t xml:space="preserve">2.4 </w:t>
      </w:r>
      <w:r w:rsidR="00E16EAF" w:rsidRPr="008C5835">
        <w:rPr>
          <w:rFonts w:ascii="Arial" w:hAnsi="Arial" w:cs="Arial"/>
          <w:b/>
          <w:bCs/>
          <w:sz w:val="28"/>
          <w:szCs w:val="28"/>
          <w:lang w:val="en-US"/>
        </w:rPr>
        <w:t>Research Methodology</w:t>
      </w:r>
    </w:p>
    <w:p w14:paraId="75BD384E" w14:textId="77777777" w:rsidR="00E16EAF" w:rsidRPr="008C5835" w:rsidRDefault="00E16EAF" w:rsidP="00B37B7E">
      <w:pPr>
        <w:rPr>
          <w:rFonts w:ascii="Arial" w:eastAsia="Times New Roman" w:hAnsi="Arial" w:cs="Arial"/>
          <w:color w:val="1B1C1D"/>
          <w:sz w:val="24"/>
          <w:szCs w:val="24"/>
          <w:lang w:val="en-US" w:eastAsia="pt-PT"/>
        </w:rPr>
      </w:pPr>
      <w:r w:rsidRPr="008C5835">
        <w:rPr>
          <w:rFonts w:ascii="Arial" w:eastAsia="Times New Roman" w:hAnsi="Arial" w:cs="Arial"/>
          <w:color w:val="1B1C1D"/>
          <w:sz w:val="24"/>
          <w:szCs w:val="24"/>
          <w:lang w:val="en-US" w:eastAsia="pt-PT"/>
        </w:rPr>
        <w:t xml:space="preserve">Research methodology is a systematic process used to collect and analyse, along with interpreting data to answer research questions. Qualitative research explores experiences and opinions through interviews and case studies. Qualitative research is seen to involve the use of human participants and is an important part of every primary data collection (Nii Laryeafio and Ogbewe, 2023). Numerical data can be gathered through surveys and statistical analysis to identify trends. Quantitative research includes these data rather than focusing on their contextual analysis. Mixed methods research combines both approaches to achieve a deeper understanding. </w:t>
      </w:r>
    </w:p>
    <w:p w14:paraId="7725FB0C" w14:textId="77777777" w:rsidR="00E16EAF" w:rsidRPr="005D195A" w:rsidRDefault="00E16EAF" w:rsidP="00B37B7E">
      <w:pPr>
        <w:rPr>
          <w:rFonts w:ascii="Arial" w:eastAsia="Times New Roman" w:hAnsi="Arial" w:cs="Arial"/>
          <w:color w:val="1B1C1D"/>
          <w:sz w:val="24"/>
          <w:szCs w:val="24"/>
          <w:lang w:val="en-US" w:eastAsia="pt-PT"/>
        </w:rPr>
      </w:pPr>
      <w:r w:rsidRPr="008C5835">
        <w:rPr>
          <w:rFonts w:ascii="Arial" w:eastAsia="Times New Roman" w:hAnsi="Arial" w:cs="Arial"/>
          <w:color w:val="1B1C1D"/>
          <w:sz w:val="24"/>
          <w:szCs w:val="24"/>
          <w:lang w:val="en-US" w:eastAsia="pt-PT"/>
        </w:rPr>
        <w:t>This study will adopt a qualitative method approach. This methodology is chosen because it allows an in-depth understanding without primary data collection. It will thus help to identify recurring themes and patterns in the effectiveness of community support for disabled people. In this way, both the successes and challenges in different interventions can be highlighted through this method. This is effective and suitable for this research as the quantitative</w:t>
      </w:r>
      <w:r w:rsidRPr="00E16EAF">
        <w:rPr>
          <w:rFonts w:ascii="Arial" w:hAnsi="Arial" w:cs="Arial"/>
          <w:b/>
          <w:bCs/>
          <w:lang w:val="en-US"/>
        </w:rPr>
        <w:t xml:space="preserve"> </w:t>
      </w:r>
      <w:r w:rsidRPr="005D195A">
        <w:rPr>
          <w:rFonts w:ascii="Arial" w:eastAsia="Times New Roman" w:hAnsi="Arial" w:cs="Arial"/>
          <w:color w:val="1B1C1D"/>
          <w:sz w:val="24"/>
          <w:szCs w:val="24"/>
          <w:lang w:val="en-US" w:eastAsia="pt-PT"/>
        </w:rPr>
        <w:t xml:space="preserve">research method can not analyse the reason behind the effectiveness of the support strategies through numerical analysis. </w:t>
      </w:r>
    </w:p>
    <w:p w14:paraId="783EC009" w14:textId="77777777" w:rsidR="008C5835" w:rsidRDefault="008C5835" w:rsidP="00B37B7E">
      <w:pPr>
        <w:rPr>
          <w:rFonts w:ascii="Arial" w:hAnsi="Arial" w:cs="Arial"/>
          <w:b/>
          <w:bCs/>
          <w:lang w:val="en-US"/>
        </w:rPr>
      </w:pPr>
    </w:p>
    <w:p w14:paraId="071CFF29" w14:textId="6B461FD3" w:rsidR="00E16EAF" w:rsidRPr="005D195A" w:rsidRDefault="005D195A" w:rsidP="00B37B7E">
      <w:pPr>
        <w:rPr>
          <w:rFonts w:ascii="Arial" w:hAnsi="Arial" w:cs="Arial"/>
          <w:b/>
          <w:bCs/>
          <w:sz w:val="28"/>
          <w:szCs w:val="28"/>
          <w:lang w:val="en-US"/>
        </w:rPr>
      </w:pPr>
      <w:r w:rsidRPr="005D195A">
        <w:rPr>
          <w:rFonts w:ascii="Arial" w:hAnsi="Arial" w:cs="Arial"/>
          <w:b/>
          <w:bCs/>
          <w:sz w:val="28"/>
          <w:szCs w:val="28"/>
          <w:lang w:val="en-US"/>
        </w:rPr>
        <w:t>3.</w:t>
      </w:r>
      <w:r>
        <w:rPr>
          <w:rFonts w:ascii="Arial" w:hAnsi="Arial" w:cs="Arial"/>
          <w:b/>
          <w:bCs/>
          <w:sz w:val="28"/>
          <w:szCs w:val="28"/>
          <w:lang w:val="en-US"/>
        </w:rPr>
        <w:t xml:space="preserve"> </w:t>
      </w:r>
      <w:r w:rsidRPr="005D195A">
        <w:rPr>
          <w:rFonts w:ascii="Arial" w:hAnsi="Arial" w:cs="Arial"/>
          <w:b/>
          <w:bCs/>
          <w:sz w:val="28"/>
          <w:szCs w:val="28"/>
          <w:lang w:val="en-US"/>
        </w:rPr>
        <w:t>Data collection</w:t>
      </w:r>
    </w:p>
    <w:p w14:paraId="7E758ED9" w14:textId="77777777" w:rsidR="00E16EAF" w:rsidRPr="00E16EAF" w:rsidRDefault="00E16EAF" w:rsidP="00B37B7E">
      <w:pPr>
        <w:rPr>
          <w:rFonts w:ascii="Arial" w:hAnsi="Arial" w:cs="Arial"/>
          <w:b/>
          <w:bCs/>
          <w:lang w:val="en-US"/>
        </w:rPr>
      </w:pPr>
      <w:r w:rsidRPr="00E16EAF">
        <w:rPr>
          <w:rFonts w:ascii="Arial" w:hAnsi="Arial" w:cs="Arial"/>
          <w:b/>
          <w:bCs/>
          <w:lang w:val="en-US"/>
        </w:rPr>
        <w:t>3.1. Primary vs. secondary data</w:t>
      </w:r>
    </w:p>
    <w:p w14:paraId="295F7202" w14:textId="34A16A2B" w:rsidR="00E16EAF" w:rsidRDefault="00E16EAF" w:rsidP="00B37B7E">
      <w:pPr>
        <w:rPr>
          <w:rFonts w:ascii="Arial" w:eastAsia="Times New Roman" w:hAnsi="Arial" w:cs="Arial"/>
          <w:color w:val="1B1C1D"/>
          <w:sz w:val="24"/>
          <w:szCs w:val="24"/>
          <w:lang w:val="en-US" w:eastAsia="pt-PT"/>
        </w:rPr>
      </w:pPr>
      <w:r w:rsidRPr="005D195A">
        <w:rPr>
          <w:rFonts w:ascii="Arial" w:eastAsia="Times New Roman" w:hAnsi="Arial" w:cs="Arial"/>
          <w:color w:val="1B1C1D"/>
          <w:sz w:val="24"/>
          <w:szCs w:val="24"/>
          <w:lang w:val="en-US" w:eastAsia="pt-PT"/>
        </w:rPr>
        <w:t>Primary data is collected through interviews, questionnaires and observation methods (Mazhar et al. 2021). On the other hand, secondary data sources include published books and journals along with biographies (Mazhar et al. 2021). Primary data provides first-hand insights specific to the research questions. The information that has already been collected is referred to as sedentary data. Primary data is active because the researcher controls its collection. Contrary to this, secondary data relies on existing information. Both data collection methods can enhance research by combining original insights with established evidence.</w:t>
      </w:r>
    </w:p>
    <w:p w14:paraId="2D2EFC94" w14:textId="7E9C824B" w:rsidR="005D195A" w:rsidRDefault="005D195A" w:rsidP="00B37B7E">
      <w:pPr>
        <w:rPr>
          <w:rFonts w:ascii="Arial" w:eastAsia="Times New Roman" w:hAnsi="Arial" w:cs="Arial"/>
          <w:color w:val="1B1C1D"/>
          <w:sz w:val="24"/>
          <w:szCs w:val="24"/>
          <w:lang w:val="en-US" w:eastAsia="pt-PT"/>
        </w:rPr>
      </w:pPr>
    </w:p>
    <w:p w14:paraId="553F70DB" w14:textId="6E3EEED8" w:rsidR="005D195A" w:rsidRDefault="005D195A" w:rsidP="00B37B7E">
      <w:pPr>
        <w:rPr>
          <w:rFonts w:ascii="Arial" w:eastAsia="Times New Roman" w:hAnsi="Arial" w:cs="Arial"/>
          <w:b/>
          <w:bCs/>
          <w:color w:val="1B1C1D"/>
          <w:sz w:val="28"/>
          <w:szCs w:val="28"/>
          <w:lang w:val="en-US" w:eastAsia="pt-PT"/>
        </w:rPr>
      </w:pPr>
      <w:r w:rsidRPr="009E23AB">
        <w:rPr>
          <w:rFonts w:ascii="Arial" w:eastAsia="Times New Roman" w:hAnsi="Arial" w:cs="Arial"/>
          <w:b/>
          <w:bCs/>
          <w:color w:val="1B1C1D"/>
          <w:sz w:val="28"/>
          <w:szCs w:val="28"/>
          <w:lang w:val="en-US" w:eastAsia="pt-PT"/>
        </w:rPr>
        <w:t>3.2.</w:t>
      </w:r>
      <w:r w:rsidRPr="005D195A">
        <w:rPr>
          <w:rFonts w:ascii="Arial" w:eastAsia="Times New Roman" w:hAnsi="Arial" w:cs="Arial"/>
          <w:b/>
          <w:bCs/>
          <w:color w:val="1B1C1D"/>
          <w:sz w:val="28"/>
          <w:szCs w:val="28"/>
          <w:lang w:val="en-US" w:eastAsia="pt-PT"/>
        </w:rPr>
        <w:t xml:space="preserve"> Data </w:t>
      </w:r>
      <w:r w:rsidR="0064795E" w:rsidRPr="005D195A">
        <w:rPr>
          <w:rFonts w:ascii="Arial" w:eastAsia="Times New Roman" w:hAnsi="Arial" w:cs="Arial"/>
          <w:b/>
          <w:bCs/>
          <w:color w:val="1B1C1D"/>
          <w:sz w:val="28"/>
          <w:szCs w:val="28"/>
          <w:lang w:val="en-US" w:eastAsia="pt-PT"/>
        </w:rPr>
        <w:t>choice</w:t>
      </w:r>
      <w:r w:rsidRPr="005D195A">
        <w:rPr>
          <w:rFonts w:ascii="Arial" w:eastAsia="Times New Roman" w:hAnsi="Arial" w:cs="Arial"/>
          <w:b/>
          <w:bCs/>
          <w:color w:val="1B1C1D"/>
          <w:sz w:val="28"/>
          <w:szCs w:val="28"/>
          <w:lang w:val="en-US" w:eastAsia="pt-PT"/>
        </w:rPr>
        <w:t xml:space="preserve"> for this research </w:t>
      </w:r>
    </w:p>
    <w:p w14:paraId="39DA399A" w14:textId="0AC84A5E" w:rsidR="00EE436B" w:rsidRPr="00EE436B" w:rsidRDefault="00EE436B" w:rsidP="00B37B7E">
      <w:pPr>
        <w:rPr>
          <w:rFonts w:ascii="Arial" w:eastAsia="Times New Roman" w:hAnsi="Arial" w:cs="Arial"/>
          <w:color w:val="1B1C1D"/>
          <w:sz w:val="24"/>
          <w:szCs w:val="24"/>
          <w:lang w:val="en-US" w:eastAsia="pt-PT"/>
        </w:rPr>
      </w:pPr>
      <w:r w:rsidRPr="00EE436B">
        <w:rPr>
          <w:rFonts w:ascii="Arial" w:eastAsia="Times New Roman" w:hAnsi="Arial" w:cs="Arial"/>
          <w:color w:val="1B1C1D"/>
          <w:sz w:val="24"/>
          <w:szCs w:val="24"/>
          <w:lang w:val="en-US" w:eastAsia="pt-PT"/>
        </w:rPr>
        <w:t>To investigate the high-risk gap among young male drivers on UK rural roads, a mixed-methods approach combining primary and secondary data is required.</w:t>
      </w:r>
    </w:p>
    <w:p w14:paraId="03E09E5E" w14:textId="77777777" w:rsidR="00EE436B" w:rsidRPr="00EE436B" w:rsidRDefault="00EE436B" w:rsidP="00B37B7E">
      <w:pPr>
        <w:rPr>
          <w:rFonts w:ascii="Arial" w:eastAsia="Times New Roman" w:hAnsi="Arial" w:cs="Arial"/>
          <w:color w:val="1B1C1D"/>
          <w:sz w:val="24"/>
          <w:szCs w:val="24"/>
          <w:lang w:val="en-US" w:eastAsia="pt-PT"/>
        </w:rPr>
      </w:pPr>
      <w:r w:rsidRPr="009E23AB">
        <w:rPr>
          <w:rFonts w:ascii="Arial" w:eastAsia="Times New Roman" w:hAnsi="Arial" w:cs="Arial"/>
          <w:b/>
          <w:bCs/>
          <w:color w:val="1B1C1D"/>
          <w:sz w:val="24"/>
          <w:szCs w:val="24"/>
          <w:lang w:val="en-US" w:eastAsia="pt-PT"/>
        </w:rPr>
        <w:t>Primary Data Collection (Qualitative</w:t>
      </w:r>
      <w:r w:rsidRPr="00EE436B">
        <w:rPr>
          <w:rFonts w:ascii="Arial" w:eastAsia="Times New Roman" w:hAnsi="Arial" w:cs="Arial"/>
          <w:color w:val="1B1C1D"/>
          <w:sz w:val="24"/>
          <w:szCs w:val="24"/>
          <w:lang w:val="en-US" w:eastAsia="pt-PT"/>
        </w:rPr>
        <w:t>)</w:t>
      </w:r>
    </w:p>
    <w:p w14:paraId="5B283252" w14:textId="77777777" w:rsidR="00EE436B" w:rsidRPr="00EE436B" w:rsidRDefault="00EE436B" w:rsidP="00B37B7E">
      <w:pPr>
        <w:rPr>
          <w:rFonts w:ascii="Arial" w:eastAsia="Times New Roman" w:hAnsi="Arial" w:cs="Arial"/>
          <w:color w:val="1B1C1D"/>
          <w:sz w:val="24"/>
          <w:szCs w:val="24"/>
          <w:lang w:val="en-US" w:eastAsia="pt-PT"/>
        </w:rPr>
      </w:pPr>
      <w:r w:rsidRPr="00EE436B">
        <w:rPr>
          <w:rFonts w:ascii="Arial" w:eastAsia="Times New Roman" w:hAnsi="Arial" w:cs="Arial"/>
          <w:color w:val="1B1C1D"/>
          <w:sz w:val="24"/>
          <w:szCs w:val="24"/>
          <w:lang w:val="en-US" w:eastAsia="pt-PT"/>
        </w:rPr>
        <w:t>​To understand the why behind the behavior, qualitative data is essential:</w:t>
      </w:r>
    </w:p>
    <w:p w14:paraId="3DD1F590" w14:textId="40D9AB66" w:rsidR="00EE436B" w:rsidRPr="00EE436B" w:rsidRDefault="00EE436B" w:rsidP="00B37B7E">
      <w:pPr>
        <w:rPr>
          <w:rFonts w:ascii="Arial" w:eastAsia="Times New Roman" w:hAnsi="Arial" w:cs="Arial"/>
          <w:color w:val="1B1C1D"/>
          <w:sz w:val="24"/>
          <w:szCs w:val="24"/>
          <w:lang w:val="en-US" w:eastAsia="pt-PT"/>
        </w:rPr>
      </w:pPr>
      <w:r w:rsidRPr="00EE436B">
        <w:rPr>
          <w:rFonts w:ascii="Arial" w:eastAsia="Times New Roman" w:hAnsi="Arial" w:cs="Arial"/>
          <w:color w:val="1B1C1D"/>
          <w:sz w:val="24"/>
          <w:szCs w:val="24"/>
          <w:lang w:val="en-US" w:eastAsia="pt-PT"/>
        </w:rPr>
        <w:t>​Semi-structured Interviews: Conduct in-depth interviews with a sample of young male drivers (17–24) from rural areas, focusing on their attitudes toward risk, peer influence, social use of the car, and perceptions of hazard on rural roads. This provides context for the high-risk factors identified in the secondary data.</w:t>
      </w:r>
    </w:p>
    <w:p w14:paraId="3AC67106" w14:textId="77777777" w:rsidR="00EE436B" w:rsidRPr="009E23AB" w:rsidRDefault="00EE436B" w:rsidP="00B37B7E">
      <w:pPr>
        <w:rPr>
          <w:rFonts w:ascii="Arial" w:eastAsia="Times New Roman" w:hAnsi="Arial" w:cs="Arial"/>
          <w:b/>
          <w:bCs/>
          <w:color w:val="1B1C1D"/>
          <w:sz w:val="24"/>
          <w:szCs w:val="24"/>
          <w:lang w:val="en-US" w:eastAsia="pt-PT"/>
        </w:rPr>
      </w:pPr>
      <w:r w:rsidRPr="009E23AB">
        <w:rPr>
          <w:rFonts w:ascii="Arial" w:eastAsia="Times New Roman" w:hAnsi="Arial" w:cs="Arial"/>
          <w:b/>
          <w:bCs/>
          <w:color w:val="1B1C1D"/>
          <w:sz w:val="24"/>
          <w:szCs w:val="24"/>
          <w:lang w:val="en-US" w:eastAsia="pt-PT"/>
        </w:rPr>
        <w:t>Secondary Data Collection</w:t>
      </w:r>
    </w:p>
    <w:p w14:paraId="69EAD99B" w14:textId="77777777" w:rsidR="00EE436B" w:rsidRPr="00EE436B" w:rsidRDefault="00EE436B" w:rsidP="00B37B7E">
      <w:pPr>
        <w:rPr>
          <w:rFonts w:ascii="Arial" w:eastAsia="Times New Roman" w:hAnsi="Arial" w:cs="Arial"/>
          <w:color w:val="1B1C1D"/>
          <w:sz w:val="24"/>
          <w:szCs w:val="24"/>
          <w:lang w:val="en-US" w:eastAsia="pt-PT"/>
        </w:rPr>
      </w:pPr>
      <w:r w:rsidRPr="00EE436B">
        <w:rPr>
          <w:rFonts w:ascii="Arial" w:eastAsia="Times New Roman" w:hAnsi="Arial" w:cs="Arial"/>
          <w:color w:val="1B1C1D"/>
          <w:sz w:val="24"/>
          <w:szCs w:val="24"/>
          <w:lang w:val="en-US" w:eastAsia="pt-PT"/>
        </w:rPr>
        <w:t>​The first step is to collect and analyze existing data, which provides the statistical foundation for the problem:</w:t>
      </w:r>
    </w:p>
    <w:p w14:paraId="71AAF4C2" w14:textId="77777777" w:rsidR="00EE436B" w:rsidRPr="00EE436B" w:rsidRDefault="00EE436B" w:rsidP="00B37B7E">
      <w:pPr>
        <w:rPr>
          <w:rFonts w:ascii="Arial" w:eastAsia="Times New Roman" w:hAnsi="Arial" w:cs="Arial"/>
          <w:color w:val="1B1C1D"/>
          <w:sz w:val="24"/>
          <w:szCs w:val="24"/>
          <w:lang w:val="en-US" w:eastAsia="pt-PT"/>
        </w:rPr>
      </w:pPr>
      <w:r w:rsidRPr="00EE436B">
        <w:rPr>
          <w:rFonts w:ascii="Arial" w:eastAsia="Times New Roman" w:hAnsi="Arial" w:cs="Arial"/>
          <w:color w:val="1B1C1D"/>
          <w:sz w:val="24"/>
          <w:szCs w:val="24"/>
          <w:lang w:val="en-US" w:eastAsia="pt-PT"/>
        </w:rPr>
        <w:t>​Police Accident Data (STATS19): Retrieve and analyze the raw UK police crash data (Fatal and Serious Collisions - FSC) for 2020-2025. This data will be filtered specifically by driver age (17–24 male), road type (rural single-carriageway), and contributory factors ("loss of control," "exceeding speed limit"). This allows for precise mapping of risk hotspots.</w:t>
      </w:r>
    </w:p>
    <w:p w14:paraId="028AEAA5" w14:textId="79914B2E" w:rsidR="00A018E2" w:rsidRDefault="00EE436B" w:rsidP="00B37B7E">
      <w:pPr>
        <w:rPr>
          <w:rFonts w:ascii="Arial" w:eastAsia="Times New Roman" w:hAnsi="Arial" w:cs="Arial"/>
          <w:color w:val="1B1C1D"/>
          <w:sz w:val="24"/>
          <w:szCs w:val="24"/>
          <w:lang w:val="en-US" w:eastAsia="pt-PT"/>
        </w:rPr>
      </w:pPr>
      <w:r w:rsidRPr="00EE436B">
        <w:rPr>
          <w:rFonts w:ascii="Arial" w:eastAsia="Times New Roman" w:hAnsi="Arial" w:cs="Arial"/>
          <w:color w:val="1B1C1D"/>
          <w:sz w:val="24"/>
          <w:szCs w:val="24"/>
          <w:lang w:val="en-US" w:eastAsia="pt-PT"/>
        </w:rPr>
        <w:t>​</w:t>
      </w:r>
    </w:p>
    <w:p w14:paraId="42A1054F" w14:textId="55FE2FD3" w:rsidR="00EE436B" w:rsidRPr="00A018E2" w:rsidRDefault="00A018E2" w:rsidP="00B37B7E">
      <w:pPr>
        <w:spacing w:line="360" w:lineRule="auto"/>
        <w:rPr>
          <w:rFonts w:ascii="Arial" w:eastAsia="Times New Roman" w:hAnsi="Arial" w:cs="Arial"/>
          <w:b/>
          <w:bCs/>
          <w:color w:val="1B1C1D"/>
          <w:sz w:val="28"/>
          <w:szCs w:val="28"/>
          <w:lang w:val="en-US" w:eastAsia="pt-PT"/>
        </w:rPr>
      </w:pPr>
      <w:r>
        <w:rPr>
          <w:rFonts w:ascii="Arial" w:eastAsia="Times New Roman" w:hAnsi="Arial" w:cs="Arial"/>
          <w:b/>
          <w:bCs/>
          <w:color w:val="1B1C1D"/>
          <w:sz w:val="28"/>
          <w:szCs w:val="28"/>
          <w:lang w:val="en-US" w:eastAsia="pt-PT"/>
        </w:rPr>
        <w:t>4.</w:t>
      </w:r>
      <w:r w:rsidR="00EE436B" w:rsidRPr="00A018E2">
        <w:rPr>
          <w:rFonts w:ascii="Arial" w:eastAsia="Times New Roman" w:hAnsi="Arial" w:cs="Arial"/>
          <w:b/>
          <w:bCs/>
          <w:color w:val="1B1C1D"/>
          <w:sz w:val="28"/>
          <w:szCs w:val="28"/>
          <w:lang w:val="en-US" w:eastAsia="pt-PT"/>
        </w:rPr>
        <w:t xml:space="preserve">Conclusion </w:t>
      </w:r>
    </w:p>
    <w:p w14:paraId="5F55387E" w14:textId="38B8AF17" w:rsidR="00B22943" w:rsidRDefault="004F1311" w:rsidP="00B37B7E">
      <w:pPr>
        <w:spacing w:line="360" w:lineRule="auto"/>
        <w:rPr>
          <w:rFonts w:ascii="Arial" w:eastAsia="Times New Roman" w:hAnsi="Arial" w:cs="Arial"/>
          <w:color w:val="1B1C1D"/>
          <w:sz w:val="24"/>
          <w:szCs w:val="24"/>
          <w:lang w:val="en-US" w:eastAsia="pt-PT"/>
        </w:rPr>
      </w:pPr>
      <w:r w:rsidRPr="004F1311">
        <w:rPr>
          <w:rFonts w:ascii="Arial" w:eastAsia="Times New Roman" w:hAnsi="Arial" w:cs="Arial"/>
          <w:color w:val="1B1C1D"/>
          <w:sz w:val="24"/>
          <w:szCs w:val="24"/>
          <w:lang w:val="en-US" w:eastAsia="pt-PT"/>
        </w:rPr>
        <w:t>This research report has established that the high risk of road traffic accidents (RTAs) among young drivers (17–24) is significantly amplified when they are employed in the UK health and social care sector. This critical issue affects the young drivers themselves, care organisations, and crucially, the vulnerable clients who depend on uninterrupted service. The unique occupational risks, primarily fatigue from irregular shifts and intense time pressure due to tight scheduling, intersect with general young driver factors like inexperience and risk-taking. Targeting this convergence of risk is essential. Future research must now focus on developing and evaluating sector-specific interventions, such as tailored fatigue management protocols and realistic scheduling systems, to mitigate these hazards, safeguard the workforce, and ensure the safety and continuity of essential care services.</w:t>
      </w:r>
    </w:p>
    <w:p w14:paraId="0938496C" w14:textId="77777777" w:rsidR="00315B0C" w:rsidRDefault="00315B0C" w:rsidP="00B37B7E">
      <w:pPr>
        <w:spacing w:line="360" w:lineRule="auto"/>
        <w:rPr>
          <w:rFonts w:ascii="Arial" w:eastAsia="Times New Roman" w:hAnsi="Arial" w:cs="Arial"/>
          <w:b/>
          <w:bCs/>
          <w:color w:val="1B1C1D"/>
          <w:sz w:val="28"/>
          <w:szCs w:val="28"/>
          <w:lang w:val="en-US" w:eastAsia="pt-PT"/>
        </w:rPr>
      </w:pPr>
    </w:p>
    <w:p w14:paraId="7617F121" w14:textId="2BA8772C" w:rsidR="004F1311" w:rsidRPr="00D30A0D" w:rsidRDefault="00A018E2" w:rsidP="00B37B7E">
      <w:pPr>
        <w:spacing w:line="360" w:lineRule="auto"/>
        <w:rPr>
          <w:rFonts w:ascii="Arial" w:eastAsia="Times New Roman" w:hAnsi="Arial" w:cs="Arial"/>
          <w:b/>
          <w:bCs/>
          <w:color w:val="1B1C1D"/>
          <w:sz w:val="28"/>
          <w:szCs w:val="28"/>
          <w:lang w:val="en-US" w:eastAsia="pt-PT"/>
        </w:rPr>
      </w:pPr>
      <w:r>
        <w:rPr>
          <w:rFonts w:ascii="Arial" w:eastAsia="Times New Roman" w:hAnsi="Arial" w:cs="Arial"/>
          <w:b/>
          <w:bCs/>
          <w:color w:val="1B1C1D"/>
          <w:sz w:val="28"/>
          <w:szCs w:val="28"/>
          <w:lang w:val="en-US" w:eastAsia="pt-PT"/>
        </w:rPr>
        <w:lastRenderedPageBreak/>
        <w:t>5</w:t>
      </w:r>
      <w:r w:rsidR="00D30A0D" w:rsidRPr="00D30A0D">
        <w:rPr>
          <w:rFonts w:ascii="Arial" w:eastAsia="Times New Roman" w:hAnsi="Arial" w:cs="Arial"/>
          <w:b/>
          <w:bCs/>
          <w:color w:val="1B1C1D"/>
          <w:sz w:val="28"/>
          <w:szCs w:val="28"/>
          <w:lang w:val="en-US" w:eastAsia="pt-PT"/>
        </w:rPr>
        <w:t>.</w:t>
      </w:r>
      <w:r w:rsidR="004F1311" w:rsidRPr="00D30A0D">
        <w:rPr>
          <w:rFonts w:ascii="Arial" w:eastAsia="Times New Roman" w:hAnsi="Arial" w:cs="Arial"/>
          <w:b/>
          <w:bCs/>
          <w:color w:val="1B1C1D"/>
          <w:sz w:val="28"/>
          <w:szCs w:val="28"/>
          <w:lang w:val="en-US" w:eastAsia="pt-PT"/>
        </w:rPr>
        <w:t>References:</w:t>
      </w:r>
    </w:p>
    <w:p w14:paraId="271A6B38" w14:textId="4F874EE2" w:rsidR="00000021" w:rsidRPr="00526061" w:rsidRDefault="001A0816" w:rsidP="00B37B7E">
      <w:pPr>
        <w:spacing w:line="360" w:lineRule="auto"/>
        <w:rPr>
          <w:b/>
          <w:bCs/>
          <w:color w:val="1B1C1D"/>
          <w:lang w:val="en-US"/>
        </w:rPr>
      </w:pPr>
      <w:hyperlink r:id="rId9" w:history="1">
        <w:r w:rsidR="00D30A0D" w:rsidRPr="00000021">
          <w:rPr>
            <w:rStyle w:val="Hyperlink"/>
            <w:rFonts w:ascii="Arial" w:eastAsia="Times New Roman" w:hAnsi="Arial" w:cs="Arial"/>
            <w:b/>
            <w:bCs/>
            <w:sz w:val="28"/>
            <w:szCs w:val="28"/>
            <w:lang w:val="en-US" w:eastAsia="pt-PT"/>
          </w:rPr>
          <w:t>https://www.gov.uk/government/statistics/reported-road-casualties-great-britain-older-and-younger-driver-factsheets-</w:t>
        </w:r>
      </w:hyperlink>
      <w:r w:rsidR="00000021" w:rsidRPr="00000021">
        <w:rPr>
          <w:rStyle w:val="Hyperlink"/>
          <w:rFonts w:ascii="Arial" w:eastAsia="Times New Roman" w:hAnsi="Arial" w:cs="Arial"/>
          <w:b/>
          <w:bCs/>
          <w:sz w:val="28"/>
          <w:szCs w:val="28"/>
          <w:lang w:val="en-US" w:eastAsia="pt-PT"/>
        </w:rPr>
        <w:t xml:space="preserve">   </w:t>
      </w:r>
      <w:r w:rsidR="00DE3255">
        <w:rPr>
          <w:b/>
          <w:bCs/>
          <w:color w:val="1B1C1D"/>
          <w:lang w:val="en-US"/>
        </w:rPr>
        <w:t>[</w:t>
      </w:r>
      <w:r w:rsidR="00000021" w:rsidRPr="00000021">
        <w:rPr>
          <w:rFonts w:ascii="Arial" w:eastAsia="Times New Roman" w:hAnsi="Arial" w:cs="Arial"/>
          <w:b/>
          <w:bCs/>
          <w:color w:val="1B1C1D"/>
          <w:sz w:val="28"/>
          <w:szCs w:val="28"/>
          <w:lang w:val="en-US" w:eastAsia="pt-PT"/>
        </w:rPr>
        <w:t>Accessed 14 November</w:t>
      </w:r>
      <w:r w:rsidR="00DE3255">
        <w:rPr>
          <w:b/>
          <w:bCs/>
          <w:color w:val="1B1C1D"/>
          <w:lang w:val="en-US"/>
        </w:rPr>
        <w:t>]</w:t>
      </w:r>
    </w:p>
    <w:p w14:paraId="6EF87C18" w14:textId="393178E2" w:rsidR="004F1311" w:rsidRDefault="004F1311" w:rsidP="00B37B7E">
      <w:pPr>
        <w:spacing w:line="360" w:lineRule="auto"/>
        <w:rPr>
          <w:rFonts w:ascii="Arial" w:eastAsia="Times New Roman" w:hAnsi="Arial" w:cs="Arial"/>
          <w:b/>
          <w:bCs/>
          <w:color w:val="1B1C1D"/>
          <w:sz w:val="28"/>
          <w:szCs w:val="28"/>
          <w:lang w:val="en-US" w:eastAsia="pt-PT"/>
        </w:rPr>
      </w:pPr>
      <w:r w:rsidRPr="004F1311">
        <w:rPr>
          <w:rFonts w:ascii="Arial" w:eastAsia="Times New Roman" w:hAnsi="Arial" w:cs="Arial"/>
          <w:b/>
          <w:bCs/>
          <w:color w:val="1B1C1D"/>
          <w:sz w:val="28"/>
          <w:szCs w:val="28"/>
          <w:lang w:val="en-US" w:eastAsia="pt-PT"/>
        </w:rPr>
        <w:t>2024/reported-road-casualties-in-great-britain-younger-driver-factsheet-2024</w:t>
      </w:r>
    </w:p>
    <w:p w14:paraId="39F756D6" w14:textId="3A43DE94" w:rsidR="009E5146" w:rsidRPr="009E5146" w:rsidRDefault="001A0816" w:rsidP="00B37B7E">
      <w:pPr>
        <w:spacing w:line="360" w:lineRule="auto"/>
        <w:rPr>
          <w:rFonts w:ascii="Arial" w:eastAsia="Times New Roman" w:hAnsi="Arial" w:cs="Arial"/>
          <w:b/>
          <w:bCs/>
          <w:color w:val="1B1C1D"/>
          <w:sz w:val="28"/>
          <w:szCs w:val="28"/>
          <w:lang w:val="en-US" w:eastAsia="pt-PT"/>
        </w:rPr>
      </w:pPr>
      <w:hyperlink r:id="rId10" w:history="1">
        <w:r w:rsidR="009E5146" w:rsidRPr="009E5146">
          <w:rPr>
            <w:rStyle w:val="Hyperlink"/>
            <w:rFonts w:ascii="Arial" w:eastAsia="Times New Roman" w:hAnsi="Arial" w:cs="Arial"/>
            <w:b/>
            <w:bCs/>
            <w:sz w:val="28"/>
            <w:szCs w:val="28"/>
            <w:lang w:val="en-US" w:eastAsia="pt-PT"/>
          </w:rPr>
          <w:t>https://www.gov.uk/government/publications/reported-road-casualty-statistics-background-quality-report/reported-road-casualty-statistics-background-quality-report</w:t>
        </w:r>
      </w:hyperlink>
      <w:r w:rsidR="009E5146" w:rsidRPr="009E5146">
        <w:rPr>
          <w:rFonts w:ascii="Arial" w:eastAsia="Times New Roman" w:hAnsi="Arial" w:cs="Arial"/>
          <w:b/>
          <w:bCs/>
          <w:color w:val="1B1C1D"/>
          <w:sz w:val="28"/>
          <w:szCs w:val="28"/>
          <w:lang w:val="en-US" w:eastAsia="pt-PT"/>
        </w:rPr>
        <w:t xml:space="preserve"> </w:t>
      </w:r>
      <w:r w:rsidR="00DE3255">
        <w:rPr>
          <w:rFonts w:ascii="Arial" w:eastAsia="Times New Roman" w:hAnsi="Arial" w:cs="Arial"/>
          <w:b/>
          <w:bCs/>
          <w:color w:val="1B1C1D"/>
          <w:sz w:val="28"/>
          <w:szCs w:val="28"/>
          <w:lang w:val="en-US" w:eastAsia="pt-PT"/>
        </w:rPr>
        <w:t>[</w:t>
      </w:r>
      <w:r w:rsidR="00000021" w:rsidRPr="009E5146">
        <w:rPr>
          <w:rFonts w:ascii="Arial" w:eastAsia="Times New Roman" w:hAnsi="Arial" w:cs="Arial"/>
          <w:b/>
          <w:bCs/>
          <w:color w:val="1B1C1D"/>
          <w:sz w:val="28"/>
          <w:szCs w:val="28"/>
          <w:lang w:val="en-US" w:eastAsia="pt-PT"/>
        </w:rPr>
        <w:t>Accessed</w:t>
      </w:r>
      <w:r w:rsidR="009E5146" w:rsidRPr="009E5146">
        <w:rPr>
          <w:rFonts w:ascii="Arial" w:eastAsia="Times New Roman" w:hAnsi="Arial" w:cs="Arial"/>
          <w:b/>
          <w:bCs/>
          <w:color w:val="1B1C1D"/>
          <w:sz w:val="28"/>
          <w:szCs w:val="28"/>
          <w:lang w:val="en-US" w:eastAsia="pt-PT"/>
        </w:rPr>
        <w:t xml:space="preserve"> </w:t>
      </w:r>
      <w:r w:rsidR="00000021">
        <w:rPr>
          <w:rFonts w:ascii="Arial" w:eastAsia="Times New Roman" w:hAnsi="Arial" w:cs="Arial"/>
          <w:b/>
          <w:bCs/>
          <w:color w:val="1B1C1D"/>
          <w:sz w:val="28"/>
          <w:szCs w:val="28"/>
          <w:lang w:val="en-US" w:eastAsia="pt-PT"/>
        </w:rPr>
        <w:t xml:space="preserve">15 </w:t>
      </w:r>
      <w:r w:rsidR="009E5146" w:rsidRPr="009E5146">
        <w:rPr>
          <w:rFonts w:ascii="Arial" w:eastAsia="Times New Roman" w:hAnsi="Arial" w:cs="Arial"/>
          <w:b/>
          <w:bCs/>
          <w:color w:val="1B1C1D"/>
          <w:sz w:val="28"/>
          <w:szCs w:val="28"/>
          <w:lang w:val="en-US" w:eastAsia="pt-PT"/>
        </w:rPr>
        <w:t>No</w:t>
      </w:r>
      <w:r w:rsidR="009E5146">
        <w:rPr>
          <w:rFonts w:ascii="Arial" w:eastAsia="Times New Roman" w:hAnsi="Arial" w:cs="Arial"/>
          <w:b/>
          <w:bCs/>
          <w:color w:val="1B1C1D"/>
          <w:sz w:val="28"/>
          <w:szCs w:val="28"/>
          <w:lang w:val="en-US" w:eastAsia="pt-PT"/>
        </w:rPr>
        <w:t>vember</w:t>
      </w:r>
      <w:r w:rsidR="00DE3255">
        <w:rPr>
          <w:rFonts w:ascii="Arial" w:eastAsia="Times New Roman" w:hAnsi="Arial" w:cs="Arial"/>
          <w:b/>
          <w:bCs/>
          <w:color w:val="1B1C1D"/>
          <w:sz w:val="28"/>
          <w:szCs w:val="28"/>
          <w:lang w:val="en-US" w:eastAsia="pt-PT"/>
        </w:rPr>
        <w:t>]</w:t>
      </w:r>
    </w:p>
    <w:p w14:paraId="3A6040DA" w14:textId="5BCB014E" w:rsidR="009E5146" w:rsidRDefault="001A0816" w:rsidP="00B37B7E">
      <w:pPr>
        <w:spacing w:line="360" w:lineRule="auto"/>
        <w:rPr>
          <w:rFonts w:ascii="Arial" w:eastAsia="Times New Roman" w:hAnsi="Arial" w:cs="Arial"/>
          <w:b/>
          <w:bCs/>
          <w:color w:val="1B1C1D"/>
          <w:sz w:val="28"/>
          <w:szCs w:val="28"/>
          <w:lang w:val="en-US" w:eastAsia="pt-PT"/>
        </w:rPr>
      </w:pPr>
      <w:hyperlink r:id="rId11" w:history="1">
        <w:r w:rsidR="009E5146" w:rsidRPr="009E5146">
          <w:rPr>
            <w:rStyle w:val="Hyperlink"/>
            <w:rFonts w:ascii="Arial" w:eastAsia="Times New Roman" w:hAnsi="Arial" w:cs="Arial"/>
            <w:b/>
            <w:bCs/>
            <w:sz w:val="28"/>
            <w:szCs w:val="28"/>
            <w:lang w:val="en-US" w:eastAsia="pt-PT"/>
          </w:rPr>
          <w:t>https://committees.parliament.uk/writtenevidence/104949/html/</w:t>
        </w:r>
      </w:hyperlink>
      <w:r w:rsidR="009E5146" w:rsidRPr="009E5146">
        <w:rPr>
          <w:rFonts w:ascii="Arial" w:eastAsia="Times New Roman" w:hAnsi="Arial" w:cs="Arial"/>
          <w:b/>
          <w:bCs/>
          <w:color w:val="1B1C1D"/>
          <w:sz w:val="28"/>
          <w:szCs w:val="28"/>
          <w:lang w:val="en-US" w:eastAsia="pt-PT"/>
        </w:rPr>
        <w:t xml:space="preserve"> </w:t>
      </w:r>
      <w:r w:rsidR="00DE3255">
        <w:rPr>
          <w:rFonts w:ascii="Arial" w:eastAsia="Times New Roman" w:hAnsi="Arial" w:cs="Arial"/>
          <w:b/>
          <w:bCs/>
          <w:color w:val="1B1C1D"/>
          <w:sz w:val="28"/>
          <w:szCs w:val="28"/>
          <w:lang w:val="en-US" w:eastAsia="pt-PT"/>
        </w:rPr>
        <w:t>[</w:t>
      </w:r>
      <w:r w:rsidR="00000021" w:rsidRPr="009E5146">
        <w:rPr>
          <w:rFonts w:ascii="Arial" w:eastAsia="Times New Roman" w:hAnsi="Arial" w:cs="Arial"/>
          <w:b/>
          <w:bCs/>
          <w:color w:val="1B1C1D"/>
          <w:sz w:val="28"/>
          <w:szCs w:val="28"/>
          <w:lang w:val="en-US" w:eastAsia="pt-PT"/>
        </w:rPr>
        <w:t>Accessed</w:t>
      </w:r>
      <w:r w:rsidR="009E5146" w:rsidRPr="009E5146">
        <w:rPr>
          <w:rFonts w:ascii="Arial" w:eastAsia="Times New Roman" w:hAnsi="Arial" w:cs="Arial"/>
          <w:b/>
          <w:bCs/>
          <w:color w:val="1B1C1D"/>
          <w:sz w:val="28"/>
          <w:szCs w:val="28"/>
          <w:lang w:val="en-US" w:eastAsia="pt-PT"/>
        </w:rPr>
        <w:t xml:space="preserve"> </w:t>
      </w:r>
      <w:r w:rsidR="00000021">
        <w:rPr>
          <w:rFonts w:ascii="Arial" w:eastAsia="Times New Roman" w:hAnsi="Arial" w:cs="Arial"/>
          <w:b/>
          <w:bCs/>
          <w:color w:val="1B1C1D"/>
          <w:sz w:val="28"/>
          <w:szCs w:val="28"/>
          <w:lang w:val="en-US" w:eastAsia="pt-PT"/>
        </w:rPr>
        <w:t>15</w:t>
      </w:r>
      <w:r w:rsidR="009E5146" w:rsidRPr="009E5146">
        <w:rPr>
          <w:rFonts w:ascii="Arial" w:eastAsia="Times New Roman" w:hAnsi="Arial" w:cs="Arial"/>
          <w:b/>
          <w:bCs/>
          <w:color w:val="1B1C1D"/>
          <w:sz w:val="28"/>
          <w:szCs w:val="28"/>
          <w:lang w:val="en-US" w:eastAsia="pt-PT"/>
        </w:rPr>
        <w:t xml:space="preserve"> No</w:t>
      </w:r>
      <w:r w:rsidR="009E5146">
        <w:rPr>
          <w:rFonts w:ascii="Arial" w:eastAsia="Times New Roman" w:hAnsi="Arial" w:cs="Arial"/>
          <w:b/>
          <w:bCs/>
          <w:color w:val="1B1C1D"/>
          <w:sz w:val="28"/>
          <w:szCs w:val="28"/>
          <w:lang w:val="en-US" w:eastAsia="pt-PT"/>
        </w:rPr>
        <w:t>vember</w:t>
      </w:r>
      <w:r w:rsidR="00DE3255">
        <w:rPr>
          <w:rFonts w:ascii="Arial" w:eastAsia="Times New Roman" w:hAnsi="Arial" w:cs="Arial"/>
          <w:b/>
          <w:bCs/>
          <w:color w:val="1B1C1D"/>
          <w:sz w:val="28"/>
          <w:szCs w:val="28"/>
          <w:lang w:val="en-US" w:eastAsia="pt-PT"/>
        </w:rPr>
        <w:t>]</w:t>
      </w:r>
    </w:p>
    <w:p w14:paraId="53924517" w14:textId="617BA78D" w:rsidR="00526061" w:rsidRPr="00526061" w:rsidRDefault="001A0816" w:rsidP="00B37B7E">
      <w:pPr>
        <w:spacing w:line="360" w:lineRule="auto"/>
        <w:rPr>
          <w:rFonts w:ascii="Arial" w:eastAsia="Times New Roman" w:hAnsi="Arial" w:cs="Arial"/>
          <w:b/>
          <w:bCs/>
          <w:color w:val="1B1C1D"/>
          <w:sz w:val="28"/>
          <w:szCs w:val="28"/>
          <w:lang w:val="en-US" w:eastAsia="pt-PT"/>
        </w:rPr>
      </w:pPr>
      <w:hyperlink r:id="rId12" w:history="1">
        <w:r w:rsidR="00526061" w:rsidRPr="00526061">
          <w:rPr>
            <w:rStyle w:val="Hyperlink"/>
            <w:rFonts w:ascii="Arial" w:eastAsia="Times New Roman" w:hAnsi="Arial" w:cs="Arial"/>
            <w:b/>
            <w:bCs/>
            <w:sz w:val="28"/>
            <w:szCs w:val="28"/>
            <w:lang w:val="en-US" w:eastAsia="pt-PT"/>
          </w:rPr>
          <w:t>https://www.britsafe.org/safety-management/2025/why-mental-health-is-central-to-driver-safety</w:t>
        </w:r>
      </w:hyperlink>
      <w:r w:rsidR="00526061" w:rsidRPr="00526061">
        <w:rPr>
          <w:rFonts w:ascii="Arial" w:eastAsia="Times New Roman" w:hAnsi="Arial" w:cs="Arial"/>
          <w:b/>
          <w:bCs/>
          <w:color w:val="1B1C1D"/>
          <w:sz w:val="28"/>
          <w:szCs w:val="28"/>
          <w:lang w:val="en-US" w:eastAsia="pt-PT"/>
        </w:rPr>
        <w:t xml:space="preserve"> </w:t>
      </w:r>
      <w:r w:rsidR="00DE3255">
        <w:rPr>
          <w:rFonts w:ascii="Arial" w:eastAsia="Times New Roman" w:hAnsi="Arial" w:cs="Arial"/>
          <w:b/>
          <w:bCs/>
          <w:color w:val="1B1C1D"/>
          <w:sz w:val="28"/>
          <w:szCs w:val="28"/>
          <w:lang w:val="en-US" w:eastAsia="pt-PT"/>
        </w:rPr>
        <w:t>[</w:t>
      </w:r>
      <w:r w:rsidR="00526061" w:rsidRPr="00526061">
        <w:rPr>
          <w:rFonts w:ascii="Arial" w:eastAsia="Times New Roman" w:hAnsi="Arial" w:cs="Arial"/>
          <w:b/>
          <w:bCs/>
          <w:color w:val="1B1C1D"/>
          <w:sz w:val="28"/>
          <w:szCs w:val="28"/>
          <w:lang w:val="en-US" w:eastAsia="pt-PT"/>
        </w:rPr>
        <w:t>Ac</w:t>
      </w:r>
      <w:r w:rsidR="00526061">
        <w:rPr>
          <w:rFonts w:ascii="Arial" w:eastAsia="Times New Roman" w:hAnsi="Arial" w:cs="Arial"/>
          <w:b/>
          <w:bCs/>
          <w:color w:val="1B1C1D"/>
          <w:sz w:val="28"/>
          <w:szCs w:val="28"/>
          <w:lang w:val="en-US" w:eastAsia="pt-PT"/>
        </w:rPr>
        <w:t>cessed 14 November</w:t>
      </w:r>
      <w:r w:rsidR="00DE3255">
        <w:rPr>
          <w:rFonts w:ascii="Arial" w:eastAsia="Times New Roman" w:hAnsi="Arial" w:cs="Arial"/>
          <w:b/>
          <w:bCs/>
          <w:color w:val="1B1C1D"/>
          <w:sz w:val="28"/>
          <w:szCs w:val="28"/>
          <w:lang w:val="en-US" w:eastAsia="pt-PT"/>
        </w:rPr>
        <w:t>]</w:t>
      </w:r>
    </w:p>
    <w:p w14:paraId="3B2B5A58" w14:textId="434BE4A5" w:rsidR="009E5146" w:rsidRDefault="00DE3255" w:rsidP="00B37B7E">
      <w:pPr>
        <w:spacing w:line="360" w:lineRule="auto"/>
        <w:rPr>
          <w:rFonts w:ascii="Arial" w:eastAsia="Times New Roman" w:hAnsi="Arial" w:cs="Arial"/>
          <w:b/>
          <w:bCs/>
          <w:color w:val="1B1C1D"/>
          <w:sz w:val="28"/>
          <w:szCs w:val="28"/>
          <w:lang w:val="en-US" w:eastAsia="pt-PT"/>
        </w:rPr>
      </w:pPr>
      <w:r w:rsidRPr="00DE3255">
        <w:rPr>
          <w:rFonts w:ascii="Arial" w:eastAsia="Times New Roman" w:hAnsi="Arial" w:cs="Arial"/>
          <w:b/>
          <w:bCs/>
          <w:color w:val="1B1C1D"/>
          <w:sz w:val="28"/>
          <w:szCs w:val="28"/>
          <w:lang w:val="en-US" w:eastAsia="pt-PT"/>
        </w:rPr>
        <w:t>Mazhar, S.A., Anjum, R., Anwar, A.I. and Khan, A.A., 2021. Methods of data collection: A fundamental tool of research. Journal of Integrated Community Health, 10(1), pp.6-10. Available from: https://www.researchgate.net/profile/Syeda-Ayeman-Mazhar/publication/356269289_Methods_of_Data_Collection_A_Fundamental_Tool_of_Research/links/61fe7e23870587329e943cd1/Methods-of-Data-Collection-A-Fundamental-Tool-of-Research.pdf [Accessed 1</w:t>
      </w:r>
      <w:r>
        <w:rPr>
          <w:rFonts w:ascii="Arial" w:eastAsia="Times New Roman" w:hAnsi="Arial" w:cs="Arial"/>
          <w:b/>
          <w:bCs/>
          <w:color w:val="1B1C1D"/>
          <w:sz w:val="28"/>
          <w:szCs w:val="28"/>
          <w:lang w:val="en-US" w:eastAsia="pt-PT"/>
        </w:rPr>
        <w:t>4</w:t>
      </w:r>
      <w:r w:rsidRPr="00DE3255">
        <w:rPr>
          <w:rFonts w:ascii="Arial" w:eastAsia="Times New Roman" w:hAnsi="Arial" w:cs="Arial"/>
          <w:b/>
          <w:bCs/>
          <w:color w:val="1B1C1D"/>
          <w:sz w:val="28"/>
          <w:szCs w:val="28"/>
          <w:lang w:val="en-US" w:eastAsia="pt-PT"/>
        </w:rPr>
        <w:t xml:space="preserve"> November 2025]</w:t>
      </w:r>
    </w:p>
    <w:p w14:paraId="518F5FEA" w14:textId="06891D6C" w:rsidR="00662026" w:rsidRPr="004C053A" w:rsidRDefault="004C053A" w:rsidP="00B37B7E">
      <w:pPr>
        <w:spacing w:line="360" w:lineRule="auto"/>
        <w:rPr>
          <w:rFonts w:ascii="Arial" w:eastAsia="Times New Roman" w:hAnsi="Arial" w:cs="Arial"/>
          <w:b/>
          <w:bCs/>
          <w:color w:val="1B1C1D"/>
          <w:sz w:val="28"/>
          <w:szCs w:val="28"/>
          <w:lang w:val="en-US" w:eastAsia="pt-PT"/>
        </w:rPr>
      </w:pPr>
      <w:hyperlink r:id="rId13" w:history="1">
        <w:r w:rsidRPr="004C053A">
          <w:rPr>
            <w:rStyle w:val="Hyperlink"/>
            <w:rFonts w:ascii="Arial" w:eastAsia="Times New Roman" w:hAnsi="Arial" w:cs="Arial"/>
            <w:b/>
            <w:bCs/>
            <w:sz w:val="28"/>
            <w:szCs w:val="28"/>
            <w:lang w:val="en-US" w:eastAsia="pt-PT"/>
          </w:rPr>
          <w:t>https://www.niassembly.gov.uk/globalassets/documents/raise/publications/2011/health/4411.pdf</w:t>
        </w:r>
      </w:hyperlink>
      <w:r w:rsidRPr="004C053A">
        <w:rPr>
          <w:rFonts w:ascii="Arial" w:eastAsia="Times New Roman" w:hAnsi="Arial" w:cs="Arial"/>
          <w:b/>
          <w:bCs/>
          <w:color w:val="1B1C1D"/>
          <w:sz w:val="28"/>
          <w:szCs w:val="28"/>
          <w:lang w:val="en-US" w:eastAsia="pt-PT"/>
        </w:rPr>
        <w:t xml:space="preserve"> [Ac</w:t>
      </w:r>
      <w:r>
        <w:rPr>
          <w:rFonts w:ascii="Arial" w:eastAsia="Times New Roman" w:hAnsi="Arial" w:cs="Arial"/>
          <w:b/>
          <w:bCs/>
          <w:color w:val="1B1C1D"/>
          <w:sz w:val="28"/>
          <w:szCs w:val="28"/>
          <w:lang w:val="en-US" w:eastAsia="pt-PT"/>
        </w:rPr>
        <w:t>cessed 16 November]</w:t>
      </w:r>
    </w:p>
    <w:p w14:paraId="5A624262" w14:textId="77777777" w:rsidR="00662026" w:rsidRPr="004C053A" w:rsidRDefault="00662026" w:rsidP="00B37B7E">
      <w:pPr>
        <w:spacing w:line="360" w:lineRule="auto"/>
        <w:rPr>
          <w:rFonts w:ascii="Arial" w:eastAsia="Times New Roman" w:hAnsi="Arial" w:cs="Arial"/>
          <w:b/>
          <w:bCs/>
          <w:color w:val="1B1C1D"/>
          <w:sz w:val="28"/>
          <w:szCs w:val="28"/>
          <w:lang w:val="en-US" w:eastAsia="pt-PT"/>
        </w:rPr>
      </w:pPr>
    </w:p>
    <w:p w14:paraId="64D3EF66" w14:textId="77777777" w:rsidR="009E5146" w:rsidRPr="004C053A" w:rsidRDefault="009E5146" w:rsidP="00B37B7E">
      <w:pPr>
        <w:spacing w:line="360" w:lineRule="auto"/>
        <w:rPr>
          <w:rFonts w:ascii="Arial" w:eastAsia="Times New Roman" w:hAnsi="Arial" w:cs="Arial"/>
          <w:b/>
          <w:bCs/>
          <w:color w:val="1B1C1D"/>
          <w:sz w:val="28"/>
          <w:szCs w:val="28"/>
          <w:lang w:val="en-US" w:eastAsia="pt-PT"/>
        </w:rPr>
      </w:pPr>
    </w:p>
    <w:p w14:paraId="31E73B0E" w14:textId="77777777" w:rsidR="00117A74" w:rsidRPr="004C053A" w:rsidRDefault="00117A74" w:rsidP="00B37B7E">
      <w:pPr>
        <w:spacing w:line="360" w:lineRule="auto"/>
        <w:rPr>
          <w:rFonts w:ascii="Arial" w:eastAsia="Times New Roman" w:hAnsi="Arial" w:cs="Arial"/>
          <w:b/>
          <w:bCs/>
          <w:color w:val="1B1C1D"/>
          <w:sz w:val="28"/>
          <w:szCs w:val="28"/>
          <w:lang w:val="en-US" w:eastAsia="pt-PT"/>
        </w:rPr>
      </w:pPr>
    </w:p>
    <w:p w14:paraId="18F3C644" w14:textId="77777777" w:rsidR="00315B0C" w:rsidRPr="004C053A" w:rsidRDefault="00315B0C" w:rsidP="00B37B7E">
      <w:pPr>
        <w:spacing w:line="360" w:lineRule="auto"/>
        <w:rPr>
          <w:rFonts w:ascii="Arial" w:eastAsia="Times New Roman" w:hAnsi="Arial" w:cs="Arial"/>
          <w:b/>
          <w:bCs/>
          <w:color w:val="1B1C1D"/>
          <w:sz w:val="28"/>
          <w:szCs w:val="28"/>
          <w:lang w:val="en-US" w:eastAsia="pt-PT"/>
        </w:rPr>
      </w:pPr>
    </w:p>
    <w:sectPr w:rsidR="00315B0C" w:rsidRPr="004C053A">
      <w:footerReference w:type="default" r:id="rId14"/>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1A8AD" w14:textId="77777777" w:rsidR="001A0816" w:rsidRDefault="001A0816" w:rsidP="00B22943">
      <w:pPr>
        <w:spacing w:after="0" w:line="240" w:lineRule="auto"/>
      </w:pPr>
      <w:r>
        <w:separator/>
      </w:r>
    </w:p>
  </w:endnote>
  <w:endnote w:type="continuationSeparator" w:id="0">
    <w:p w14:paraId="0D526B0C" w14:textId="77777777" w:rsidR="001A0816" w:rsidRDefault="001A0816" w:rsidP="00B22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5936155"/>
      <w:docPartObj>
        <w:docPartGallery w:val="Page Numbers (Bottom of Page)"/>
        <w:docPartUnique/>
      </w:docPartObj>
    </w:sdtPr>
    <w:sdtEndPr>
      <w:rPr>
        <w:noProof/>
      </w:rPr>
    </w:sdtEndPr>
    <w:sdtContent>
      <w:p w14:paraId="741A8D87" w14:textId="77777777" w:rsidR="00D30A0D" w:rsidRDefault="00D30A0D">
        <w:pPr>
          <w:pStyle w:val="Footer"/>
        </w:pPr>
      </w:p>
      <w:p w14:paraId="64CCF8F7" w14:textId="45233E51" w:rsidR="00D30A0D" w:rsidRDefault="00D30A0D">
        <w:pPr>
          <w:pStyle w:val="Footer"/>
        </w:pPr>
        <w:r>
          <w:fldChar w:fldCharType="begin"/>
        </w:r>
        <w:r>
          <w:instrText xml:space="preserve"> PAGE   \* MERGEFORMAT </w:instrText>
        </w:r>
        <w:r>
          <w:fldChar w:fldCharType="separate"/>
        </w:r>
        <w:r>
          <w:rPr>
            <w:noProof/>
          </w:rPr>
          <w:t>2</w:t>
        </w:r>
        <w:r>
          <w:rPr>
            <w:noProof/>
          </w:rPr>
          <w:fldChar w:fldCharType="end"/>
        </w:r>
      </w:p>
    </w:sdtContent>
  </w:sdt>
  <w:p w14:paraId="65305C98" w14:textId="77777777" w:rsidR="00D30A0D" w:rsidRDefault="00D30A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49C0D7" w14:textId="77777777" w:rsidR="001A0816" w:rsidRDefault="001A0816" w:rsidP="00B22943">
      <w:pPr>
        <w:spacing w:after="0" w:line="240" w:lineRule="auto"/>
      </w:pPr>
      <w:r>
        <w:separator/>
      </w:r>
    </w:p>
  </w:footnote>
  <w:footnote w:type="continuationSeparator" w:id="0">
    <w:p w14:paraId="65EE5DEE" w14:textId="77777777" w:rsidR="001A0816" w:rsidRDefault="001A0816" w:rsidP="00B229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CD4010"/>
    <w:multiLevelType w:val="hybridMultilevel"/>
    <w:tmpl w:val="F5E4D436"/>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 w15:restartNumberingAfterBreak="0">
    <w:nsid w:val="2CE0472D"/>
    <w:multiLevelType w:val="multilevel"/>
    <w:tmpl w:val="2604DB8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4"/>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0C24570"/>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64D317D"/>
    <w:multiLevelType w:val="hybridMultilevel"/>
    <w:tmpl w:val="884C600C"/>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4" w15:restartNumberingAfterBreak="0">
    <w:nsid w:val="4AA278FE"/>
    <w:multiLevelType w:val="multilevel"/>
    <w:tmpl w:val="07D4D16A"/>
    <w:lvl w:ilvl="0">
      <w:start w:val="1"/>
      <w:numFmt w:val="decimal"/>
      <w:lvlText w:val="%1."/>
      <w:lvlJc w:val="left"/>
      <w:pPr>
        <w:ind w:left="644" w:hanging="360"/>
      </w:pPr>
      <w:rPr>
        <w:rFonts w:hint="default"/>
      </w:r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69650773"/>
    <w:multiLevelType w:val="multilevel"/>
    <w:tmpl w:val="ECDC4A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E14253C"/>
    <w:multiLevelType w:val="hybridMultilevel"/>
    <w:tmpl w:val="4F3E534E"/>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num w:numId="1">
    <w:abstractNumId w:val="3"/>
  </w:num>
  <w:num w:numId="2">
    <w:abstractNumId w:val="6"/>
  </w:num>
  <w:num w:numId="3">
    <w:abstractNumId w:val="0"/>
  </w:num>
  <w:num w:numId="4">
    <w:abstractNumId w:val="2"/>
  </w:num>
  <w:num w:numId="5">
    <w:abstractNumId w:val="1"/>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549"/>
    <w:rsid w:val="00000021"/>
    <w:rsid w:val="00117A74"/>
    <w:rsid w:val="001475C4"/>
    <w:rsid w:val="001A0816"/>
    <w:rsid w:val="00263D61"/>
    <w:rsid w:val="00315B0C"/>
    <w:rsid w:val="003E7FDD"/>
    <w:rsid w:val="004C053A"/>
    <w:rsid w:val="004F1311"/>
    <w:rsid w:val="004F70FB"/>
    <w:rsid w:val="00526061"/>
    <w:rsid w:val="005411D5"/>
    <w:rsid w:val="00570F03"/>
    <w:rsid w:val="005D195A"/>
    <w:rsid w:val="00641DA2"/>
    <w:rsid w:val="006432AF"/>
    <w:rsid w:val="0064795E"/>
    <w:rsid w:val="00662026"/>
    <w:rsid w:val="006715EA"/>
    <w:rsid w:val="00815E5C"/>
    <w:rsid w:val="008C5835"/>
    <w:rsid w:val="009E23AB"/>
    <w:rsid w:val="009E5146"/>
    <w:rsid w:val="00A018E2"/>
    <w:rsid w:val="00B22943"/>
    <w:rsid w:val="00B37B7E"/>
    <w:rsid w:val="00D10833"/>
    <w:rsid w:val="00D30A0D"/>
    <w:rsid w:val="00D77389"/>
    <w:rsid w:val="00DE3255"/>
    <w:rsid w:val="00E16EAF"/>
    <w:rsid w:val="00E84A14"/>
    <w:rsid w:val="00EC2549"/>
    <w:rsid w:val="00EE436B"/>
    <w:rsid w:val="00F25111"/>
    <w:rsid w:val="00F95CDC"/>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ACFCF"/>
  <w15:chartTrackingRefBased/>
  <w15:docId w15:val="{D2A7BD78-594B-46D6-8DFE-EB1569533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6715EA"/>
    <w:pPr>
      <w:spacing w:before="100" w:beforeAutospacing="1" w:after="100" w:afterAutospacing="1" w:line="240" w:lineRule="auto"/>
      <w:outlineLvl w:val="1"/>
    </w:pPr>
    <w:rPr>
      <w:rFonts w:ascii="Times New Roman" w:eastAsia="Times New Roman" w:hAnsi="Times New Roman" w:cs="Times New Roman"/>
      <w:b/>
      <w:bCs/>
      <w:sz w:val="36"/>
      <w:szCs w:val="36"/>
      <w:lang w:eastAsia="pt-PT"/>
    </w:rPr>
  </w:style>
  <w:style w:type="paragraph" w:styleId="Heading4">
    <w:name w:val="heading 4"/>
    <w:basedOn w:val="Normal"/>
    <w:link w:val="Heading4Char"/>
    <w:uiPriority w:val="9"/>
    <w:qFormat/>
    <w:rsid w:val="006715EA"/>
    <w:pPr>
      <w:spacing w:before="100" w:beforeAutospacing="1" w:after="100" w:afterAutospacing="1" w:line="240" w:lineRule="auto"/>
      <w:outlineLvl w:val="3"/>
    </w:pPr>
    <w:rPr>
      <w:rFonts w:ascii="Times New Roman" w:eastAsia="Times New Roman" w:hAnsi="Times New Roman" w:cs="Times New Roman"/>
      <w:b/>
      <w:bCs/>
      <w:sz w:val="24"/>
      <w:szCs w:val="24"/>
      <w:lang w:eastAsia="pt-P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2943"/>
    <w:pPr>
      <w:tabs>
        <w:tab w:val="center" w:pos="4252"/>
        <w:tab w:val="right" w:pos="8504"/>
      </w:tabs>
      <w:spacing w:after="0" w:line="240" w:lineRule="auto"/>
    </w:pPr>
  </w:style>
  <w:style w:type="character" w:customStyle="1" w:styleId="HeaderChar">
    <w:name w:val="Header Char"/>
    <w:basedOn w:val="DefaultParagraphFont"/>
    <w:link w:val="Header"/>
    <w:uiPriority w:val="99"/>
    <w:rsid w:val="00B22943"/>
  </w:style>
  <w:style w:type="paragraph" w:styleId="Footer">
    <w:name w:val="footer"/>
    <w:basedOn w:val="Normal"/>
    <w:link w:val="FooterChar"/>
    <w:uiPriority w:val="99"/>
    <w:unhideWhenUsed/>
    <w:rsid w:val="00B22943"/>
    <w:pPr>
      <w:tabs>
        <w:tab w:val="center" w:pos="4252"/>
        <w:tab w:val="right" w:pos="8504"/>
      </w:tabs>
      <w:spacing w:after="0" w:line="240" w:lineRule="auto"/>
    </w:pPr>
  </w:style>
  <w:style w:type="character" w:customStyle="1" w:styleId="FooterChar">
    <w:name w:val="Footer Char"/>
    <w:basedOn w:val="DefaultParagraphFont"/>
    <w:link w:val="Footer"/>
    <w:uiPriority w:val="99"/>
    <w:rsid w:val="00B22943"/>
  </w:style>
  <w:style w:type="paragraph" w:styleId="ListParagraph">
    <w:name w:val="List Paragraph"/>
    <w:basedOn w:val="Normal"/>
    <w:uiPriority w:val="34"/>
    <w:qFormat/>
    <w:rsid w:val="00F95CDC"/>
    <w:pPr>
      <w:ind w:left="720"/>
      <w:contextualSpacing/>
    </w:pPr>
  </w:style>
  <w:style w:type="paragraph" w:styleId="HTMLPreformatted">
    <w:name w:val="HTML Preformatted"/>
    <w:basedOn w:val="Normal"/>
    <w:link w:val="HTMLPreformattedChar"/>
    <w:uiPriority w:val="99"/>
    <w:semiHidden/>
    <w:unhideWhenUsed/>
    <w:rsid w:val="001475C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pt-PT"/>
    </w:rPr>
  </w:style>
  <w:style w:type="character" w:customStyle="1" w:styleId="HTMLPreformattedChar">
    <w:name w:val="HTML Preformatted Char"/>
    <w:basedOn w:val="DefaultParagraphFont"/>
    <w:link w:val="HTMLPreformatted"/>
    <w:uiPriority w:val="99"/>
    <w:semiHidden/>
    <w:rsid w:val="001475C4"/>
    <w:rPr>
      <w:rFonts w:ascii="Courier New" w:eastAsia="Times New Roman" w:hAnsi="Courier New" w:cs="Courier New"/>
      <w:sz w:val="20"/>
      <w:szCs w:val="20"/>
      <w:lang w:eastAsia="pt-PT"/>
    </w:rPr>
  </w:style>
  <w:style w:type="character" w:customStyle="1" w:styleId="y2iqfc">
    <w:name w:val="y2iqfc"/>
    <w:basedOn w:val="DefaultParagraphFont"/>
    <w:rsid w:val="001475C4"/>
  </w:style>
  <w:style w:type="paragraph" w:styleId="NormalWeb">
    <w:name w:val="Normal (Web)"/>
    <w:basedOn w:val="Normal"/>
    <w:uiPriority w:val="99"/>
    <w:unhideWhenUsed/>
    <w:rsid w:val="00641DA2"/>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customStyle="1" w:styleId="Heading2Char">
    <w:name w:val="Heading 2 Char"/>
    <w:basedOn w:val="DefaultParagraphFont"/>
    <w:link w:val="Heading2"/>
    <w:uiPriority w:val="9"/>
    <w:rsid w:val="006715EA"/>
    <w:rPr>
      <w:rFonts w:ascii="Times New Roman" w:eastAsia="Times New Roman" w:hAnsi="Times New Roman" w:cs="Times New Roman"/>
      <w:b/>
      <w:bCs/>
      <w:sz w:val="36"/>
      <w:szCs w:val="36"/>
      <w:lang w:eastAsia="pt-PT"/>
    </w:rPr>
  </w:style>
  <w:style w:type="character" w:customStyle="1" w:styleId="Heading4Char">
    <w:name w:val="Heading 4 Char"/>
    <w:basedOn w:val="DefaultParagraphFont"/>
    <w:link w:val="Heading4"/>
    <w:uiPriority w:val="9"/>
    <w:rsid w:val="006715EA"/>
    <w:rPr>
      <w:rFonts w:ascii="Times New Roman" w:eastAsia="Times New Roman" w:hAnsi="Times New Roman" w:cs="Times New Roman"/>
      <w:b/>
      <w:bCs/>
      <w:sz w:val="24"/>
      <w:szCs w:val="24"/>
      <w:lang w:eastAsia="pt-PT"/>
    </w:rPr>
  </w:style>
  <w:style w:type="character" w:customStyle="1" w:styleId="mord">
    <w:name w:val="mord"/>
    <w:basedOn w:val="DefaultParagraphFont"/>
    <w:rsid w:val="006715EA"/>
  </w:style>
  <w:style w:type="paragraph" w:customStyle="1" w:styleId="query-text-line">
    <w:name w:val="query-text-line"/>
    <w:basedOn w:val="Normal"/>
    <w:rsid w:val="006715EA"/>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customStyle="1" w:styleId="link-content">
    <w:name w:val="link-content"/>
    <w:basedOn w:val="DefaultParagraphFont"/>
    <w:rsid w:val="006715EA"/>
  </w:style>
  <w:style w:type="character" w:customStyle="1" w:styleId="cdk-visually-hidden">
    <w:name w:val="cdk-visually-hidden"/>
    <w:basedOn w:val="DefaultParagraphFont"/>
    <w:rsid w:val="006715EA"/>
  </w:style>
  <w:style w:type="paragraph" w:customStyle="1" w:styleId="share-viewerfooterdisclaimer">
    <w:name w:val="share-viewer_footer_disclaimer"/>
    <w:basedOn w:val="Normal"/>
    <w:rsid w:val="006715EA"/>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styleId="Hyperlink">
    <w:name w:val="Hyperlink"/>
    <w:basedOn w:val="DefaultParagraphFont"/>
    <w:uiPriority w:val="99"/>
    <w:unhideWhenUsed/>
    <w:rsid w:val="00D30A0D"/>
    <w:rPr>
      <w:color w:val="0563C1" w:themeColor="hyperlink"/>
      <w:u w:val="single"/>
    </w:rPr>
  </w:style>
  <w:style w:type="character" w:styleId="UnresolvedMention">
    <w:name w:val="Unresolved Mention"/>
    <w:basedOn w:val="DefaultParagraphFont"/>
    <w:uiPriority w:val="99"/>
    <w:semiHidden/>
    <w:unhideWhenUsed/>
    <w:rsid w:val="00D30A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168338">
      <w:bodyDiv w:val="1"/>
      <w:marLeft w:val="0"/>
      <w:marRight w:val="0"/>
      <w:marTop w:val="0"/>
      <w:marBottom w:val="0"/>
      <w:divBdr>
        <w:top w:val="none" w:sz="0" w:space="0" w:color="auto"/>
        <w:left w:val="none" w:sz="0" w:space="0" w:color="auto"/>
        <w:bottom w:val="none" w:sz="0" w:space="0" w:color="auto"/>
        <w:right w:val="none" w:sz="0" w:space="0" w:color="auto"/>
      </w:divBdr>
    </w:div>
    <w:div w:id="307249943">
      <w:bodyDiv w:val="1"/>
      <w:marLeft w:val="0"/>
      <w:marRight w:val="0"/>
      <w:marTop w:val="0"/>
      <w:marBottom w:val="0"/>
      <w:divBdr>
        <w:top w:val="none" w:sz="0" w:space="0" w:color="auto"/>
        <w:left w:val="none" w:sz="0" w:space="0" w:color="auto"/>
        <w:bottom w:val="none" w:sz="0" w:space="0" w:color="auto"/>
        <w:right w:val="none" w:sz="0" w:space="0" w:color="auto"/>
      </w:divBdr>
      <w:divsChild>
        <w:div w:id="364140414">
          <w:marLeft w:val="0"/>
          <w:marRight w:val="0"/>
          <w:marTop w:val="0"/>
          <w:marBottom w:val="0"/>
          <w:divBdr>
            <w:top w:val="none" w:sz="0" w:space="0" w:color="auto"/>
            <w:left w:val="none" w:sz="0" w:space="0" w:color="auto"/>
            <w:bottom w:val="none" w:sz="0" w:space="0" w:color="auto"/>
            <w:right w:val="none" w:sz="0" w:space="0" w:color="auto"/>
          </w:divBdr>
          <w:divsChild>
            <w:div w:id="1171219520">
              <w:marLeft w:val="0"/>
              <w:marRight w:val="0"/>
              <w:marTop w:val="0"/>
              <w:marBottom w:val="0"/>
              <w:divBdr>
                <w:top w:val="none" w:sz="0" w:space="0" w:color="auto"/>
                <w:left w:val="none" w:sz="0" w:space="0" w:color="auto"/>
                <w:bottom w:val="none" w:sz="0" w:space="0" w:color="auto"/>
                <w:right w:val="none" w:sz="0" w:space="0" w:color="auto"/>
              </w:divBdr>
              <w:divsChild>
                <w:div w:id="495658572">
                  <w:marLeft w:val="0"/>
                  <w:marRight w:val="0"/>
                  <w:marTop w:val="0"/>
                  <w:marBottom w:val="0"/>
                  <w:divBdr>
                    <w:top w:val="none" w:sz="0" w:space="0" w:color="auto"/>
                    <w:left w:val="none" w:sz="0" w:space="0" w:color="auto"/>
                    <w:bottom w:val="none" w:sz="0" w:space="0" w:color="auto"/>
                    <w:right w:val="none" w:sz="0" w:space="0" w:color="auto"/>
                  </w:divBdr>
                  <w:divsChild>
                    <w:div w:id="32967438">
                      <w:marLeft w:val="0"/>
                      <w:marRight w:val="0"/>
                      <w:marTop w:val="0"/>
                      <w:marBottom w:val="0"/>
                      <w:divBdr>
                        <w:top w:val="none" w:sz="0" w:space="0" w:color="auto"/>
                        <w:left w:val="none" w:sz="0" w:space="0" w:color="auto"/>
                        <w:bottom w:val="none" w:sz="0" w:space="0" w:color="auto"/>
                        <w:right w:val="none" w:sz="0" w:space="0" w:color="auto"/>
                      </w:divBdr>
                      <w:divsChild>
                        <w:div w:id="2073428728">
                          <w:marLeft w:val="0"/>
                          <w:marRight w:val="0"/>
                          <w:marTop w:val="0"/>
                          <w:marBottom w:val="0"/>
                          <w:divBdr>
                            <w:top w:val="none" w:sz="0" w:space="0" w:color="auto"/>
                            <w:left w:val="none" w:sz="0" w:space="0" w:color="auto"/>
                            <w:bottom w:val="none" w:sz="0" w:space="0" w:color="auto"/>
                            <w:right w:val="none" w:sz="0" w:space="0" w:color="auto"/>
                          </w:divBdr>
                          <w:divsChild>
                            <w:div w:id="1709180011">
                              <w:marLeft w:val="0"/>
                              <w:marRight w:val="0"/>
                              <w:marTop w:val="0"/>
                              <w:marBottom w:val="0"/>
                              <w:divBdr>
                                <w:top w:val="none" w:sz="0" w:space="0" w:color="auto"/>
                                <w:left w:val="none" w:sz="0" w:space="0" w:color="auto"/>
                                <w:bottom w:val="none" w:sz="0" w:space="0" w:color="auto"/>
                                <w:right w:val="none" w:sz="0" w:space="0" w:color="auto"/>
                              </w:divBdr>
                              <w:divsChild>
                                <w:div w:id="1966882509">
                                  <w:marLeft w:val="0"/>
                                  <w:marRight w:val="0"/>
                                  <w:marTop w:val="0"/>
                                  <w:marBottom w:val="0"/>
                                  <w:divBdr>
                                    <w:top w:val="none" w:sz="0" w:space="0" w:color="auto"/>
                                    <w:left w:val="none" w:sz="0" w:space="0" w:color="auto"/>
                                    <w:bottom w:val="none" w:sz="0" w:space="0" w:color="auto"/>
                                    <w:right w:val="none" w:sz="0" w:space="0" w:color="auto"/>
                                  </w:divBdr>
                                  <w:divsChild>
                                    <w:div w:id="1993870260">
                                      <w:marLeft w:val="0"/>
                                      <w:marRight w:val="0"/>
                                      <w:marTop w:val="0"/>
                                      <w:marBottom w:val="0"/>
                                      <w:divBdr>
                                        <w:top w:val="none" w:sz="0" w:space="0" w:color="auto"/>
                                        <w:left w:val="none" w:sz="0" w:space="0" w:color="auto"/>
                                        <w:bottom w:val="none" w:sz="0" w:space="0" w:color="auto"/>
                                        <w:right w:val="none" w:sz="0" w:space="0" w:color="auto"/>
                                      </w:divBdr>
                                      <w:divsChild>
                                        <w:div w:id="22097459">
                                          <w:marLeft w:val="0"/>
                                          <w:marRight w:val="0"/>
                                          <w:marTop w:val="0"/>
                                          <w:marBottom w:val="0"/>
                                          <w:divBdr>
                                            <w:top w:val="none" w:sz="0" w:space="0" w:color="auto"/>
                                            <w:left w:val="none" w:sz="0" w:space="0" w:color="auto"/>
                                            <w:bottom w:val="none" w:sz="0" w:space="0" w:color="auto"/>
                                            <w:right w:val="none" w:sz="0" w:space="0" w:color="auto"/>
                                          </w:divBdr>
                                          <w:divsChild>
                                            <w:div w:id="315570263">
                                              <w:marLeft w:val="0"/>
                                              <w:marRight w:val="0"/>
                                              <w:marTop w:val="0"/>
                                              <w:marBottom w:val="0"/>
                                              <w:divBdr>
                                                <w:top w:val="none" w:sz="0" w:space="0" w:color="auto"/>
                                                <w:left w:val="none" w:sz="0" w:space="0" w:color="auto"/>
                                                <w:bottom w:val="none" w:sz="0" w:space="0" w:color="auto"/>
                                                <w:right w:val="none" w:sz="0" w:space="0" w:color="auto"/>
                                              </w:divBdr>
                                              <w:divsChild>
                                                <w:div w:id="802232135">
                                                  <w:marLeft w:val="0"/>
                                                  <w:marRight w:val="0"/>
                                                  <w:marTop w:val="0"/>
                                                  <w:marBottom w:val="0"/>
                                                  <w:divBdr>
                                                    <w:top w:val="none" w:sz="0" w:space="0" w:color="auto"/>
                                                    <w:left w:val="none" w:sz="0" w:space="0" w:color="auto"/>
                                                    <w:bottom w:val="none" w:sz="0" w:space="0" w:color="auto"/>
                                                    <w:right w:val="none" w:sz="0" w:space="0" w:color="auto"/>
                                                  </w:divBdr>
                                                  <w:divsChild>
                                                    <w:div w:id="559705120">
                                                      <w:marLeft w:val="0"/>
                                                      <w:marRight w:val="0"/>
                                                      <w:marTop w:val="0"/>
                                                      <w:marBottom w:val="0"/>
                                                      <w:divBdr>
                                                        <w:top w:val="none" w:sz="0" w:space="0" w:color="auto"/>
                                                        <w:left w:val="none" w:sz="0" w:space="0" w:color="auto"/>
                                                        <w:bottom w:val="none" w:sz="0" w:space="0" w:color="auto"/>
                                                        <w:right w:val="none" w:sz="0" w:space="0" w:color="auto"/>
                                                      </w:divBdr>
                                                      <w:divsChild>
                                                        <w:div w:id="1216355711">
                                                          <w:marLeft w:val="0"/>
                                                          <w:marRight w:val="0"/>
                                                          <w:marTop w:val="0"/>
                                                          <w:marBottom w:val="0"/>
                                                          <w:divBdr>
                                                            <w:top w:val="none" w:sz="0" w:space="0" w:color="auto"/>
                                                            <w:left w:val="none" w:sz="0" w:space="0" w:color="auto"/>
                                                            <w:bottom w:val="none" w:sz="0" w:space="0" w:color="auto"/>
                                                            <w:right w:val="none" w:sz="0" w:space="0" w:color="auto"/>
                                                          </w:divBdr>
                                                          <w:divsChild>
                                                            <w:div w:id="151591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39546866">
                          <w:marLeft w:val="0"/>
                          <w:marRight w:val="0"/>
                          <w:marTop w:val="0"/>
                          <w:marBottom w:val="0"/>
                          <w:divBdr>
                            <w:top w:val="none" w:sz="0" w:space="0" w:color="auto"/>
                            <w:left w:val="none" w:sz="0" w:space="0" w:color="auto"/>
                            <w:bottom w:val="none" w:sz="0" w:space="0" w:color="auto"/>
                            <w:right w:val="none" w:sz="0" w:space="0" w:color="auto"/>
                          </w:divBdr>
                          <w:divsChild>
                            <w:div w:id="1374228322">
                              <w:marLeft w:val="0"/>
                              <w:marRight w:val="0"/>
                              <w:marTop w:val="0"/>
                              <w:marBottom w:val="0"/>
                              <w:divBdr>
                                <w:top w:val="none" w:sz="0" w:space="0" w:color="auto"/>
                                <w:left w:val="none" w:sz="0" w:space="0" w:color="auto"/>
                                <w:bottom w:val="none" w:sz="0" w:space="0" w:color="auto"/>
                                <w:right w:val="none" w:sz="0" w:space="0" w:color="auto"/>
                              </w:divBdr>
                              <w:divsChild>
                                <w:div w:id="987902736">
                                  <w:marLeft w:val="0"/>
                                  <w:marRight w:val="0"/>
                                  <w:marTop w:val="0"/>
                                  <w:marBottom w:val="0"/>
                                  <w:divBdr>
                                    <w:top w:val="none" w:sz="0" w:space="0" w:color="auto"/>
                                    <w:left w:val="none" w:sz="0" w:space="0" w:color="auto"/>
                                    <w:bottom w:val="none" w:sz="0" w:space="0" w:color="auto"/>
                                    <w:right w:val="none" w:sz="0" w:space="0" w:color="auto"/>
                                  </w:divBdr>
                                  <w:divsChild>
                                    <w:div w:id="152916155">
                                      <w:marLeft w:val="0"/>
                                      <w:marRight w:val="0"/>
                                      <w:marTop w:val="0"/>
                                      <w:marBottom w:val="120"/>
                                      <w:divBdr>
                                        <w:top w:val="none" w:sz="0" w:space="0" w:color="auto"/>
                                        <w:left w:val="none" w:sz="0" w:space="0" w:color="auto"/>
                                        <w:bottom w:val="none" w:sz="0" w:space="0" w:color="auto"/>
                                        <w:right w:val="none" w:sz="0" w:space="0" w:color="auto"/>
                                      </w:divBdr>
                                      <w:divsChild>
                                        <w:div w:id="208440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521640">
                                  <w:marLeft w:val="0"/>
                                  <w:marRight w:val="0"/>
                                  <w:marTop w:val="0"/>
                                  <w:marBottom w:val="0"/>
                                  <w:divBdr>
                                    <w:top w:val="none" w:sz="0" w:space="0" w:color="auto"/>
                                    <w:left w:val="none" w:sz="0" w:space="0" w:color="auto"/>
                                    <w:bottom w:val="none" w:sz="0" w:space="0" w:color="auto"/>
                                    <w:right w:val="none" w:sz="0" w:space="0" w:color="auto"/>
                                  </w:divBdr>
                                  <w:divsChild>
                                    <w:div w:id="1061365330">
                                      <w:marLeft w:val="0"/>
                                      <w:marRight w:val="0"/>
                                      <w:marTop w:val="0"/>
                                      <w:marBottom w:val="0"/>
                                      <w:divBdr>
                                        <w:top w:val="none" w:sz="0" w:space="0" w:color="auto"/>
                                        <w:left w:val="none" w:sz="0" w:space="0" w:color="auto"/>
                                        <w:bottom w:val="none" w:sz="0" w:space="0" w:color="auto"/>
                                        <w:right w:val="none" w:sz="0" w:space="0" w:color="auto"/>
                                      </w:divBdr>
                                      <w:divsChild>
                                        <w:div w:id="73284130">
                                          <w:marLeft w:val="0"/>
                                          <w:marRight w:val="0"/>
                                          <w:marTop w:val="0"/>
                                          <w:marBottom w:val="0"/>
                                          <w:divBdr>
                                            <w:top w:val="none" w:sz="0" w:space="0" w:color="auto"/>
                                            <w:left w:val="none" w:sz="0" w:space="0" w:color="auto"/>
                                            <w:bottom w:val="none" w:sz="0" w:space="0" w:color="auto"/>
                                            <w:right w:val="none" w:sz="0" w:space="0" w:color="auto"/>
                                          </w:divBdr>
                                          <w:divsChild>
                                            <w:div w:id="14492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27956819">
      <w:bodyDiv w:val="1"/>
      <w:marLeft w:val="0"/>
      <w:marRight w:val="0"/>
      <w:marTop w:val="0"/>
      <w:marBottom w:val="0"/>
      <w:divBdr>
        <w:top w:val="none" w:sz="0" w:space="0" w:color="auto"/>
        <w:left w:val="none" w:sz="0" w:space="0" w:color="auto"/>
        <w:bottom w:val="none" w:sz="0" w:space="0" w:color="auto"/>
        <w:right w:val="none" w:sz="0" w:space="0" w:color="auto"/>
      </w:divBdr>
    </w:div>
    <w:div w:id="966203551">
      <w:bodyDiv w:val="1"/>
      <w:marLeft w:val="0"/>
      <w:marRight w:val="0"/>
      <w:marTop w:val="0"/>
      <w:marBottom w:val="0"/>
      <w:divBdr>
        <w:top w:val="none" w:sz="0" w:space="0" w:color="auto"/>
        <w:left w:val="none" w:sz="0" w:space="0" w:color="auto"/>
        <w:bottom w:val="none" w:sz="0" w:space="0" w:color="auto"/>
        <w:right w:val="none" w:sz="0" w:space="0" w:color="auto"/>
      </w:divBdr>
    </w:div>
    <w:div w:id="1363943609">
      <w:bodyDiv w:val="1"/>
      <w:marLeft w:val="0"/>
      <w:marRight w:val="0"/>
      <w:marTop w:val="0"/>
      <w:marBottom w:val="0"/>
      <w:divBdr>
        <w:top w:val="none" w:sz="0" w:space="0" w:color="auto"/>
        <w:left w:val="none" w:sz="0" w:space="0" w:color="auto"/>
        <w:bottom w:val="none" w:sz="0" w:space="0" w:color="auto"/>
        <w:right w:val="none" w:sz="0" w:space="0" w:color="auto"/>
      </w:divBdr>
    </w:div>
    <w:div w:id="1475684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assembly.gov.uk/globalassets/documents/raise/publications/2011/health/4411.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safe.org/safety-management/2025/why-mental-health-is-central-to-driver-safet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ittees.parliament.uk/writtenevidence/104949/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publications/reported-road-casualty-statistics-background-quality-report/reported-road-casualty-statistics-background-quality-report" TargetMode="External"/><Relationship Id="rId4" Type="http://schemas.openxmlformats.org/officeDocument/2006/relationships/settings" Target="settings.xml"/><Relationship Id="rId9" Type="http://schemas.openxmlformats.org/officeDocument/2006/relationships/hyperlink" Target="https://www.gov.uk/government/statistics/reported-road-casualties-great-britain-older-and-younger-driver-factsheet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5FBFEE-D39B-4CEE-A8FC-4A63908D64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448</TotalTime>
  <Pages>1</Pages>
  <Words>2102</Words>
  <Characters>11355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Catarina Ngunza José</dc:creator>
  <cp:keywords/>
  <dc:description/>
  <cp:lastModifiedBy>Catarina Ngunza José</cp:lastModifiedBy>
  <cp:revision>8</cp:revision>
  <dcterms:created xsi:type="dcterms:W3CDTF">2025-11-15T12:33:00Z</dcterms:created>
  <dcterms:modified xsi:type="dcterms:W3CDTF">2025-11-16T17:43:00Z</dcterms:modified>
</cp:coreProperties>
</file>