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240" w:lineRule="auto"/>
        <w:ind w:left="720" w:firstLine="0"/>
        <w:rPr>
          <w:rFonts w:ascii="Times New Roman" w:cs="Times New Roman" w:eastAsia="Times New Roman" w:hAnsi="Times New Roman"/>
          <w:sz w:val="50"/>
          <w:szCs w:val="50"/>
        </w:rPr>
      </w:pPr>
      <w:bookmarkStart w:colFirst="0" w:colLast="0" w:name="_xa476oy7j7ig" w:id="0"/>
      <w:bookmarkEnd w:id="0"/>
      <w:r w:rsidDel="00000000" w:rsidR="00000000" w:rsidRPr="00000000">
        <w:rPr>
          <w:rFonts w:ascii="Times New Roman" w:cs="Times New Roman" w:eastAsia="Times New Roman" w:hAnsi="Times New Roman"/>
          <w:sz w:val="50"/>
          <w:szCs w:val="50"/>
          <w:rtl w:val="0"/>
        </w:rPr>
        <w:t xml:space="preserve">Abbot Suger, Saint-Denis, and the Capetian Monarchy</w:t>
      </w:r>
    </w:p>
    <w:p w:rsidR="00000000" w:rsidDel="00000000" w:rsidP="00000000" w:rsidRDefault="00000000" w:rsidRPr="00000000" w14:paraId="00000002">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Abbot Suger of Saint-Denis is arguably one of the most fascinating and enigmatic figures in medieval history. As an esteemed member of the royal court, his sharp intellect and perceptiveness in a wide range of matters made him one of the most valued advisors of two French kings, and subsequently, one of the most influential men in twelfth century France. Most uniquely however, he is remembered today for his contribution to the development and rise of the Gothic style of architecture, which came to be the predominant form of medieval ecclesiastical building in Capetian France. During his time as abbot at Saint-Denis in Paris, Suger orchestrated a vast and costly program of redesigning and expanding the abbey’s church, which had been the spiritual home of the French monarchy for centuries.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4">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Shortly after the formal dedication of the newly renovated church, Suger wrote two books explaining many different aspects of the new construction—one on the consecration of the church, and one on the administration during his time as abbot. In these writings, he gives his account of the endeavor—including the plan, the building process, and the final consecration. The questions that will be explored in this essay are, in Suger’s writings on the rebuilding of the new church, how are the ideas of royalty and sanctity synchronized, and how do these ideas serve to strengthen the position of both the Abbey of Saint-Denis and the Capetian monarchy?</w:t>
      </w:r>
    </w:p>
    <w:p w:rsidR="00000000" w:rsidDel="00000000" w:rsidP="00000000" w:rsidRDefault="00000000" w:rsidRPr="00000000" w14:paraId="00000005">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we know today only as Suger was born around 1081 to a family of minor nobility in a village called Chennevieres-les-Louvres, just outside of Paris. At age 10 he was offered to the abbey as an oblate by his father, a fact he was very proud of throughout his life. As a boy he was educated at Saint-Denis-de-L’Estree, where he formed a friendship with a fellow student, the future king of France, Louis VI. Within the abbey he quickly became recognized as a gifted administrator and diplomat. He was well-loved by his fellow monks, and when their abbot, Adam, died in 1122, while Suger was in Rome, they elected him as the new abbot of Saint-Denis.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Suger was one of the most revered and trusted advisors to Louis VI, as well as to his son, Louis VII, serving in many roles as a statesman within the court. He even excelled as a military strategist, and served as regent of the kingdom when Louis VII was away on the Second Crusade.</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6">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details of the work that Suger accomplished in regards to the church, and his thoughts behind the work, are found in two volumes written by him between 1144 and 1148, </w:t>
      </w:r>
      <w:r w:rsidDel="00000000" w:rsidR="00000000" w:rsidRPr="00000000">
        <w:rPr>
          <w:rFonts w:ascii="Times New Roman" w:cs="Times New Roman" w:eastAsia="Times New Roman" w:hAnsi="Times New Roman"/>
          <w:i w:val="1"/>
          <w:sz w:val="24"/>
          <w:szCs w:val="24"/>
          <w:rtl w:val="0"/>
        </w:rPr>
        <w:t xml:space="preserve">The Book on the Consecration of the Church of Saint-Denis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The Book of Abbot Suger of Saint-Denis: His Accomplishments during His Administration</w:t>
      </w:r>
      <w:r w:rsidDel="00000000" w:rsidR="00000000" w:rsidRPr="00000000">
        <w:rPr>
          <w:rFonts w:ascii="Times New Roman" w:cs="Times New Roman" w:eastAsia="Times New Roman" w:hAnsi="Times New Roman"/>
          <w:sz w:val="24"/>
          <w:szCs w:val="24"/>
          <w:rtl w:val="0"/>
        </w:rPr>
        <w:t xml:space="preserve">. The </w:t>
      </w:r>
      <w:r w:rsidDel="00000000" w:rsidR="00000000" w:rsidRPr="00000000">
        <w:rPr>
          <w:rFonts w:ascii="Times New Roman" w:cs="Times New Roman" w:eastAsia="Times New Roman" w:hAnsi="Times New Roman"/>
          <w:i w:val="1"/>
          <w:sz w:val="24"/>
          <w:szCs w:val="24"/>
          <w:rtl w:val="0"/>
        </w:rPr>
        <w:t xml:space="preserve">Consecration </w:t>
      </w:r>
      <w:r w:rsidDel="00000000" w:rsidR="00000000" w:rsidRPr="00000000">
        <w:rPr>
          <w:rFonts w:ascii="Times New Roman" w:cs="Times New Roman" w:eastAsia="Times New Roman" w:hAnsi="Times New Roman"/>
          <w:sz w:val="24"/>
          <w:szCs w:val="24"/>
          <w:rtl w:val="0"/>
        </w:rPr>
        <w:t xml:space="preserve">was written immediately after the event in which the newly constructed choir was formally dedicated, on June 11, 1144. The earliest surviving manuscript is from around 1200, and was most likely inscribed at Saint-Denis. The purpose of his writing this small book was to create a record of these events to share with his fellow ecclesiastes, especially those that participated in the various consecration ceremonies of the church.</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 book is a well-rounded account of the work which he considered to be his greatest life’s accomplishment, and it includes details from conception to the final dedication. </w:t>
      </w:r>
    </w:p>
    <w:p w:rsidR="00000000" w:rsidDel="00000000" w:rsidP="00000000" w:rsidRDefault="00000000" w:rsidRPr="00000000" w14:paraId="00000007">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text he explains his reasons for wanting to complete various projects. These reasons often began with practical concerns, such as enlarging the space for visiting pilgrims to move freely throughout the church, or to preserve deteriorating structural elements. In addition to these practical considerations, he also expresses throughout his writings his wish to honor and glorify the abbey and its beloved patron saints. He reveals how the entire process unfolded and how materials were miraculously acquired. He lists the names of many prominent bishops, archbishops, and members of the nobility and the royal family who contributed to the church’s adornment and treasury or participated in the ceremonies.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8">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Suger began writing the </w:t>
      </w:r>
      <w:r w:rsidDel="00000000" w:rsidR="00000000" w:rsidRPr="00000000">
        <w:rPr>
          <w:rFonts w:ascii="Times New Roman" w:cs="Times New Roman" w:eastAsia="Times New Roman" w:hAnsi="Times New Roman"/>
          <w:i w:val="1"/>
          <w:sz w:val="24"/>
          <w:szCs w:val="24"/>
          <w:rtl w:val="0"/>
        </w:rPr>
        <w:t xml:space="preserve">Administration </w:t>
      </w:r>
      <w:r w:rsidDel="00000000" w:rsidR="00000000" w:rsidRPr="00000000">
        <w:rPr>
          <w:rFonts w:ascii="Times New Roman" w:cs="Times New Roman" w:eastAsia="Times New Roman" w:hAnsi="Times New Roman"/>
          <w:sz w:val="24"/>
          <w:szCs w:val="24"/>
          <w:rtl w:val="0"/>
        </w:rPr>
        <w:t xml:space="preserve">just after the first book, in 1145, and completed it in 1148, or soon after. Only one manuscript of this text exists from the era, dating from around 1160 to 1180.</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Suger states in the opening lines that he decided to write this account of his work after being asked to do so by his fellow monks at Saint-Denis. In this text there is a great deal written about matters of state, such as land settlements, charters, and the raising of revenue. He does, however, continue his account on the reconstruction of the church, while placing a greater emphasis on the funds and material treasures acquired for the work, as well as describing the adornment of liturgical objects. </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09">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first chapter of the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Suger states his primary reason for writing:</w:t>
      </w:r>
    </w:p>
    <w:p w:rsidR="00000000" w:rsidDel="00000000" w:rsidP="00000000" w:rsidRDefault="00000000" w:rsidRPr="00000000" w14:paraId="0000000A">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ind w:left="1440" w:righ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we have labored with our pen to bring to the attention of our successors the glorious and worthy consecration of this holy church and the sacred translation of our most precious lords and apostles Denis, Rusticus, and Eleutherius and other saints on whose ready protection we rely. For this reason, we have recorded the order of things, the solemnity, and even the persons involved so that we may return as best we can worthy acts of gratitude to the divine mercy for so great a gift, and may obtain the favorable intercession of our holy protectors with God for our earnest care given to such a great work and for recording such a great solemnity.</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0C">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history of the abbey, which is inseparable from the life and martyrdom of St. Denis, is an entanglement of miracle stories, legends, and false narratives. From what can be understood from the early texts, it seems that sometime in the third century, St. Denis traveled from Athens to Gaul, where he became the first Bishop of Paris. In the year 251, Denis and two of his companions, Rusticus and Eleutherius, were beheaded by Roman authorities. The earliest extant account</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St. Denis, written in the fifth century, reports that after the executions, a pagan woman retrieved the bodies of the martyrs and buried them in a field nearby. Soon after, a shrine was built as a memorial to the three men who Suger calls the ‘Holy Martyrs’. In the fifth century, St. Genevieve built a church over the shrine, which is close to the current abbey’s location.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Middle Ages in France, St. Denis the Martyr was believed to be the principle spiritual protector of the monarchy and the national saint of all of France. The theological ideas associated with the saint and the abbey were initiated in 835, when Hilduin, the archbishop of Paris and abbot of Saint-Denis, was commissioned by King Louis I (the Pious) to write a biography of the saint. Hilduin was the first to erroneously merge the identity of the third century martyr, Denis, with a man named Dionysius—a neo-Platonist who wrote a treatise in the early sixth century, describing the metaphysical symbolism of light and the hierarchy of celestial beings. In his book, Pseudo-Dionysius falsely claimed himself to be Dionysius the Areopagite, who was an apostle of Paul in the first century. Thus, within the Carolingian court, the three individual men were mistakenly assimilated into one remarkable figure, St. Denis.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abbey church of Saint-Denis was so closely associated with the monarchy that it was established early on as the official royal monastery. King Dagobert I, the Merovingian king who ruled the Franks until his death in 639, </w:t>
      </w:r>
      <w:r w:rsidDel="00000000" w:rsidR="00000000" w:rsidRPr="00000000">
        <w:rPr>
          <w:rFonts w:ascii="Times New Roman" w:cs="Times New Roman" w:eastAsia="Times New Roman" w:hAnsi="Times New Roman"/>
          <w:sz w:val="24"/>
          <w:szCs w:val="24"/>
          <w:rtl w:val="0"/>
        </w:rPr>
        <w:t xml:space="preserve">had a particularly strong devotion to the saint. During his reign he had the remains of the saint and his companions transferred from the old shrine to a nearby location, where he built and heavily adorned new tombs, which became the foundation of the church that still stands today. Dagobert’s generosity to the abbey increased its wealth and reputation, and by his request he was buried there.</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From that time on, Saint-Denis was favored more than any other monastery in France by the monarchy, and became </w:t>
      </w:r>
      <w:r w:rsidDel="00000000" w:rsidR="00000000" w:rsidRPr="00000000">
        <w:rPr>
          <w:rFonts w:ascii="Times New Roman" w:cs="Times New Roman" w:eastAsia="Times New Roman" w:hAnsi="Times New Roman"/>
          <w:sz w:val="24"/>
          <w:szCs w:val="24"/>
          <w:rtl w:val="0"/>
        </w:rPr>
        <w:t xml:space="preserve">the traditional burial place of kings and their families, as well as the repository of the king’s crown and regalia.</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spacing w:line="480" w:lineRule="auto"/>
        <w:ind w:left="72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opening to the second chapter of his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Suger recalls the abbey’s link to ‘the glorious and famous King Dagobert of the Franks’. He writes that, ‘…with remarkable enthusiasm the king ordered that a basilica dedicated to the saints be built as a royal charitable bequest.’ Suger then gives a description of the lavish decoration the king provided. </w:t>
      </w:r>
    </w:p>
    <w:p w:rsidR="00000000" w:rsidDel="00000000" w:rsidP="00000000" w:rsidRDefault="00000000" w:rsidRPr="00000000" w14:paraId="00000011">
      <w:pPr>
        <w:spacing w:line="480" w:lineRule="auto"/>
        <w:ind w:left="72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ind w:left="1440" w:righ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constructed it with an amazing variety of marble columns and enriched it beyond measure with abundant treasures of the purest gold and silver. He made sure that tapestries, which were woven with gold and generously adorned with an assortment of pearls, hung from its walls, columns, and arches; and the church seemed to surpass all other churches in ornamentation. </w:t>
      </w:r>
    </w:p>
    <w:p w:rsidR="00000000" w:rsidDel="00000000" w:rsidP="00000000" w:rsidRDefault="00000000" w:rsidRPr="00000000" w14:paraId="00000013">
      <w:pPr>
        <w:spacing w:line="480" w:lineRule="auto"/>
        <w:ind w:left="1440" w:righ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ind w:left="72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he acknowledges the marvelous work that was completed by the king, he goes on to explain that the number of visitors had grown so that the size of the church was insufficient and that renovations were needed to enlarge the area. </w:t>
      </w:r>
    </w:p>
    <w:p w:rsidR="00000000" w:rsidDel="00000000" w:rsidP="00000000" w:rsidRDefault="00000000" w:rsidRPr="00000000" w14:paraId="00000015">
      <w:pPr>
        <w:spacing w:line="480" w:lineRule="auto"/>
        <w:ind w:left="720" w:righ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480" w:lineRule="auto"/>
        <w:ind w:left="1440" w:righ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Blossoming in every way with unrivaled charm and arrayed in incomparable splendor, it began to shine with every earthly beauty. The king, however, made only one mistake when he did not allow as much space as was needed; but he did not err in his devotion or good will. Perhaps he thought that there was no other edifice larger or equal to it in size in the early church at that time, or that a smaller church would reflect more acutely and delectably to the eye the splendor of the shining gold and gems by their nearness, or that its treasures would sparkle more radiantly than they would if the church were built larger.</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17">
      <w:pPr>
        <w:spacing w:line="480" w:lineRule="auto"/>
        <w:ind w:left="1440" w:righ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ind w:left="72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then describes in a dramatic manner how the crowds of pilgrims were often crushed, trampled, and nearly suffocated from lack of space on busy feast days.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In his </w:t>
      </w:r>
      <w:r w:rsidDel="00000000" w:rsidR="00000000" w:rsidRPr="00000000">
        <w:rPr>
          <w:rFonts w:ascii="Times New Roman" w:cs="Times New Roman" w:eastAsia="Times New Roman" w:hAnsi="Times New Roman"/>
          <w:i w:val="1"/>
          <w:sz w:val="24"/>
          <w:szCs w:val="24"/>
          <w:rtl w:val="0"/>
        </w:rPr>
        <w:t xml:space="preserve">Administration </w:t>
      </w:r>
      <w:r w:rsidDel="00000000" w:rsidR="00000000" w:rsidRPr="00000000">
        <w:rPr>
          <w:rFonts w:ascii="Times New Roman" w:cs="Times New Roman" w:eastAsia="Times New Roman" w:hAnsi="Times New Roman"/>
          <w:sz w:val="24"/>
          <w:szCs w:val="24"/>
          <w:rtl w:val="0"/>
        </w:rPr>
        <w:t xml:space="preserve">he gives a similar explanation for the need for the expansion due to the small size of the church’s interior.</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In spite of the apparent need to rebuild the tombs for the safety and comfort of visitors, he was evidently troubled by the need to replace the existing structure that Dagobert was responsible for. Suger’s writing helps to preserve the memory that the Merovingian king was the founder and benefactor of the church, thereby maintaining in a way the church’s royal inheritance. Along with elaborating on the significance of it as a holy pilgrimage site, he was essentially promoting the abbey’s image of a place set apart from others by its royal and sacred legacy. </w:t>
      </w:r>
    </w:p>
    <w:p w:rsidR="00000000" w:rsidDel="00000000" w:rsidP="00000000" w:rsidRDefault="00000000" w:rsidRPr="00000000" w14:paraId="00000019">
      <w:pPr>
        <w:spacing w:line="480" w:lineRule="auto"/>
        <w:ind w:left="720" w:righ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church’s status as a place of pilgrimage is further expressed in the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where he describes in detail how the chapels devoted to each of the Holy Martyrs and other saints were rebuilt so that, </w:t>
      </w:r>
      <w:r w:rsidDel="00000000" w:rsidR="00000000" w:rsidRPr="00000000">
        <w:rPr>
          <w:rFonts w:ascii="Times New Roman" w:cs="Times New Roman" w:eastAsia="Times New Roman" w:hAnsi="Times New Roman"/>
          <w:sz w:val="24"/>
          <w:szCs w:val="24"/>
          <w:rtl w:val="0"/>
        </w:rPr>
        <w:t xml:space="preserve">‘those</w:t>
      </w:r>
      <w:r w:rsidDel="00000000" w:rsidR="00000000" w:rsidRPr="00000000">
        <w:rPr>
          <w:rFonts w:ascii="Times New Roman" w:cs="Times New Roman" w:eastAsia="Times New Roman" w:hAnsi="Times New Roman"/>
          <w:sz w:val="24"/>
          <w:szCs w:val="24"/>
          <w:rtl w:val="0"/>
        </w:rPr>
        <w:t xml:space="preserve"> approaching might gaze upon them in a more impressive and visible way.’ The abbot explains how he was ‘devoutly motivated to beautify their most sacred reliquaries’. The tombs were adorned with as much gold and precious gems as could be found, as anything less would not be sufficient to honor the beloved saints.</w:t>
      </w:r>
    </w:p>
    <w:p w:rsidR="00000000" w:rsidDel="00000000" w:rsidP="00000000" w:rsidRDefault="00000000" w:rsidRPr="00000000" w14:paraId="0000001A">
      <w:pPr>
        <w:spacing w:line="480" w:lineRule="auto"/>
        <w:ind w:left="1440" w:righ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480" w:lineRule="auto"/>
        <w:ind w:left="1440" w:righ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strove with the help of God to produce a splendid resting place by employing the elegant craftsmanship of goldsmiths and an abundance of gold and precious gems. We made the exterior outstanding by adorning it with these and similar materials; but for security, we made plans to fortify the very impressive interior all around with a wall of the strongest stones. We decorated their outside with gilded panels of cast copper to prevent the rough texture of the stones from degrading the tomb’s appearance…Since their venerable spirits, shining like the sun, stand before Almighty God, we covered them as best we could with very costly pure gold and a large quantity of hyacinths, emeralds, and other precious gems.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01C">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continues to describe the saints’ chapels, Suger writes that even when they believed they had enough gold and gems, the Holy Martyrs provided even more by inspiring donations from ‘Supreme Pontiffs and other people of authority’,</w:t>
      </w:r>
      <w:r w:rsidDel="00000000" w:rsidR="00000000" w:rsidRPr="00000000">
        <w:rPr>
          <w:rFonts w:ascii="Times New Roman" w:cs="Times New Roman" w:eastAsia="Times New Roman" w:hAnsi="Times New Roman"/>
          <w:sz w:val="24"/>
          <w:szCs w:val="24"/>
          <w:rtl w:val="0"/>
        </w:rPr>
        <w:t xml:space="preserve"> listing</w:t>
      </w:r>
      <w:r w:rsidDel="00000000" w:rsidR="00000000" w:rsidRPr="00000000">
        <w:rPr>
          <w:rFonts w:ascii="Times New Roman" w:cs="Times New Roman" w:eastAsia="Times New Roman" w:hAnsi="Times New Roman"/>
          <w:sz w:val="24"/>
          <w:szCs w:val="24"/>
          <w:rtl w:val="0"/>
        </w:rPr>
        <w:t xml:space="preserve"> the king, magnates and princes. Following this Suger writes about many miraculous events that occurred during the construction. The most impressive of these instances being when a storm threatened to destroy the arches and capitals which had been raised, but had not yet been secured to the main vaults. He describes the storm as ‘frightful and almost unbearable…with ominous dark clouds, torrential rain, and extremely violent gusts of winds’. He says that it ‘severely shook sturdy houses, the stone towers, and the wooden bell scaffolding’.</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1E">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Coincidently, this storm occurred during the annual celebration of King Dagobert, where the visiting Bishop of Chartres, Geoffrey, was conducting a solemn mass for the dead king’s soul. When a violent crosswind struck the unsupported arches they began shaking and swaying, and then the bishop began to repeatedly extend the arm of Saint Simeon in the direction of the gusts, blessing it with the sign of the cross. The story concludes with the statement about the miraculous outcome. </w:t>
      </w:r>
    </w:p>
    <w:p w:rsidR="00000000" w:rsidDel="00000000" w:rsidP="00000000" w:rsidRDefault="00000000" w:rsidRPr="00000000" w14:paraId="0000001F">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480" w:lineRule="auto"/>
        <w:ind w:left="1440" w:righ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it clearly seemed that the mercy of God and the merit of the Saints, rather than the sturdiness of the structure, prevented it from crashing down. This storm inflicted heavy damage everywhere on buildings believed to be very solid, but it lacked the force, when repelled by divine power, to damage our new unsupported arches as they swayed high overhead.</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spacing w:line="480" w:lineRule="auto"/>
        <w:ind w:left="1440" w:righ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inclusion of this dramatic occurrence in Suger’s writing serves to confirm the power of saintly intercession and proves divine sanctioning of the architectural work in progress. This miracle story also has a link to the Carolingian dynasty, as the arm of St. Simeon was one of the relics given to the abbey by Charles the Bald.</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Continuing with the theme of miraculous blessings, in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Suger writes that some of the necessary building materials were locally scarce, though he desired to find stone columns marvelous enough to rival those in the Mediterranean. He says that after he suffered years of anxiety in his search for suitable stone, he suddenly found a quarry to suit his needs perfectly.</w:t>
      </w:r>
    </w:p>
    <w:p w:rsidR="00000000" w:rsidDel="00000000" w:rsidP="00000000" w:rsidRDefault="00000000" w:rsidRPr="00000000" w14:paraId="00000023">
      <w:pPr>
        <w:spacing w:line="480" w:lineRule="auto"/>
        <w:ind w:left="72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line="480" w:lineRule="auto"/>
        <w:ind w:left="1440" w:righ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suddenly the bountiful generosity of the Almighty contributed to our efforts something we could not imagine or believe, and to the amazement of everyone, revealed by the merits of the Holy Martyrs suitable and very high quality columns. Thus, against all hope and anyone’s expectation, the divine pity saw fit to grant us a most pleasant site in good condition…There was a wonderful quarry located near the fortified town of Pontoise at the border of our lands; it adjoined a deep hollow that had been dug, not by nature but hard work, and it had furnished a livelihood to stonecutters from ancient times. So far the quarry had yielded nothing of exceptional quality but saved, as we believe, the beginning of its great service for a grand, divine building, as if it brought forth its first fruits for God and the Holy Martyrs.</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480" w:lineRule="auto"/>
        <w:ind w:left="72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a similar tale in his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he was told by a number of people who were familiar with the local resources that it was not possible to find, anywhere in the kingdom, timbers of the size and number required for beams to support the roof of a new addition. He recounts how the wood was eventually discovered nearby in a way that he perceived could only be explained as divine intervention. While the abbot was lying awake in bed one night, wondering how he would ever procure the necessary raw materials, he was hit with the inspiration to go himself in search of the timber needed for the beams. The next morning he set out with his carpenters, and in the forest Yvelines he found the timber he needed, in perfect number and measurement, no more and no less.</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27">
      <w:pPr>
        <w:spacing w:line="480" w:lineRule="auto"/>
        <w:ind w:left="72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his </w:t>
      </w:r>
      <w:r w:rsidDel="00000000" w:rsidR="00000000" w:rsidRPr="00000000">
        <w:rPr>
          <w:rFonts w:ascii="Times New Roman" w:cs="Times New Roman" w:eastAsia="Times New Roman" w:hAnsi="Times New Roman"/>
          <w:i w:val="1"/>
          <w:sz w:val="24"/>
          <w:szCs w:val="24"/>
          <w:rtl w:val="0"/>
        </w:rPr>
        <w:t xml:space="preserve">Administration</w:t>
      </w:r>
      <w:r w:rsidDel="00000000" w:rsidR="00000000" w:rsidRPr="00000000">
        <w:rPr>
          <w:rFonts w:ascii="Times New Roman" w:cs="Times New Roman" w:eastAsia="Times New Roman" w:hAnsi="Times New Roman"/>
          <w:sz w:val="24"/>
          <w:szCs w:val="24"/>
          <w:rtl w:val="0"/>
        </w:rPr>
        <w:t xml:space="preserve">, Suger writes about many of the church’s adornments that were obtained through various royals and noblemen. In his entry dealing with the golden crucifix, he explains how he acquired an impressive hoard of precious gemstones from a group of delegates of three other abbeys. The jewels, he says, were given to the monasteries as alms from Count Thibault, who obtained them from his uncle, King Stephen of England, who had himself acquired them from King Henry I.</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There is an underlying significance in this detail that Suger does not elaborate on. The jewels had been taken from golden vessels that were used as part of the royal display at the king’s table during English crown-wearing ceremonies. They later came into the possession of the monasteries when Bernard of Clairvaux received them from Count Thibault as a gift of gratitude for his counsel after a devastating event. Bernard and Suger had been the chief negotiators between Thibault and King VII, after the king’s notorious invasion of the count’s territory that took place between 1142-1143, and ended with the king setting fire to a church where 1,500 people had taken refuge. Eventually the king and the count were reconciled and they agreed to a treaty, which was signed at Saint-Denis on 9 October 1144.</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Though it would have been out of character for Suger to elaborate on the political dimension of the acquisition of the jewels, the context would have been understood by the people he was writing for, and they would be reminded of the importance of Saint-Denis and its abbot in bringing to a close a very disastrous conflict.</w:t>
      </w:r>
      <w:r w:rsidDel="00000000" w:rsidR="00000000" w:rsidRPr="00000000">
        <w:rPr>
          <w:rtl w:val="0"/>
        </w:rPr>
      </w:r>
    </w:p>
    <w:p w:rsidR="00000000" w:rsidDel="00000000" w:rsidP="00000000" w:rsidRDefault="00000000" w:rsidRPr="00000000" w14:paraId="00000028">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w:t>
      </w:r>
      <w:r w:rsidDel="00000000" w:rsidR="00000000" w:rsidRPr="00000000">
        <w:rPr>
          <w:rFonts w:ascii="Times New Roman" w:cs="Times New Roman" w:eastAsia="Times New Roman" w:hAnsi="Times New Roman"/>
          <w:i w:val="1"/>
          <w:sz w:val="24"/>
          <w:szCs w:val="24"/>
          <w:rtl w:val="0"/>
        </w:rPr>
        <w:t xml:space="preserve">Administration</w:t>
      </w:r>
      <w:r w:rsidDel="00000000" w:rsidR="00000000" w:rsidRPr="00000000">
        <w:rPr>
          <w:rFonts w:ascii="Times New Roman" w:cs="Times New Roman" w:eastAsia="Times New Roman" w:hAnsi="Times New Roman"/>
          <w:sz w:val="24"/>
          <w:szCs w:val="24"/>
          <w:rtl w:val="0"/>
        </w:rPr>
        <w:t xml:space="preserve">, Suger continues to emphasize the church’s connection to the Carolingians when he describes the redecorating of the main altar, in which the front panel had been supplied by Charles the Bald. He explains that before Charles the Bald was laid to rest right in front of that altar, he requested that some of the sacred relics be relocated and placed near his tomb. He also states that ‘seven lamps in silver vessels, which we restored from their broken pieces, were to burn perpetually day and night forever before that holy altar, as the emperor had decreed for a good reason.’</w:t>
      </w:r>
      <w:r w:rsidDel="00000000" w:rsidR="00000000" w:rsidRPr="00000000">
        <w:rPr>
          <w:rFonts w:ascii="Times New Roman" w:cs="Times New Roman" w:eastAsia="Times New Roman" w:hAnsi="Times New Roman"/>
          <w:b w:val="1"/>
          <w:sz w:val="24"/>
          <w:szCs w:val="24"/>
          <w:vertAlign w:val="superscript"/>
        </w:rPr>
        <w:footnoteReference w:customMarkFollows="0" w:id="23"/>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During the renovation of the altar’s frame, it was discovered in full view of many witnesses, that within the altar lay hidden compartments containing the relics, along with the decree imprinted with the seal of Charles’s ring.</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‘That is also why six large magnificent candles, which were rarely or never set up anywhere else in the church, were lit around this altar on nearly sixty different solemn festivals. This is also why this altar is adorned with splendid decorations, as often as the altar of the blessed Denis.’</w:t>
      </w:r>
      <w:r w:rsidDel="00000000" w:rsidR="00000000" w:rsidRPr="00000000">
        <w:rPr>
          <w:rFonts w:ascii="Times New Roman" w:cs="Times New Roman" w:eastAsia="Times New Roman" w:hAnsi="Times New Roman"/>
          <w:b w:val="1"/>
          <w:sz w:val="24"/>
          <w:szCs w:val="24"/>
          <w:vertAlign w:val="superscript"/>
        </w:rPr>
        <w:footnoteReference w:customMarkFollows="0" w:id="25"/>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 the altar new gold panels were installed, and a candelabra from Louis VI was placed beside it. According to Suger’s account, the inscription on the right side panel read: </w:t>
      </w:r>
    </w:p>
    <w:p w:rsidR="00000000" w:rsidDel="00000000" w:rsidP="00000000" w:rsidRDefault="00000000" w:rsidRPr="00000000" w14:paraId="00000029">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Abbot Suger had these altar panels erected, </w:t>
      </w:r>
    </w:p>
    <w:p w:rsidR="00000000" w:rsidDel="00000000" w:rsidP="00000000" w:rsidRDefault="00000000" w:rsidRPr="00000000" w14:paraId="0000002B">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the one that King Charles already gave, </w:t>
      </w:r>
    </w:p>
    <w:p w:rsidR="00000000" w:rsidDel="00000000" w:rsidP="00000000" w:rsidRDefault="00000000" w:rsidRPr="00000000" w14:paraId="0000002C">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the unworthy worthy by your favor, Virgin Mary. </w:t>
      </w:r>
    </w:p>
    <w:p w:rsidR="00000000" w:rsidDel="00000000" w:rsidP="00000000" w:rsidRDefault="00000000" w:rsidRPr="00000000" w14:paraId="0000002D">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the fountain of mercy wash away the sins </w:t>
      </w:r>
      <w:r w:rsidDel="00000000" w:rsidR="00000000" w:rsidRPr="00000000">
        <w:rPr>
          <w:rFonts w:ascii="Times New Roman" w:cs="Times New Roman" w:eastAsia="Times New Roman" w:hAnsi="Times New Roman"/>
          <w:sz w:val="24"/>
          <w:szCs w:val="24"/>
          <w:rtl w:val="0"/>
        </w:rPr>
        <w:t xml:space="preserve">of king</w:t>
      </w:r>
      <w:r w:rsidDel="00000000" w:rsidR="00000000" w:rsidRPr="00000000">
        <w:rPr>
          <w:rFonts w:ascii="Times New Roman" w:cs="Times New Roman" w:eastAsia="Times New Roman" w:hAnsi="Times New Roman"/>
          <w:sz w:val="24"/>
          <w:szCs w:val="24"/>
          <w:rtl w:val="0"/>
        </w:rPr>
        <w:t xml:space="preserve"> and abbot.</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tl w:val="0"/>
        </w:rPr>
      </w:r>
    </w:p>
    <w:p w:rsidR="00000000" w:rsidDel="00000000" w:rsidP="00000000" w:rsidRDefault="00000000" w:rsidRPr="00000000" w14:paraId="0000002E">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 with establishing the Merovingian and Carolingian links to the abbey, Suger made it a central point to provide evidence of the close ties between the Capetian royal family and the act of rebuilding of the abbey church. In the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he lists many instances of Louis VII actively participating in the progression of work and describes him as being greatly moved by the beauty of the whole place. He details a procession that took place before laying the first stones of what would be the reconstructed nave. The king himself took part in the ceremony, and Suger recounts the serious and reverent way that Louis ‘descended into the excavations and laid his stone with his own hands.’</w:t>
      </w:r>
      <w:r w:rsidDel="00000000" w:rsidR="00000000" w:rsidRPr="00000000">
        <w:rPr>
          <w:rFonts w:ascii="Times New Roman" w:cs="Times New Roman" w:eastAsia="Times New Roman" w:hAnsi="Times New Roman"/>
          <w:b w:val="1"/>
          <w:sz w:val="24"/>
          <w:szCs w:val="24"/>
          <w:vertAlign w:val="superscript"/>
        </w:rPr>
        <w:footnoteReference w:customMarkFollows="0" w:id="27"/>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When the church was ready for consecration Suger writes that a date was set only ‘after his royal majesty, the most serene King Louis of the French, who ardently desired to look upon his protectors the Holy Martyrs, graciously consented.’</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 anticipation of the great crowds that would flood the nave to view the relics that been laid out during the procession, Suger recounts, ‘we humbly asked the glorious and most humble King Louis of the French to have his magnates and nobles keep the crowd back from the procession, and he answered even more humbly that he himself would be happy to do it along with his own retainers.’</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0">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abbot then takes the liberty of describing the king’s pleasure in listening to the choir: ‘These glorious and admirable men were so piously celebrating the wedding of the eternal Bridegroom that it seemed to the king, as well as to the nobility standing nearby, that they were seeing a choir more celestial than terrestrial, a ceremony more divine than human.’</w:t>
      </w:r>
      <w:r w:rsidDel="00000000" w:rsidR="00000000" w:rsidRPr="00000000">
        <w:rPr>
          <w:rFonts w:ascii="Times New Roman" w:cs="Times New Roman" w:eastAsia="Times New Roman" w:hAnsi="Times New Roman"/>
          <w:b w:val="1"/>
          <w:sz w:val="24"/>
          <w:szCs w:val="24"/>
          <w:vertAlign w:val="superscript"/>
        </w:rPr>
        <w:footnoteReference w:customMarkFollows="0" w:id="30"/>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He does not fail to mention that when it came time to place the holy relics in their final resting place, everyone including the bishops and the king prostrated themselves before, ‘everyone present looked into the venerable shrines built by King Dagobert that contained the most holy and beloved-to-God bodies of the Saints.’ Finally, the king is presented as the leader of the procession while three important archbishops stand by.</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‘Thus, the Lord King wedged himself into the middle of them, took the silver reliquary of our special patron from the hands of the bishops, that is from the hands of the Archbishops of Reims, Sens, Chartres and others, and went forth devoutly and nobly leading the way.’</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historians have speculated about Suger’s motivations for his life’s greatest endeavor, and have argued about his purpose in writing such a detailed account of this work. In Erwin Panofsky’s famous introduction to his translations of Suger’s texts, he is the first to suggest that the abbot’s inspiration was rooted in the neo-Platonic ideas of Pseudo-Dionysius that were associated with the abbey.</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Another art historian, Otto von Simson, later wrote of the architectural significance of Saint-Denis, whose innovative style, he agreed, owed at least some level of inspiration to Dionysian theology. He also explores the origins of the architectural elements that came to be representative of the Gothic style, such as high pointed arches, intersecting ribbed vaults supported by columns, and stained glass windows. According to Simson, these elements were not exactly new, but derived from designs that could be found in existing Romanesque churches, mainly in Normandy and Burgundy. The most innovative and astounding thing about Suger’s plan was that for the first time these features were imagined and drawn together with such elegance, as one harmonious unit.</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2">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Saint-Denis, the Gothic style came to be strongly associated with the Capetian monarchy and its territories.</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William C. Clark has written about several architectural features in the church, which he believes were deliberate appropriations of Merovingian and Carolingian building elements. The concept of a national history of France that continued from the Merovingian and Carolingian kings to the Capetian royal house emerged in the twelfth century. Abbot Suger has long been recognized as a principal promoter of this idea, and his ecclesiastical activities, which further linked the monarchy with the saint most revered in France, undoubtedly helped to increase the power and prestige of the kingdom.</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In Saint-Denis, there was a merging of French vernacular church design with Classical ideas of harmony and unity in architecture. The new aesthetic that drew on various French associations of royalty, while also supporting theological ideas of a divinely ordered universe, was very much aligned to the interests of the Capetian monarchy and its promotion of the concept of royal sanctity. In all of his writings about the much glorified church, Suger expresses a deep reverence for the past, while also looking forward to the future. In writing about the church’s historic connections to saints and kings, the miraculous events, and the participation of the king, bishops, and archbishops, he merges the temporal and spiritual powers within one artistic vision, providing credibility to the reconstructed church and to the Capetian monarchy.</w:t>
      </w:r>
    </w:p>
    <w:p w:rsidR="00000000" w:rsidDel="00000000" w:rsidP="00000000" w:rsidRDefault="00000000" w:rsidRPr="00000000" w14:paraId="00000033">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pStyle w:val="Title"/>
        <w:spacing w:line="480" w:lineRule="auto"/>
        <w:rPr>
          <w:rFonts w:ascii="Times New Roman" w:cs="Times New Roman" w:eastAsia="Times New Roman" w:hAnsi="Times New Roman"/>
          <w:sz w:val="50"/>
          <w:szCs w:val="50"/>
        </w:rPr>
      </w:pPr>
      <w:bookmarkStart w:colFirst="0" w:colLast="0" w:name="_si17ha7hndb4" w:id="1"/>
      <w:bookmarkEnd w:id="1"/>
      <w:r w:rsidDel="00000000" w:rsidR="00000000" w:rsidRPr="00000000">
        <w:br w:type="page"/>
      </w:r>
      <w:r w:rsidDel="00000000" w:rsidR="00000000" w:rsidRPr="00000000">
        <w:rPr>
          <w:rtl w:val="0"/>
        </w:rPr>
      </w:r>
    </w:p>
    <w:p w:rsidR="00000000" w:rsidDel="00000000" w:rsidP="00000000" w:rsidRDefault="00000000" w:rsidRPr="00000000" w14:paraId="00000036">
      <w:pPr>
        <w:pStyle w:val="Title"/>
        <w:spacing w:line="480" w:lineRule="auto"/>
        <w:rPr>
          <w:rFonts w:ascii="Times New Roman" w:cs="Times New Roman" w:eastAsia="Times New Roman" w:hAnsi="Times New Roman"/>
          <w:b w:val="1"/>
          <w:sz w:val="24"/>
          <w:szCs w:val="24"/>
        </w:rPr>
      </w:pPr>
      <w:bookmarkStart w:colFirst="0" w:colLast="0" w:name="_l9jfkp8bnx6b" w:id="2"/>
      <w:bookmarkEnd w:id="2"/>
      <w:r w:rsidDel="00000000" w:rsidR="00000000" w:rsidRPr="00000000">
        <w:rPr>
          <w:rFonts w:ascii="Times New Roman" w:cs="Times New Roman" w:eastAsia="Times New Roman" w:hAnsi="Times New Roman"/>
          <w:sz w:val="50"/>
          <w:szCs w:val="50"/>
          <w:rtl w:val="0"/>
        </w:rPr>
        <w:t xml:space="preserve">Bibliography</w:t>
      </w:r>
      <w:r w:rsidDel="00000000" w:rsidR="00000000" w:rsidRPr="00000000">
        <w:rPr>
          <w:rtl w:val="0"/>
        </w:rPr>
      </w:r>
    </w:p>
    <w:p w:rsidR="00000000" w:rsidDel="00000000" w:rsidP="00000000" w:rsidRDefault="00000000" w:rsidRPr="00000000" w14:paraId="00000037">
      <w:pPr>
        <w:pStyle w:val="Heading1"/>
        <w:spacing w:line="480" w:lineRule="auto"/>
        <w:rPr>
          <w:rFonts w:ascii="Times New Roman" w:cs="Times New Roman" w:eastAsia="Times New Roman" w:hAnsi="Times New Roman"/>
          <w:b w:val="1"/>
          <w:sz w:val="24"/>
          <w:szCs w:val="24"/>
        </w:rPr>
      </w:pPr>
      <w:bookmarkStart w:colFirst="0" w:colLast="0" w:name="_5zbr9zfgfwa" w:id="3"/>
      <w:bookmarkEnd w:id="3"/>
      <w:r w:rsidDel="00000000" w:rsidR="00000000" w:rsidRPr="00000000">
        <w:rPr>
          <w:rFonts w:ascii="Times New Roman" w:cs="Times New Roman" w:eastAsia="Times New Roman" w:hAnsi="Times New Roman"/>
          <w:sz w:val="38"/>
          <w:szCs w:val="38"/>
          <w:rtl w:val="0"/>
        </w:rPr>
        <w:t xml:space="preserve">Primary Sources</w:t>
      </w:r>
      <w:r w:rsidDel="00000000" w:rsidR="00000000" w:rsidRPr="00000000">
        <w:rPr>
          <w:rtl w:val="0"/>
        </w:rPr>
      </w:r>
    </w:p>
    <w:p w:rsidR="00000000" w:rsidDel="00000000" w:rsidP="00000000" w:rsidRDefault="00000000" w:rsidRPr="00000000" w14:paraId="00000038">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Abbot Suger, ed./trans. by Richard C. Cusimano and Eric Whitmore, </w:t>
      </w:r>
      <w:r w:rsidDel="00000000" w:rsidR="00000000" w:rsidRPr="00000000">
        <w:rPr>
          <w:rFonts w:ascii="Times New Roman" w:cs="Times New Roman" w:eastAsia="Times New Roman" w:hAnsi="Times New Roman"/>
          <w:i w:val="1"/>
          <w:sz w:val="24"/>
          <w:szCs w:val="24"/>
          <w:rtl w:val="0"/>
        </w:rPr>
        <w:t xml:space="preserve">The Book on the Consecration of the Church of Saint-Denis</w:t>
      </w:r>
      <w:r w:rsidDel="00000000" w:rsidR="00000000" w:rsidRPr="00000000">
        <w:rPr>
          <w:rFonts w:ascii="Times New Roman" w:cs="Times New Roman" w:eastAsia="Times New Roman" w:hAnsi="Times New Roman"/>
          <w:sz w:val="24"/>
          <w:szCs w:val="24"/>
          <w:rtl w:val="0"/>
        </w:rPr>
        <w:t xml:space="preserve"> (Washington, D.C: Catholic University of America Press, 2018), pp. 33-60</w:t>
      </w: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Abbot Suger, ed./trans. by Richard C. Cusimano and Eric Whitmore, </w:t>
      </w:r>
      <w:r w:rsidDel="00000000" w:rsidR="00000000" w:rsidRPr="00000000">
        <w:rPr>
          <w:rFonts w:ascii="Times New Roman" w:cs="Times New Roman" w:eastAsia="Times New Roman" w:hAnsi="Times New Roman"/>
          <w:i w:val="1"/>
          <w:sz w:val="24"/>
          <w:szCs w:val="24"/>
          <w:rtl w:val="0"/>
        </w:rPr>
        <w:t xml:space="preserve">The Book of Abbot Suger of Saint-Denis: His Accomplishments during His Administration</w:t>
      </w:r>
      <w:r w:rsidDel="00000000" w:rsidR="00000000" w:rsidRPr="00000000">
        <w:rPr>
          <w:rFonts w:ascii="Times New Roman" w:cs="Times New Roman" w:eastAsia="Times New Roman" w:hAnsi="Times New Roman"/>
          <w:sz w:val="24"/>
          <w:szCs w:val="24"/>
          <w:rtl w:val="0"/>
        </w:rPr>
        <w:t xml:space="preserve"> (Washington, D.C: Catholic University of America Press, 2018), pp. 66-116</w:t>
      </w:r>
    </w:p>
    <w:p w:rsidR="00000000" w:rsidDel="00000000" w:rsidP="00000000" w:rsidRDefault="00000000" w:rsidRPr="00000000" w14:paraId="0000003B">
      <w:pPr>
        <w:pStyle w:val="Heading1"/>
        <w:spacing w:line="480" w:lineRule="auto"/>
        <w:rPr>
          <w:rFonts w:ascii="Times New Roman" w:cs="Times New Roman" w:eastAsia="Times New Roman" w:hAnsi="Times New Roman"/>
        </w:rPr>
      </w:pPr>
      <w:bookmarkStart w:colFirst="0" w:colLast="0" w:name="_gdatlh947gza" w:id="4"/>
      <w:bookmarkEnd w:id="4"/>
      <w:r w:rsidDel="00000000" w:rsidR="00000000" w:rsidRPr="00000000">
        <w:rPr>
          <w:rFonts w:ascii="Times New Roman" w:cs="Times New Roman" w:eastAsia="Times New Roman" w:hAnsi="Times New Roman"/>
          <w:rtl w:val="0"/>
        </w:rPr>
        <w:t xml:space="preserve">Secondary Sources</w:t>
      </w:r>
    </w:p>
    <w:p w:rsidR="00000000" w:rsidDel="00000000" w:rsidP="00000000" w:rsidRDefault="00000000" w:rsidRPr="00000000" w14:paraId="0000003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Crosby, Sumner McKnight, et al, </w:t>
      </w:r>
      <w:r w:rsidDel="00000000" w:rsidR="00000000" w:rsidRPr="00000000">
        <w:rPr>
          <w:rFonts w:ascii="Times New Roman" w:cs="Times New Roman" w:eastAsia="Times New Roman" w:hAnsi="Times New Roman"/>
          <w:i w:val="1"/>
          <w:sz w:val="24"/>
          <w:szCs w:val="24"/>
          <w:rtl w:val="0"/>
        </w:rPr>
        <w:t xml:space="preserve">The Royal Abbey of Saint–Denis: In the Time of Abbot Suger (1122–1151)</w:t>
      </w:r>
      <w:r w:rsidDel="00000000" w:rsidR="00000000" w:rsidRPr="00000000">
        <w:rPr>
          <w:rFonts w:ascii="Times New Roman" w:cs="Times New Roman" w:eastAsia="Times New Roman" w:hAnsi="Times New Roman"/>
          <w:sz w:val="24"/>
          <w:szCs w:val="24"/>
          <w:rtl w:val="0"/>
        </w:rPr>
        <w:t xml:space="preserve"> (New York: Metropolitan Museum of Art, 1981)</w:t>
      </w:r>
    </w:p>
    <w:p w:rsidR="00000000" w:rsidDel="00000000" w:rsidP="00000000" w:rsidRDefault="00000000" w:rsidRPr="00000000" w14:paraId="0000003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480" w:lineRule="auto"/>
        <w:rPr>
          <w:rFonts w:ascii="Times New Roman" w:cs="Times New Roman" w:eastAsia="Times New Roman" w:hAnsi="Times New Roman"/>
          <w:sz w:val="24"/>
          <w:szCs w:val="24"/>
          <w:shd w:fill="d9ead3" w:val="clear"/>
        </w:rPr>
      </w:pPr>
      <w:r w:rsidDel="00000000" w:rsidR="00000000" w:rsidRPr="00000000">
        <w:rPr>
          <w:rFonts w:ascii="Times New Roman" w:cs="Times New Roman" w:eastAsia="Times New Roman" w:hAnsi="Times New Roman"/>
          <w:sz w:val="24"/>
          <w:szCs w:val="24"/>
          <w:rtl w:val="0"/>
        </w:rPr>
        <w:t xml:space="preserve">Clark, William W. ‘“The Recollection of the Past Is the Promise of the Future.’ Continuity and Contextuality: Saint-Denis, Merovingians, Capetians, and Paris,” in </w:t>
      </w:r>
      <w:r w:rsidDel="00000000" w:rsidR="00000000" w:rsidRPr="00000000">
        <w:rPr>
          <w:rFonts w:ascii="Times New Roman" w:cs="Times New Roman" w:eastAsia="Times New Roman" w:hAnsi="Times New Roman"/>
          <w:i w:val="1"/>
          <w:sz w:val="24"/>
          <w:szCs w:val="24"/>
          <w:rtl w:val="0"/>
        </w:rPr>
        <w:t xml:space="preserve">Artistic Integration in Gothic Buildings</w:t>
      </w:r>
      <w:r w:rsidDel="00000000" w:rsidR="00000000" w:rsidRPr="00000000">
        <w:rPr>
          <w:rFonts w:ascii="Times New Roman" w:cs="Times New Roman" w:eastAsia="Times New Roman" w:hAnsi="Times New Roman"/>
          <w:sz w:val="24"/>
          <w:szCs w:val="24"/>
          <w:rtl w:val="0"/>
        </w:rPr>
        <w:t xml:space="preserve">, eds. Virginia Chieffo Raguin, Kathryn Brush, Peter Draper (Toronto: University of Toronto, 1995), pp. 92–113</w:t>
      </w:r>
      <w:r w:rsidDel="00000000" w:rsidR="00000000" w:rsidRPr="00000000">
        <w:rPr>
          <w:rtl w:val="0"/>
        </w:rPr>
      </w:r>
    </w:p>
    <w:p w:rsidR="00000000" w:rsidDel="00000000" w:rsidP="00000000" w:rsidRDefault="00000000" w:rsidRPr="00000000" w14:paraId="0000004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Clark, William C. “Context, Continuity, and the Creation of National Memory in Paris, 1130-1160: A Critical Commentary,” </w:t>
      </w:r>
      <w:r w:rsidDel="00000000" w:rsidR="00000000" w:rsidRPr="00000000">
        <w:rPr>
          <w:rFonts w:ascii="Times New Roman" w:cs="Times New Roman" w:eastAsia="Times New Roman" w:hAnsi="Times New Roman"/>
          <w:i w:val="1"/>
          <w:sz w:val="24"/>
          <w:szCs w:val="24"/>
          <w:rtl w:val="0"/>
        </w:rPr>
        <w:t xml:space="preserve">Gesta</w:t>
      </w:r>
      <w:r w:rsidDel="00000000" w:rsidR="00000000" w:rsidRPr="00000000">
        <w:rPr>
          <w:rFonts w:ascii="Times New Roman" w:cs="Times New Roman" w:eastAsia="Times New Roman" w:hAnsi="Times New Roman"/>
          <w:sz w:val="24"/>
          <w:szCs w:val="24"/>
          <w:rtl w:val="0"/>
        </w:rPr>
        <w:t xml:space="preserve">, 45/2 (2006): 161–175</w:t>
      </w:r>
    </w:p>
    <w:p w:rsidR="00000000" w:rsidDel="00000000" w:rsidP="00000000" w:rsidRDefault="00000000" w:rsidRPr="00000000" w14:paraId="0000004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480" w:lineRule="auto"/>
        <w:rPr>
          <w:rFonts w:ascii="Times New Roman" w:cs="Times New Roman" w:eastAsia="Times New Roman" w:hAnsi="Times New Roman"/>
          <w:sz w:val="24"/>
          <w:szCs w:val="24"/>
          <w:shd w:fill="d9ead3" w:val="clear"/>
        </w:rPr>
      </w:pPr>
      <w:r w:rsidDel="00000000" w:rsidR="00000000" w:rsidRPr="00000000">
        <w:rPr>
          <w:rFonts w:ascii="Times New Roman" w:cs="Times New Roman" w:eastAsia="Times New Roman" w:hAnsi="Times New Roman"/>
          <w:sz w:val="24"/>
          <w:szCs w:val="24"/>
          <w:rtl w:val="0"/>
        </w:rPr>
        <w:t xml:space="preserve">Cusimano, Richard C. and Eric Whitmore, </w:t>
      </w:r>
      <w:r w:rsidDel="00000000" w:rsidR="00000000" w:rsidRPr="00000000">
        <w:rPr>
          <w:rFonts w:ascii="Times New Roman" w:cs="Times New Roman" w:eastAsia="Times New Roman" w:hAnsi="Times New Roman"/>
          <w:i w:val="1"/>
          <w:sz w:val="24"/>
          <w:szCs w:val="24"/>
          <w:rtl w:val="0"/>
        </w:rPr>
        <w:t xml:space="preserve">Selected Works of Abbot Suger of Saint–Denis </w:t>
      </w:r>
      <w:r w:rsidDel="00000000" w:rsidR="00000000" w:rsidRPr="00000000">
        <w:rPr>
          <w:rFonts w:ascii="Times New Roman" w:cs="Times New Roman" w:eastAsia="Times New Roman" w:hAnsi="Times New Roman"/>
          <w:sz w:val="24"/>
          <w:szCs w:val="24"/>
          <w:rtl w:val="0"/>
        </w:rPr>
        <w:t xml:space="preserve">(Washington D.C. Catholic University of America Press, 2018)</w:t>
      </w:r>
      <w:r w:rsidDel="00000000" w:rsidR="00000000" w:rsidRPr="00000000">
        <w:rPr>
          <w:rtl w:val="0"/>
        </w:rPr>
      </w:r>
    </w:p>
    <w:p w:rsidR="00000000" w:rsidDel="00000000" w:rsidP="00000000" w:rsidRDefault="00000000" w:rsidRPr="00000000" w14:paraId="0000004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Norton, Christopher. “Bernard, Suger, and Henry I's Crown Jewels,” </w:t>
      </w:r>
      <w:r w:rsidDel="00000000" w:rsidR="00000000" w:rsidRPr="00000000">
        <w:rPr>
          <w:rFonts w:ascii="Times New Roman" w:cs="Times New Roman" w:eastAsia="Times New Roman" w:hAnsi="Times New Roman"/>
          <w:i w:val="1"/>
          <w:sz w:val="24"/>
          <w:szCs w:val="24"/>
          <w:rtl w:val="0"/>
        </w:rPr>
        <w:t xml:space="preserve">Gesta</w:t>
      </w:r>
      <w:r w:rsidDel="00000000" w:rsidR="00000000" w:rsidRPr="00000000">
        <w:rPr>
          <w:rFonts w:ascii="Times New Roman" w:cs="Times New Roman" w:eastAsia="Times New Roman" w:hAnsi="Times New Roman"/>
          <w:sz w:val="24"/>
          <w:szCs w:val="24"/>
          <w:rtl w:val="0"/>
        </w:rPr>
        <w:t xml:space="preserve">, 45/1 (2006): pp. 1–14</w:t>
      </w:r>
    </w:p>
    <w:p w:rsidR="00000000" w:rsidDel="00000000" w:rsidP="00000000" w:rsidRDefault="00000000" w:rsidRPr="00000000" w14:paraId="0000004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Panofsky, Erwin, </w:t>
      </w:r>
      <w:r w:rsidDel="00000000" w:rsidR="00000000" w:rsidRPr="00000000">
        <w:rPr>
          <w:rFonts w:ascii="Times New Roman" w:cs="Times New Roman" w:eastAsia="Times New Roman" w:hAnsi="Times New Roman"/>
          <w:i w:val="1"/>
          <w:sz w:val="24"/>
          <w:szCs w:val="24"/>
          <w:rtl w:val="0"/>
        </w:rPr>
        <w:t xml:space="preserve">Abbot Suger on the Abbey Church of St.-Denis and its Art Treasures</w:t>
      </w:r>
      <w:r w:rsidDel="00000000" w:rsidR="00000000" w:rsidRPr="00000000">
        <w:rPr>
          <w:rFonts w:ascii="Times New Roman" w:cs="Times New Roman" w:eastAsia="Times New Roman" w:hAnsi="Times New Roman"/>
          <w:sz w:val="24"/>
          <w:szCs w:val="24"/>
          <w:rtl w:val="0"/>
        </w:rPr>
        <w:t xml:space="preserve"> 2nd Edition (Princeton: Princeton University Press, 1979)</w:t>
      </w:r>
    </w:p>
    <w:p w:rsidR="00000000" w:rsidDel="00000000" w:rsidP="00000000" w:rsidRDefault="00000000" w:rsidRPr="00000000" w14:paraId="0000004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Simson, Otto von, </w:t>
      </w:r>
      <w:r w:rsidDel="00000000" w:rsidR="00000000" w:rsidRPr="00000000">
        <w:rPr>
          <w:rFonts w:ascii="Times New Roman" w:cs="Times New Roman" w:eastAsia="Times New Roman" w:hAnsi="Times New Roman"/>
          <w:i w:val="1"/>
          <w:sz w:val="24"/>
          <w:szCs w:val="24"/>
          <w:rtl w:val="0"/>
        </w:rPr>
        <w:t xml:space="preserve">The Gothic Cathedral: Origins of Gothic Architecture and the Medieval Concept of Order</w:t>
      </w:r>
      <w:r w:rsidDel="00000000" w:rsidR="00000000" w:rsidRPr="00000000">
        <w:rPr>
          <w:rFonts w:ascii="Times New Roman" w:cs="Times New Roman" w:eastAsia="Times New Roman" w:hAnsi="Times New Roman"/>
          <w:sz w:val="24"/>
          <w:szCs w:val="24"/>
          <w:rtl w:val="0"/>
        </w:rPr>
        <w:t xml:space="preserve"> 4th edition (New York: Princeton University Press, 1988)</w:t>
      </w:r>
    </w:p>
    <w:p w:rsidR="00000000" w:rsidDel="00000000" w:rsidP="00000000" w:rsidRDefault="00000000" w:rsidRPr="00000000" w14:paraId="0000004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Spiegel, Gabrielle M. </w:t>
      </w:r>
      <w:r w:rsidDel="00000000" w:rsidR="00000000" w:rsidRPr="00000000">
        <w:rPr>
          <w:rFonts w:ascii="Times New Roman" w:cs="Times New Roman" w:eastAsia="Times New Roman" w:hAnsi="Times New Roman"/>
          <w:i w:val="1"/>
          <w:sz w:val="24"/>
          <w:szCs w:val="24"/>
          <w:rtl w:val="0"/>
        </w:rPr>
        <w:t xml:space="preserve">The Past as Text: The Theory and Practice of Medieval Historiography</w:t>
      </w:r>
      <w:r w:rsidDel="00000000" w:rsidR="00000000" w:rsidRPr="00000000">
        <w:rPr>
          <w:rFonts w:ascii="Times New Roman" w:cs="Times New Roman" w:eastAsia="Times New Roman" w:hAnsi="Times New Roman"/>
          <w:sz w:val="24"/>
          <w:szCs w:val="24"/>
          <w:rtl w:val="0"/>
        </w:rPr>
        <w:t xml:space="preserve"> (Baltimore and London: Johns Hopkins University Press,1997)</w:t>
      </w:r>
    </w:p>
    <w:p w:rsidR="00000000" w:rsidDel="00000000" w:rsidP="00000000" w:rsidRDefault="00000000" w:rsidRPr="00000000" w14:paraId="0000004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480" w:lineRule="auto"/>
        <w:ind w:left="720" w:firstLine="720"/>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Ibid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pp. 15-19.</w:t>
      </w:r>
    </w:p>
  </w:footnote>
  <w:footnote w:id="1">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Richard C. Cusimano and Eric Whitmore, </w:t>
      </w:r>
      <w:r w:rsidDel="00000000" w:rsidR="00000000" w:rsidRPr="00000000">
        <w:rPr>
          <w:rFonts w:ascii="Times New Roman" w:cs="Times New Roman" w:eastAsia="Times New Roman" w:hAnsi="Times New Roman"/>
          <w:i w:val="1"/>
          <w:sz w:val="24"/>
          <w:szCs w:val="24"/>
          <w:rtl w:val="0"/>
        </w:rPr>
        <w:t xml:space="preserve">Selected Works of Abbot Suger of Saint-Denis</w:t>
      </w:r>
      <w:r w:rsidDel="00000000" w:rsidR="00000000" w:rsidRPr="00000000">
        <w:rPr>
          <w:rFonts w:ascii="Times New Roman" w:cs="Times New Roman" w:eastAsia="Times New Roman" w:hAnsi="Times New Roman"/>
          <w:sz w:val="24"/>
          <w:szCs w:val="24"/>
          <w:rtl w:val="0"/>
        </w:rPr>
        <w:t xml:space="preserve">, (Washington, D.C: Catholic University of America Press, 2018), pp. 4-7.</w:t>
      </w:r>
    </w:p>
  </w:footnote>
  <w:footnote w:id="6">
    <w:p w:rsidR="00000000" w:rsidDel="00000000" w:rsidP="00000000" w:rsidRDefault="00000000" w:rsidRPr="00000000" w14:paraId="00000054">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Abbot Suger, ed./trans. by Richard C. Cusimano and Eric Whitmore, </w:t>
      </w:r>
      <w:r w:rsidDel="00000000" w:rsidR="00000000" w:rsidRPr="00000000">
        <w:rPr>
          <w:rFonts w:ascii="Times New Roman" w:cs="Times New Roman" w:eastAsia="Times New Roman" w:hAnsi="Times New Roman"/>
          <w:i w:val="1"/>
          <w:sz w:val="24"/>
          <w:szCs w:val="24"/>
          <w:rtl w:val="0"/>
        </w:rPr>
        <w:t xml:space="preserve">The Book of Abbot Suger of Saint-Denis: His Accomplishments during His Administration</w:t>
      </w:r>
      <w:r w:rsidDel="00000000" w:rsidR="00000000" w:rsidRPr="00000000">
        <w:rPr>
          <w:rFonts w:ascii="Times New Roman" w:cs="Times New Roman" w:eastAsia="Times New Roman" w:hAnsi="Times New Roman"/>
          <w:sz w:val="24"/>
          <w:szCs w:val="24"/>
          <w:rtl w:val="0"/>
        </w:rPr>
        <w:t xml:space="preserve"> (Washington, D.C: Catholic University of America Press, 2018), pp. 66-116.</w:t>
      </w:r>
    </w:p>
  </w:footnote>
  <w:footnote w:id="11">
    <w:p w:rsidR="00000000" w:rsidDel="00000000" w:rsidP="00000000" w:rsidRDefault="00000000" w:rsidRPr="00000000" w14:paraId="00000055">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Abbot Suger,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pp. 217-21; Spiegel, </w:t>
      </w:r>
      <w:r w:rsidDel="00000000" w:rsidR="00000000" w:rsidRPr="00000000">
        <w:rPr>
          <w:rFonts w:ascii="Times New Roman" w:cs="Times New Roman" w:eastAsia="Times New Roman" w:hAnsi="Times New Roman"/>
          <w:i w:val="1"/>
          <w:sz w:val="24"/>
          <w:szCs w:val="24"/>
          <w:rtl w:val="0"/>
        </w:rPr>
        <w:t xml:space="preserve">Past as Text</w:t>
      </w:r>
      <w:r w:rsidDel="00000000" w:rsidR="00000000" w:rsidRPr="00000000">
        <w:rPr>
          <w:rFonts w:ascii="Times New Roman" w:cs="Times New Roman" w:eastAsia="Times New Roman" w:hAnsi="Times New Roman"/>
          <w:sz w:val="24"/>
          <w:szCs w:val="24"/>
          <w:rtl w:val="0"/>
        </w:rPr>
        <w:t xml:space="preserve">, pp. 140-43.</w:t>
      </w:r>
    </w:p>
  </w:footnote>
  <w:footnote w:id="8">
    <w:p w:rsidR="00000000" w:rsidDel="00000000" w:rsidP="00000000" w:rsidRDefault="00000000" w:rsidRPr="00000000" w14:paraId="00000056">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Gabrielle M. Spiegel, </w:t>
      </w:r>
      <w:r w:rsidDel="00000000" w:rsidR="00000000" w:rsidRPr="00000000">
        <w:rPr>
          <w:rFonts w:ascii="Times New Roman" w:cs="Times New Roman" w:eastAsia="Times New Roman" w:hAnsi="Times New Roman"/>
          <w:i w:val="1"/>
          <w:sz w:val="24"/>
          <w:szCs w:val="24"/>
          <w:rtl w:val="0"/>
        </w:rPr>
        <w:t xml:space="preserve">The Past as Text: The Theory and Practice of Medieval Historiography</w:t>
      </w:r>
      <w:r w:rsidDel="00000000" w:rsidR="00000000" w:rsidRPr="00000000">
        <w:rPr>
          <w:rFonts w:ascii="Times New Roman" w:cs="Times New Roman" w:eastAsia="Times New Roman" w:hAnsi="Times New Roman"/>
          <w:sz w:val="24"/>
          <w:szCs w:val="24"/>
          <w:rtl w:val="0"/>
        </w:rPr>
        <w:t xml:space="preserve"> (Baltimore and London: Johns Hopkins University Press,1997), </w:t>
      </w:r>
      <w:r w:rsidDel="00000000" w:rsidR="00000000" w:rsidRPr="00000000">
        <w:rPr>
          <w:rFonts w:ascii="Times New Roman" w:cs="Times New Roman" w:eastAsia="Times New Roman" w:hAnsi="Times New Roman"/>
          <w:sz w:val="24"/>
          <w:szCs w:val="24"/>
          <w:rtl w:val="0"/>
        </w:rPr>
        <w:t xml:space="preserve">pp. 139-40.</w:t>
      </w:r>
    </w:p>
  </w:footnote>
  <w:footnote w:id="10">
    <w:p w:rsidR="00000000" w:rsidDel="00000000" w:rsidP="00000000" w:rsidRDefault="00000000" w:rsidRPr="00000000" w14:paraId="00000057">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Spiegel, </w:t>
      </w:r>
      <w:r w:rsidDel="00000000" w:rsidR="00000000" w:rsidRPr="00000000">
        <w:rPr>
          <w:rFonts w:ascii="Times New Roman" w:cs="Times New Roman" w:eastAsia="Times New Roman" w:hAnsi="Times New Roman"/>
          <w:i w:val="1"/>
          <w:sz w:val="24"/>
          <w:szCs w:val="24"/>
          <w:rtl w:val="0"/>
        </w:rPr>
        <w:t xml:space="preserve">Past as Text</w:t>
      </w:r>
      <w:r w:rsidDel="00000000" w:rsidR="00000000" w:rsidRPr="00000000">
        <w:rPr>
          <w:rFonts w:ascii="Times New Roman" w:cs="Times New Roman" w:eastAsia="Times New Roman" w:hAnsi="Times New Roman"/>
          <w:sz w:val="24"/>
          <w:szCs w:val="24"/>
          <w:rtl w:val="0"/>
        </w:rPr>
        <w:t xml:space="preserve">, pp. 144-145.</w:t>
      </w:r>
    </w:p>
  </w:footnote>
  <w:footnote w:id="21">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Abbot Suger,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p. 103.</w:t>
      </w:r>
      <w:r w:rsidDel="00000000" w:rsidR="00000000" w:rsidRPr="00000000">
        <w:rPr>
          <w:rtl w:val="0"/>
        </w:rPr>
      </w:r>
    </w:p>
  </w:footnote>
  <w:footnote w:id="18">
    <w:p w:rsidR="00000000" w:rsidDel="00000000" w:rsidP="00000000" w:rsidRDefault="00000000" w:rsidRPr="00000000" w14:paraId="00000059">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Cusimano and E. Whitmore, </w:t>
      </w:r>
      <w:r w:rsidDel="00000000" w:rsidR="00000000" w:rsidRPr="00000000">
        <w:rPr>
          <w:rFonts w:ascii="Times New Roman" w:cs="Times New Roman" w:eastAsia="Times New Roman" w:hAnsi="Times New Roman"/>
          <w:i w:val="1"/>
          <w:sz w:val="24"/>
          <w:szCs w:val="24"/>
          <w:rtl w:val="0"/>
        </w:rPr>
        <w:t xml:space="preserve">Selected Works of Abbot Suger, </w:t>
      </w:r>
      <w:r w:rsidDel="00000000" w:rsidR="00000000" w:rsidRPr="00000000">
        <w:rPr>
          <w:rFonts w:ascii="Times New Roman" w:cs="Times New Roman" w:eastAsia="Times New Roman" w:hAnsi="Times New Roman"/>
          <w:sz w:val="24"/>
          <w:szCs w:val="24"/>
          <w:rtl w:val="0"/>
        </w:rPr>
        <w:t xml:space="preserve">p. 63.</w:t>
      </w:r>
    </w:p>
  </w:footnote>
  <w:footnote w:id="26">
    <w:p w:rsidR="00000000" w:rsidDel="00000000" w:rsidP="00000000" w:rsidRDefault="00000000" w:rsidRPr="00000000" w14:paraId="0000005A">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 105.</w:t>
      </w:r>
    </w:p>
  </w:footnote>
  <w:footnote w:id="9">
    <w:p w:rsidR="00000000" w:rsidDel="00000000" w:rsidP="00000000" w:rsidRDefault="00000000" w:rsidRPr="00000000" w14:paraId="0000005B">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Panofsky, pp. 18-25. Spiegel, </w:t>
      </w:r>
      <w:r w:rsidDel="00000000" w:rsidR="00000000" w:rsidRPr="00000000">
        <w:rPr>
          <w:rFonts w:ascii="Times New Roman" w:cs="Times New Roman" w:eastAsia="Times New Roman" w:hAnsi="Times New Roman"/>
          <w:i w:val="1"/>
          <w:sz w:val="24"/>
          <w:szCs w:val="24"/>
          <w:rtl w:val="0"/>
        </w:rPr>
        <w:t xml:space="preserve">Past as Text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pp. 139-42; Cusimano and Whitmore, </w:t>
      </w:r>
      <w:r w:rsidDel="00000000" w:rsidR="00000000" w:rsidRPr="00000000">
        <w:rPr>
          <w:rFonts w:ascii="Times New Roman" w:cs="Times New Roman" w:eastAsia="Times New Roman" w:hAnsi="Times New Roman"/>
          <w:i w:val="1"/>
          <w:sz w:val="24"/>
          <w:szCs w:val="24"/>
          <w:rtl w:val="0"/>
        </w:rPr>
        <w:t xml:space="preserve">Selected Works of Abbot Suger, </w:t>
      </w:r>
      <w:r w:rsidDel="00000000" w:rsidR="00000000" w:rsidRPr="00000000">
        <w:rPr>
          <w:rFonts w:ascii="Times New Roman" w:cs="Times New Roman" w:eastAsia="Times New Roman" w:hAnsi="Times New Roman"/>
          <w:sz w:val="24"/>
          <w:szCs w:val="24"/>
          <w:rtl w:val="0"/>
        </w:rPr>
        <w:t xml:space="preserve">pp. 218-20.</w:t>
      </w:r>
    </w:p>
  </w:footnote>
  <w:footnote w:id="22">
    <w:p w:rsidR="00000000" w:rsidDel="00000000" w:rsidP="00000000" w:rsidRDefault="00000000" w:rsidRPr="00000000" w14:paraId="0000005C">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Christopher Norton, ‘Bernard, Suger, and Henry I’s Crown Jewels’, </w:t>
      </w:r>
      <w:r w:rsidDel="00000000" w:rsidR="00000000" w:rsidRPr="00000000">
        <w:rPr>
          <w:rFonts w:ascii="Times New Roman" w:cs="Times New Roman" w:eastAsia="Times New Roman" w:hAnsi="Times New Roman"/>
          <w:i w:val="1"/>
          <w:sz w:val="24"/>
          <w:szCs w:val="24"/>
          <w:rtl w:val="0"/>
        </w:rPr>
        <w:t xml:space="preserve">The University of Chicago Press</w:t>
      </w:r>
      <w:r w:rsidDel="00000000" w:rsidR="00000000" w:rsidRPr="00000000">
        <w:rPr>
          <w:rFonts w:ascii="Times New Roman" w:cs="Times New Roman" w:eastAsia="Times New Roman" w:hAnsi="Times New Roman"/>
          <w:sz w:val="24"/>
          <w:szCs w:val="24"/>
          <w:rtl w:val="0"/>
        </w:rPr>
        <w:t xml:space="preserve">, 45-1, (2006), 1-14 (4-8 ).</w:t>
      </w:r>
    </w:p>
  </w:footnote>
  <w:footnote w:id="7">
    <w:p w:rsidR="00000000" w:rsidDel="00000000" w:rsidP="00000000" w:rsidRDefault="00000000" w:rsidRPr="00000000" w14:paraId="0000005D">
      <w:pPr>
        <w:spacing w:line="240" w:lineRule="auto"/>
        <w:rPr>
          <w:rFonts w:ascii="Times New Roman" w:cs="Times New Roman" w:eastAsia="Times New Roman" w:hAnsi="Times New Roman"/>
          <w:sz w:val="28"/>
          <w:szCs w:val="2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Abbot Suger,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p. 35.</w:t>
      </w:r>
      <w:r w:rsidDel="00000000" w:rsidR="00000000" w:rsidRPr="00000000">
        <w:rPr>
          <w:rtl w:val="0"/>
        </w:rPr>
      </w:r>
    </w:p>
  </w:footnote>
  <w:footnote w:id="17">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pp. 50-51.</w:t>
      </w:r>
      <w:r w:rsidDel="00000000" w:rsidR="00000000" w:rsidRPr="00000000">
        <w:rPr>
          <w:rtl w:val="0"/>
        </w:rPr>
      </w:r>
    </w:p>
  </w:footnote>
  <w:footnote w:id="19">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Abbot Suger,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pp. 38, 40.</w:t>
      </w:r>
      <w:r w:rsidDel="00000000" w:rsidR="00000000" w:rsidRPr="00000000">
        <w:rPr>
          <w:rtl w:val="0"/>
        </w:rPr>
      </w:r>
    </w:p>
  </w:footnote>
  <w:footnote w:id="20">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pp. 41-42.</w:t>
      </w:r>
      <w:r w:rsidDel="00000000" w:rsidR="00000000" w:rsidRPr="00000000">
        <w:rPr>
          <w:rtl w:val="0"/>
        </w:rPr>
      </w:r>
    </w:p>
  </w:footnote>
  <w:footnote w:id="23">
    <w:p w:rsidR="00000000" w:rsidDel="00000000" w:rsidP="00000000" w:rsidRDefault="00000000" w:rsidRPr="00000000" w14:paraId="00000061">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Abbot Suger, </w:t>
      </w:r>
      <w:r w:rsidDel="00000000" w:rsidR="00000000" w:rsidRPr="00000000">
        <w:rPr>
          <w:rFonts w:ascii="Times New Roman" w:cs="Times New Roman" w:eastAsia="Times New Roman" w:hAnsi="Times New Roman"/>
          <w:i w:val="1"/>
          <w:sz w:val="24"/>
          <w:szCs w:val="24"/>
          <w:rtl w:val="0"/>
        </w:rPr>
        <w:t xml:space="preserve">Administration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 110.</w:t>
      </w:r>
    </w:p>
  </w:footnote>
  <w:footnote w:id="24">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pp. 109-110.</w:t>
      </w:r>
      <w:r w:rsidDel="00000000" w:rsidR="00000000" w:rsidRPr="00000000">
        <w:rPr>
          <w:rtl w:val="0"/>
        </w:rPr>
      </w:r>
    </w:p>
  </w:footnote>
  <w:footnote w:id="25">
    <w:p w:rsidR="00000000" w:rsidDel="00000000" w:rsidP="00000000" w:rsidRDefault="00000000" w:rsidRPr="00000000" w14:paraId="00000063">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 110.</w:t>
      </w:r>
    </w:p>
  </w:footnote>
  <w:footnote w:id="27">
    <w:p w:rsidR="00000000" w:rsidDel="00000000" w:rsidP="00000000" w:rsidRDefault="00000000" w:rsidRPr="00000000" w14:paraId="00000064">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Abbot Suger, </w:t>
      </w:r>
      <w:r w:rsidDel="00000000" w:rsidR="00000000" w:rsidRPr="00000000">
        <w:rPr>
          <w:rFonts w:ascii="Times New Roman" w:cs="Times New Roman" w:eastAsia="Times New Roman" w:hAnsi="Times New Roman"/>
          <w:i w:val="1"/>
          <w:sz w:val="24"/>
          <w:szCs w:val="24"/>
          <w:rtl w:val="0"/>
        </w:rPr>
        <w:t xml:space="preserve">Consecration, </w:t>
      </w:r>
      <w:r w:rsidDel="00000000" w:rsidR="00000000" w:rsidRPr="00000000">
        <w:rPr>
          <w:rFonts w:ascii="Times New Roman" w:cs="Times New Roman" w:eastAsia="Times New Roman" w:hAnsi="Times New Roman"/>
          <w:sz w:val="24"/>
          <w:szCs w:val="24"/>
          <w:rtl w:val="0"/>
        </w:rPr>
        <w:t xml:space="preserve">p. 46.</w:t>
      </w:r>
    </w:p>
  </w:footnote>
  <w:footnote w:id="30">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 55.</w:t>
      </w:r>
      <w:r w:rsidDel="00000000" w:rsidR="00000000" w:rsidRPr="00000000">
        <w:rPr>
          <w:rtl w:val="0"/>
        </w:rPr>
      </w:r>
    </w:p>
  </w:footnote>
  <w:footnote w:id="31">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 57.</w:t>
      </w:r>
      <w:r w:rsidDel="00000000" w:rsidR="00000000" w:rsidRPr="00000000">
        <w:rPr>
          <w:rtl w:val="0"/>
        </w:rPr>
      </w:r>
    </w:p>
  </w:footnote>
  <w:footnote w:id="0">
    <w:p w:rsidR="00000000" w:rsidDel="00000000" w:rsidP="00000000" w:rsidRDefault="00000000" w:rsidRPr="00000000" w14:paraId="00000067">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Otto von Simson, </w:t>
      </w:r>
      <w:r w:rsidDel="00000000" w:rsidR="00000000" w:rsidRPr="00000000">
        <w:rPr>
          <w:rFonts w:ascii="Times New Roman" w:cs="Times New Roman" w:eastAsia="Times New Roman" w:hAnsi="Times New Roman"/>
          <w:i w:val="1"/>
          <w:sz w:val="24"/>
          <w:szCs w:val="24"/>
          <w:rtl w:val="0"/>
        </w:rPr>
        <w:t xml:space="preserve">The Gothic Cathedral: Origins of Gothic Architecture and the Medieval Concept of Order</w:t>
      </w:r>
      <w:r w:rsidDel="00000000" w:rsidR="00000000" w:rsidRPr="00000000">
        <w:rPr>
          <w:rFonts w:ascii="Times New Roman" w:cs="Times New Roman" w:eastAsia="Times New Roman" w:hAnsi="Times New Roman"/>
          <w:sz w:val="24"/>
          <w:szCs w:val="24"/>
          <w:rtl w:val="0"/>
        </w:rPr>
        <w:t xml:space="preserve"> 4th</w:t>
      </w:r>
      <w:r w:rsidDel="00000000" w:rsidR="00000000" w:rsidRPr="00000000">
        <w:rPr>
          <w:rFonts w:ascii="Times New Roman" w:cs="Times New Roman" w:eastAsia="Times New Roman" w:hAnsi="Times New Roman"/>
          <w:sz w:val="24"/>
          <w:szCs w:val="24"/>
          <w:rtl w:val="0"/>
        </w:rPr>
        <w:t xml:space="preserve"> edition (New York: Princeton University Press, 1988), pp. 64-66; Sumner McKnight Crosby, et al, </w:t>
      </w:r>
      <w:r w:rsidDel="00000000" w:rsidR="00000000" w:rsidRPr="00000000">
        <w:rPr>
          <w:rFonts w:ascii="Times New Roman" w:cs="Times New Roman" w:eastAsia="Times New Roman" w:hAnsi="Times New Roman"/>
          <w:i w:val="1"/>
          <w:sz w:val="24"/>
          <w:szCs w:val="24"/>
          <w:rtl w:val="0"/>
        </w:rPr>
        <w:t xml:space="preserve">The Royal Abbey of Saint–Denis: In the Time of Abbot Suger (1122–1151)</w:t>
      </w:r>
      <w:r w:rsidDel="00000000" w:rsidR="00000000" w:rsidRPr="00000000">
        <w:rPr>
          <w:rFonts w:ascii="Times New Roman" w:cs="Times New Roman" w:eastAsia="Times New Roman" w:hAnsi="Times New Roman"/>
          <w:sz w:val="24"/>
          <w:szCs w:val="24"/>
          <w:rtl w:val="0"/>
        </w:rPr>
        <w:t xml:space="preserve"> (New York: Metropolitan Museum of Art, 1981), pp.13-15.</w:t>
      </w:r>
    </w:p>
  </w:footnote>
  <w:footnote w:id="4">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Abbot Suger, ed./trans. by Richard C. Cusimano and Eric Whitmore, </w:t>
      </w:r>
      <w:r w:rsidDel="00000000" w:rsidR="00000000" w:rsidRPr="00000000">
        <w:rPr>
          <w:rFonts w:ascii="Times New Roman" w:cs="Times New Roman" w:eastAsia="Times New Roman" w:hAnsi="Times New Roman"/>
          <w:i w:val="1"/>
          <w:sz w:val="24"/>
          <w:szCs w:val="24"/>
          <w:rtl w:val="0"/>
        </w:rPr>
        <w:t xml:space="preserve">The Book on the Consecration of the Church of Saint-Denis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(Washington, D.C: Catholic University of America Press, 2018), pp. 33-60.</w:t>
      </w:r>
      <w:r w:rsidDel="00000000" w:rsidR="00000000" w:rsidRPr="00000000">
        <w:rPr>
          <w:rtl w:val="0"/>
        </w:rPr>
      </w:r>
    </w:p>
  </w:footnote>
  <w:footnote w:id="5">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Cusimano and Whitmore, </w:t>
      </w:r>
      <w:r w:rsidDel="00000000" w:rsidR="00000000" w:rsidRPr="00000000">
        <w:rPr>
          <w:rFonts w:ascii="Times New Roman" w:cs="Times New Roman" w:eastAsia="Times New Roman" w:hAnsi="Times New Roman"/>
          <w:i w:val="1"/>
          <w:sz w:val="24"/>
          <w:szCs w:val="24"/>
          <w:rtl w:val="0"/>
        </w:rPr>
        <w:t xml:space="preserve">Selected Works of Abbot Suger, </w:t>
      </w:r>
      <w:r w:rsidDel="00000000" w:rsidR="00000000" w:rsidRPr="00000000">
        <w:rPr>
          <w:rFonts w:ascii="Times New Roman" w:cs="Times New Roman" w:eastAsia="Times New Roman" w:hAnsi="Times New Roman"/>
          <w:sz w:val="24"/>
          <w:szCs w:val="24"/>
          <w:rtl w:val="0"/>
        </w:rPr>
        <w:t xml:space="preserve">pp. 17-19.</w:t>
      </w:r>
      <w:r w:rsidDel="00000000" w:rsidR="00000000" w:rsidRPr="00000000">
        <w:rPr>
          <w:rtl w:val="0"/>
        </w:rPr>
      </w:r>
    </w:p>
  </w:footnote>
  <w:footnote w:id="32">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Erwin Panofsky, </w:t>
      </w:r>
      <w:r w:rsidDel="00000000" w:rsidR="00000000" w:rsidRPr="00000000">
        <w:rPr>
          <w:rFonts w:ascii="Times New Roman" w:cs="Times New Roman" w:eastAsia="Times New Roman" w:hAnsi="Times New Roman"/>
          <w:i w:val="1"/>
          <w:sz w:val="24"/>
          <w:szCs w:val="24"/>
          <w:rtl w:val="0"/>
        </w:rPr>
        <w:t xml:space="preserve">Abbot Suger on the Abbey Church of St.-Denis and its Art Treasures</w:t>
      </w:r>
      <w:r w:rsidDel="00000000" w:rsidR="00000000" w:rsidRPr="00000000">
        <w:rPr>
          <w:rFonts w:ascii="Times New Roman" w:cs="Times New Roman" w:eastAsia="Times New Roman" w:hAnsi="Times New Roman"/>
          <w:sz w:val="24"/>
          <w:szCs w:val="24"/>
          <w:rtl w:val="0"/>
        </w:rPr>
        <w:t xml:space="preserve"> 2nd Edition (Princeton: Princeton University Press, 1979), pp. 1-37.</w:t>
      </w:r>
      <w:r w:rsidDel="00000000" w:rsidR="00000000" w:rsidRPr="00000000">
        <w:rPr>
          <w:rtl w:val="0"/>
        </w:rPr>
      </w:r>
    </w:p>
  </w:footnote>
  <w:footnote w:id="2">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Cusimano and Whitmore, </w:t>
      </w:r>
      <w:r w:rsidDel="00000000" w:rsidR="00000000" w:rsidRPr="00000000">
        <w:rPr>
          <w:rFonts w:ascii="Times New Roman" w:cs="Times New Roman" w:eastAsia="Times New Roman" w:hAnsi="Times New Roman"/>
          <w:i w:val="1"/>
          <w:sz w:val="24"/>
          <w:szCs w:val="24"/>
          <w:rtl w:val="0"/>
        </w:rPr>
        <w:t xml:space="preserve">Selected Works of Abbot Suger, </w:t>
      </w:r>
      <w:r w:rsidDel="00000000" w:rsidR="00000000" w:rsidRPr="00000000">
        <w:rPr>
          <w:rFonts w:ascii="Times New Roman" w:cs="Times New Roman" w:eastAsia="Times New Roman" w:hAnsi="Times New Roman"/>
          <w:sz w:val="24"/>
          <w:szCs w:val="24"/>
          <w:rtl w:val="0"/>
        </w:rPr>
        <w:t xml:space="preserve">pp. 10-14.</w:t>
      </w:r>
      <w:r w:rsidDel="00000000" w:rsidR="00000000" w:rsidRPr="00000000">
        <w:rPr>
          <w:rtl w:val="0"/>
        </w:rPr>
      </w:r>
    </w:p>
  </w:footnote>
  <w:footnote w:id="12">
    <w:p w:rsidR="00000000" w:rsidDel="00000000" w:rsidP="00000000" w:rsidRDefault="00000000" w:rsidRPr="00000000" w14:paraId="0000006C">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pp. 35-36.</w:t>
      </w:r>
    </w:p>
  </w:footnote>
  <w:footnote w:id="13">
    <w:p w:rsidR="00000000" w:rsidDel="00000000" w:rsidP="00000000" w:rsidRDefault="00000000" w:rsidRPr="00000000" w14:paraId="0000006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pp. 36-37.</w:t>
      </w:r>
      <w:r w:rsidDel="00000000" w:rsidR="00000000" w:rsidRPr="00000000">
        <w:rPr>
          <w:rtl w:val="0"/>
        </w:rPr>
      </w:r>
    </w:p>
  </w:footnote>
  <w:footnote w:id="14">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Abbot Suger, </w:t>
      </w:r>
      <w:r w:rsidDel="00000000" w:rsidR="00000000" w:rsidRPr="00000000">
        <w:rPr>
          <w:rFonts w:ascii="Times New Roman" w:cs="Times New Roman" w:eastAsia="Times New Roman" w:hAnsi="Times New Roman"/>
          <w:i w:val="1"/>
          <w:sz w:val="24"/>
          <w:szCs w:val="24"/>
          <w:rtl w:val="0"/>
        </w:rPr>
        <w:t xml:space="preserve">Administration</w:t>
      </w:r>
      <w:r w:rsidDel="00000000" w:rsidR="00000000" w:rsidRPr="00000000">
        <w:rPr>
          <w:rFonts w:ascii="Times New Roman" w:cs="Times New Roman" w:eastAsia="Times New Roman" w:hAnsi="Times New Roman"/>
          <w:sz w:val="24"/>
          <w:szCs w:val="24"/>
          <w:rtl w:val="0"/>
        </w:rPr>
        <w:t xml:space="preserve">, p. 95.</w:t>
      </w:r>
      <w:r w:rsidDel="00000000" w:rsidR="00000000" w:rsidRPr="00000000">
        <w:rPr>
          <w:rtl w:val="0"/>
        </w:rPr>
      </w:r>
    </w:p>
  </w:footnote>
  <w:footnote w:id="15">
    <w:p w:rsidR="00000000" w:rsidDel="00000000" w:rsidP="00000000" w:rsidRDefault="00000000" w:rsidRPr="00000000" w14:paraId="000000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Abbot Suger, </w:t>
      </w:r>
      <w:r w:rsidDel="00000000" w:rsidR="00000000" w:rsidRPr="00000000">
        <w:rPr>
          <w:rFonts w:ascii="Times New Roman" w:cs="Times New Roman" w:eastAsia="Times New Roman" w:hAnsi="Times New Roman"/>
          <w:i w:val="1"/>
          <w:sz w:val="24"/>
          <w:szCs w:val="24"/>
          <w:rtl w:val="0"/>
        </w:rPr>
        <w:t xml:space="preserve">Consecration</w:t>
      </w:r>
      <w:r w:rsidDel="00000000" w:rsidR="00000000" w:rsidRPr="00000000">
        <w:rPr>
          <w:rFonts w:ascii="Times New Roman" w:cs="Times New Roman" w:eastAsia="Times New Roman" w:hAnsi="Times New Roman"/>
          <w:sz w:val="24"/>
          <w:szCs w:val="24"/>
          <w:rtl w:val="0"/>
        </w:rPr>
        <w:t xml:space="preserve">, p. 49.</w:t>
      </w:r>
      <w:r w:rsidDel="00000000" w:rsidR="00000000" w:rsidRPr="00000000">
        <w:rPr>
          <w:rtl w:val="0"/>
        </w:rPr>
      </w:r>
    </w:p>
  </w:footnote>
  <w:footnote w:id="16">
    <w:p w:rsidR="00000000" w:rsidDel="00000000" w:rsidP="00000000" w:rsidRDefault="00000000" w:rsidRPr="00000000" w14:paraId="0000007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pp. 50-51.</w:t>
      </w:r>
      <w:r w:rsidDel="00000000" w:rsidR="00000000" w:rsidRPr="00000000">
        <w:rPr>
          <w:rtl w:val="0"/>
        </w:rPr>
      </w:r>
    </w:p>
  </w:footnote>
  <w:footnote w:id="33">
    <w:p w:rsidR="00000000" w:rsidDel="00000000" w:rsidP="00000000" w:rsidRDefault="00000000" w:rsidRPr="00000000" w14:paraId="00000071">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Simson, </w:t>
      </w:r>
      <w:r w:rsidDel="00000000" w:rsidR="00000000" w:rsidRPr="00000000">
        <w:rPr>
          <w:rFonts w:ascii="Times New Roman" w:cs="Times New Roman" w:eastAsia="Times New Roman" w:hAnsi="Times New Roman"/>
          <w:i w:val="1"/>
          <w:sz w:val="24"/>
          <w:szCs w:val="24"/>
          <w:rtl w:val="0"/>
        </w:rPr>
        <w:t xml:space="preserve">The Gothic Cathedral</w:t>
      </w:r>
      <w:r w:rsidDel="00000000" w:rsidR="00000000" w:rsidRPr="00000000">
        <w:rPr>
          <w:rFonts w:ascii="Times New Roman" w:cs="Times New Roman" w:eastAsia="Times New Roman" w:hAnsi="Times New Roman"/>
          <w:sz w:val="24"/>
          <w:szCs w:val="24"/>
          <w:rtl w:val="0"/>
        </w:rPr>
        <w:t xml:space="preserve">, pp. 61-131.</w:t>
      </w:r>
    </w:p>
  </w:footnote>
  <w:footnote w:id="34">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Simson, </w:t>
      </w:r>
      <w:r w:rsidDel="00000000" w:rsidR="00000000" w:rsidRPr="00000000">
        <w:rPr>
          <w:rFonts w:ascii="Times New Roman" w:cs="Times New Roman" w:eastAsia="Times New Roman" w:hAnsi="Times New Roman"/>
          <w:i w:val="1"/>
          <w:sz w:val="24"/>
          <w:szCs w:val="24"/>
          <w:rtl w:val="0"/>
        </w:rPr>
        <w:t xml:space="preserve">The Gothic Cathedral, </w:t>
      </w:r>
      <w:r w:rsidDel="00000000" w:rsidR="00000000" w:rsidRPr="00000000">
        <w:rPr>
          <w:rFonts w:ascii="Times New Roman" w:cs="Times New Roman" w:eastAsia="Times New Roman" w:hAnsi="Times New Roman"/>
          <w:sz w:val="24"/>
          <w:szCs w:val="24"/>
          <w:rtl w:val="0"/>
        </w:rPr>
        <w:t xml:space="preserve">pp. 62-66. </w:t>
      </w:r>
      <w:r w:rsidDel="00000000" w:rsidR="00000000" w:rsidRPr="00000000">
        <w:rPr>
          <w:rtl w:val="0"/>
        </w:rPr>
      </w:r>
    </w:p>
  </w:footnote>
  <w:footnote w:id="35">
    <w:p w:rsidR="00000000" w:rsidDel="00000000" w:rsidP="00000000" w:rsidRDefault="00000000" w:rsidRPr="00000000" w14:paraId="00000073">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William C. Clark, ‘‘The Recollection of the Past Is the Promise of the Future.’ Continuity and Contextuality: Saint-Denis, Merovingians, Capetians, and Paris,’ in </w:t>
      </w:r>
      <w:r w:rsidDel="00000000" w:rsidR="00000000" w:rsidRPr="00000000">
        <w:rPr>
          <w:rFonts w:ascii="Times New Roman" w:cs="Times New Roman" w:eastAsia="Times New Roman" w:hAnsi="Times New Roman"/>
          <w:i w:val="1"/>
          <w:sz w:val="24"/>
          <w:szCs w:val="24"/>
          <w:rtl w:val="0"/>
        </w:rPr>
        <w:t xml:space="preserve">Artistic Integration in Gothic Buildings</w:t>
      </w:r>
      <w:r w:rsidDel="00000000" w:rsidR="00000000" w:rsidRPr="00000000">
        <w:rPr>
          <w:rFonts w:ascii="Times New Roman" w:cs="Times New Roman" w:eastAsia="Times New Roman" w:hAnsi="Times New Roman"/>
          <w:sz w:val="24"/>
          <w:szCs w:val="24"/>
          <w:rtl w:val="0"/>
        </w:rPr>
        <w:t xml:space="preserve">, eds. Virginia Chieffo Raguin, Kathryn Brush, Peter Draper (Toronto: University of Toronto, 1995), pp. 92–113; William C. Clark, ‘Context, Continuity, and the Creation of National Memory in Paris, 1130-1160: A Critical Commentary,’ </w:t>
      </w:r>
      <w:r w:rsidDel="00000000" w:rsidR="00000000" w:rsidRPr="00000000">
        <w:rPr>
          <w:rFonts w:ascii="Times New Roman" w:cs="Times New Roman" w:eastAsia="Times New Roman" w:hAnsi="Times New Roman"/>
          <w:i w:val="1"/>
          <w:sz w:val="24"/>
          <w:szCs w:val="24"/>
          <w:rtl w:val="0"/>
        </w:rPr>
        <w:t xml:space="preserve">Gesta</w:t>
      </w:r>
      <w:r w:rsidDel="00000000" w:rsidR="00000000" w:rsidRPr="00000000">
        <w:rPr>
          <w:rFonts w:ascii="Times New Roman" w:cs="Times New Roman" w:eastAsia="Times New Roman" w:hAnsi="Times New Roman"/>
          <w:sz w:val="24"/>
          <w:szCs w:val="24"/>
          <w:rtl w:val="0"/>
        </w:rPr>
        <w:t xml:space="preserve">, 45/2 (2006): 161–175.</w:t>
      </w:r>
    </w:p>
  </w:footnote>
  <w:footnote w:id="29">
    <w:p w:rsidR="00000000" w:rsidDel="00000000" w:rsidP="00000000" w:rsidRDefault="00000000" w:rsidRPr="00000000" w14:paraId="000000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 55.</w:t>
      </w:r>
      <w:r w:rsidDel="00000000" w:rsidR="00000000" w:rsidRPr="00000000">
        <w:rPr>
          <w:rtl w:val="0"/>
        </w:rPr>
      </w:r>
    </w:p>
  </w:footnote>
  <w:footnote w:id="28">
    <w:p w:rsidR="00000000" w:rsidDel="00000000" w:rsidP="00000000" w:rsidRDefault="00000000" w:rsidRPr="00000000" w14:paraId="0000007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Ibid. p. 52.</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