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6E1E6F" w14:textId="77777777" w:rsidR="005D4E48" w:rsidRDefault="005D4E48" w:rsidP="002C7293">
      <w:pPr>
        <w:spacing w:before="240" w:after="240"/>
        <w:rPr>
          <w:sz w:val="26"/>
          <w:szCs w:val="26"/>
        </w:rPr>
      </w:pPr>
    </w:p>
    <w:tbl>
      <w:tblPr>
        <w:tblStyle w:val="a"/>
        <w:tblW w:w="88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890"/>
        <w:gridCol w:w="3495"/>
        <w:gridCol w:w="3495"/>
      </w:tblGrid>
      <w:tr w:rsidR="005D4E48" w14:paraId="0540F36A" w14:textId="77777777">
        <w:trPr>
          <w:trHeight w:val="1305"/>
        </w:trPr>
        <w:tc>
          <w:tcPr>
            <w:tcW w:w="189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35926A8E" w14:textId="77777777" w:rsidR="005D4E48" w:rsidRPr="002C7293" w:rsidRDefault="00A74AC4">
            <w:pPr>
              <w:spacing w:line="360" w:lineRule="auto"/>
              <w:jc w:val="center"/>
            </w:pPr>
            <w:r w:rsidRPr="002C7293">
              <w:t xml:space="preserve"> </w:t>
            </w:r>
          </w:p>
        </w:tc>
        <w:tc>
          <w:tcPr>
            <w:tcW w:w="3495" w:type="dxa"/>
            <w:tcBorders>
              <w:top w:val="single" w:sz="8" w:space="0" w:color="000000"/>
              <w:bottom w:val="single" w:sz="8" w:space="0" w:color="000000"/>
              <w:right w:val="single" w:sz="8" w:space="0" w:color="000000"/>
            </w:tcBorders>
            <w:tcMar>
              <w:top w:w="0" w:type="dxa"/>
              <w:left w:w="100" w:type="dxa"/>
              <w:bottom w:w="0" w:type="dxa"/>
              <w:right w:w="100" w:type="dxa"/>
            </w:tcMar>
          </w:tcPr>
          <w:p w14:paraId="4D0EA872" w14:textId="77777777" w:rsidR="005D4E48" w:rsidRPr="002C7293" w:rsidRDefault="00A74AC4">
            <w:pPr>
              <w:spacing w:line="360" w:lineRule="auto"/>
              <w:jc w:val="center"/>
            </w:pPr>
            <w:proofErr w:type="spellStart"/>
            <w:r w:rsidRPr="002C7293">
              <w:t>Targed</w:t>
            </w:r>
            <w:proofErr w:type="spellEnd"/>
            <w:r w:rsidRPr="002C7293">
              <w:t>/target</w:t>
            </w:r>
          </w:p>
        </w:tc>
        <w:tc>
          <w:tcPr>
            <w:tcW w:w="3495" w:type="dxa"/>
            <w:tcBorders>
              <w:top w:val="single" w:sz="8" w:space="0" w:color="000000"/>
              <w:bottom w:val="single" w:sz="8" w:space="0" w:color="000000"/>
              <w:right w:val="single" w:sz="8" w:space="0" w:color="000000"/>
            </w:tcBorders>
            <w:tcMar>
              <w:top w:w="0" w:type="dxa"/>
              <w:left w:w="100" w:type="dxa"/>
              <w:bottom w:w="0" w:type="dxa"/>
              <w:right w:w="100" w:type="dxa"/>
            </w:tcMar>
          </w:tcPr>
          <w:p w14:paraId="4660F59B" w14:textId="77777777" w:rsidR="005D4E48" w:rsidRPr="002C7293" w:rsidRDefault="00A74AC4">
            <w:pPr>
              <w:jc w:val="center"/>
              <w:rPr>
                <w:color w:val="222222"/>
                <w:shd w:val="clear" w:color="auto" w:fill="F8F9FA"/>
              </w:rPr>
            </w:pPr>
            <w:proofErr w:type="spellStart"/>
            <w:r w:rsidRPr="002C7293">
              <w:rPr>
                <w:color w:val="222222"/>
                <w:shd w:val="clear" w:color="auto" w:fill="F8F9FA"/>
              </w:rPr>
              <w:t>Yr</w:t>
            </w:r>
            <w:proofErr w:type="spellEnd"/>
            <w:r w:rsidRPr="002C7293">
              <w:rPr>
                <w:color w:val="222222"/>
                <w:shd w:val="clear" w:color="auto" w:fill="F8F9FA"/>
              </w:rPr>
              <w:t xml:space="preserve"> </w:t>
            </w:r>
            <w:proofErr w:type="spellStart"/>
            <w:r w:rsidRPr="002C7293">
              <w:rPr>
                <w:color w:val="222222"/>
                <w:shd w:val="clear" w:color="auto" w:fill="F8F9FA"/>
              </w:rPr>
              <w:t>hyn</w:t>
            </w:r>
            <w:proofErr w:type="spellEnd"/>
            <w:r w:rsidRPr="002C7293">
              <w:rPr>
                <w:color w:val="222222"/>
                <w:shd w:val="clear" w:color="auto" w:fill="F8F9FA"/>
              </w:rPr>
              <w:t xml:space="preserve"> </w:t>
            </w:r>
            <w:proofErr w:type="spellStart"/>
            <w:r w:rsidRPr="002C7293">
              <w:rPr>
                <w:color w:val="222222"/>
                <w:shd w:val="clear" w:color="auto" w:fill="F8F9FA"/>
              </w:rPr>
              <w:t>yr</w:t>
            </w:r>
            <w:proofErr w:type="spellEnd"/>
            <w:r w:rsidRPr="002C7293">
              <w:rPr>
                <w:color w:val="222222"/>
                <w:shd w:val="clear" w:color="auto" w:fill="F8F9FA"/>
              </w:rPr>
              <w:t xml:space="preserve"> </w:t>
            </w:r>
            <w:proofErr w:type="spellStart"/>
            <w:r w:rsidRPr="002C7293">
              <w:rPr>
                <w:color w:val="222222"/>
                <w:shd w:val="clear" w:color="auto" w:fill="F8F9FA"/>
              </w:rPr>
              <w:t>wyf</w:t>
            </w:r>
            <w:proofErr w:type="spellEnd"/>
            <w:r w:rsidRPr="002C7293">
              <w:rPr>
                <w:color w:val="222222"/>
                <w:shd w:val="clear" w:color="auto" w:fill="F8F9FA"/>
              </w:rPr>
              <w:t xml:space="preserve"> </w:t>
            </w:r>
            <w:proofErr w:type="spellStart"/>
            <w:r w:rsidRPr="002C7293">
              <w:rPr>
                <w:color w:val="222222"/>
                <w:shd w:val="clear" w:color="auto" w:fill="F8F9FA"/>
              </w:rPr>
              <w:t>wedi'i</w:t>
            </w:r>
            <w:proofErr w:type="spellEnd"/>
            <w:r w:rsidRPr="002C7293">
              <w:rPr>
                <w:color w:val="222222"/>
                <w:shd w:val="clear" w:color="auto" w:fill="F8F9FA"/>
              </w:rPr>
              <w:t xml:space="preserve"> </w:t>
            </w:r>
            <w:proofErr w:type="spellStart"/>
            <w:r w:rsidRPr="002C7293">
              <w:rPr>
                <w:color w:val="222222"/>
                <w:shd w:val="clear" w:color="auto" w:fill="F8F9FA"/>
              </w:rPr>
              <w:t>wneud</w:t>
            </w:r>
            <w:proofErr w:type="spellEnd"/>
            <w:r w:rsidRPr="002C7293">
              <w:rPr>
                <w:color w:val="222222"/>
                <w:shd w:val="clear" w:color="auto" w:fill="F8F9FA"/>
              </w:rPr>
              <w:t xml:space="preserve"> </w:t>
            </w:r>
            <w:proofErr w:type="spellStart"/>
            <w:r w:rsidRPr="002C7293">
              <w:rPr>
                <w:color w:val="222222"/>
                <w:shd w:val="clear" w:color="auto" w:fill="F8F9FA"/>
              </w:rPr>
              <w:t>yn</w:t>
            </w:r>
            <w:proofErr w:type="spellEnd"/>
            <w:r w:rsidRPr="002C7293">
              <w:rPr>
                <w:color w:val="222222"/>
                <w:shd w:val="clear" w:color="auto" w:fill="F8F9FA"/>
              </w:rPr>
              <w:t xml:space="preserve"> </w:t>
            </w:r>
            <w:proofErr w:type="spellStart"/>
            <w:r w:rsidRPr="002C7293">
              <w:rPr>
                <w:color w:val="222222"/>
                <w:shd w:val="clear" w:color="auto" w:fill="F8F9FA"/>
              </w:rPr>
              <w:t>yr</w:t>
            </w:r>
            <w:proofErr w:type="spellEnd"/>
            <w:r w:rsidRPr="002C7293">
              <w:rPr>
                <w:color w:val="222222"/>
                <w:shd w:val="clear" w:color="auto" w:fill="F8F9FA"/>
              </w:rPr>
              <w:t xml:space="preserve"> </w:t>
            </w:r>
            <w:proofErr w:type="spellStart"/>
            <w:r w:rsidRPr="002C7293">
              <w:rPr>
                <w:color w:val="222222"/>
                <w:shd w:val="clear" w:color="auto" w:fill="F8F9FA"/>
              </w:rPr>
              <w:t>aseiniad</w:t>
            </w:r>
            <w:proofErr w:type="spellEnd"/>
            <w:r w:rsidRPr="002C7293">
              <w:rPr>
                <w:color w:val="222222"/>
                <w:shd w:val="clear" w:color="auto" w:fill="F8F9FA"/>
              </w:rPr>
              <w:t xml:space="preserve"> </w:t>
            </w:r>
            <w:proofErr w:type="spellStart"/>
            <w:r w:rsidRPr="002C7293">
              <w:rPr>
                <w:color w:val="222222"/>
                <w:shd w:val="clear" w:color="auto" w:fill="F8F9FA"/>
              </w:rPr>
              <w:t>hwn</w:t>
            </w:r>
            <w:proofErr w:type="spellEnd"/>
          </w:p>
          <w:p w14:paraId="10BB0D22" w14:textId="77777777" w:rsidR="005D4E48" w:rsidRPr="002C7293" w:rsidRDefault="00A74AC4">
            <w:pPr>
              <w:jc w:val="center"/>
            </w:pPr>
            <w:r w:rsidRPr="002C7293">
              <w:t>What I have done in this assignment...</w:t>
            </w:r>
          </w:p>
          <w:p w14:paraId="72F39250" w14:textId="77777777" w:rsidR="005D4E48" w:rsidRPr="002C7293" w:rsidRDefault="00A74AC4">
            <w:pPr>
              <w:spacing w:line="360" w:lineRule="auto"/>
              <w:jc w:val="center"/>
            </w:pPr>
            <w:r w:rsidRPr="002C7293">
              <w:t xml:space="preserve"> </w:t>
            </w:r>
          </w:p>
        </w:tc>
      </w:tr>
      <w:tr w:rsidR="005D4E48" w14:paraId="28F148D6" w14:textId="77777777">
        <w:trPr>
          <w:trHeight w:val="345"/>
        </w:trPr>
        <w:tc>
          <w:tcPr>
            <w:tcW w:w="1890" w:type="dxa"/>
            <w:tcBorders>
              <w:left w:val="single" w:sz="8" w:space="0" w:color="000000"/>
              <w:bottom w:val="single" w:sz="8" w:space="0" w:color="000000"/>
              <w:right w:val="single" w:sz="8" w:space="0" w:color="000000"/>
            </w:tcBorders>
            <w:tcMar>
              <w:top w:w="0" w:type="dxa"/>
              <w:left w:w="100" w:type="dxa"/>
              <w:bottom w:w="0" w:type="dxa"/>
              <w:right w:w="100" w:type="dxa"/>
            </w:tcMar>
          </w:tcPr>
          <w:p w14:paraId="27C6CFCC" w14:textId="77777777" w:rsidR="005D4E48" w:rsidRPr="002C7293" w:rsidRDefault="00A74AC4">
            <w:pPr>
              <w:spacing w:line="360" w:lineRule="auto"/>
              <w:jc w:val="center"/>
            </w:pPr>
            <w:proofErr w:type="spellStart"/>
            <w:r w:rsidRPr="002C7293">
              <w:t>Targed</w:t>
            </w:r>
            <w:proofErr w:type="spellEnd"/>
            <w:r w:rsidRPr="002C7293">
              <w:t>/Target 1</w:t>
            </w:r>
          </w:p>
        </w:tc>
        <w:tc>
          <w:tcPr>
            <w:tcW w:w="3495" w:type="dxa"/>
            <w:tcBorders>
              <w:bottom w:val="single" w:sz="8" w:space="0" w:color="000000"/>
              <w:right w:val="single" w:sz="8" w:space="0" w:color="000000"/>
            </w:tcBorders>
            <w:tcMar>
              <w:top w:w="0" w:type="dxa"/>
              <w:left w:w="100" w:type="dxa"/>
              <w:bottom w:w="0" w:type="dxa"/>
              <w:right w:w="100" w:type="dxa"/>
            </w:tcMar>
          </w:tcPr>
          <w:p w14:paraId="111E97FC" w14:textId="77777777" w:rsidR="005D4E48" w:rsidRPr="002C7293" w:rsidRDefault="00A74AC4">
            <w:pPr>
              <w:spacing w:line="360" w:lineRule="auto"/>
              <w:jc w:val="center"/>
            </w:pPr>
            <w:r w:rsidRPr="002C7293">
              <w:t xml:space="preserve"> </w:t>
            </w:r>
            <w:r w:rsidRPr="002C7293">
              <w:rPr>
                <w:rFonts w:eastAsia="Roboto"/>
                <w:color w:val="283041"/>
                <w:highlight w:val="white"/>
              </w:rPr>
              <w:t xml:space="preserve">Continue to develop your critical engagement to really focus on writing critically. Question ideas and theories, find ideas and theories that contradict findings. Question the validity of studies you mention. This website may help you with your critical writing: </w:t>
            </w:r>
            <w:hyperlink r:id="rId6">
              <w:r w:rsidRPr="002C7293">
                <w:rPr>
                  <w:b/>
                  <w:color w:val="1E7BBB"/>
                </w:rPr>
                <w:t xml:space="preserve">Academic </w:t>
              </w:r>
              <w:proofErr w:type="spellStart"/>
              <w:r w:rsidRPr="002C7293">
                <w:rPr>
                  <w:b/>
                  <w:color w:val="1E7BBB"/>
                </w:rPr>
                <w:t>Phrasebank</w:t>
              </w:r>
              <w:proofErr w:type="spellEnd"/>
              <w:r w:rsidRPr="002C7293">
                <w:rPr>
                  <w:b/>
                  <w:color w:val="1E7BBB"/>
                </w:rPr>
                <w:t xml:space="preserve"> | Being critical (manchester.ac.uk)</w:t>
              </w:r>
            </w:hyperlink>
          </w:p>
        </w:tc>
        <w:tc>
          <w:tcPr>
            <w:tcW w:w="3495" w:type="dxa"/>
            <w:tcBorders>
              <w:bottom w:val="single" w:sz="8" w:space="0" w:color="000000"/>
              <w:right w:val="single" w:sz="8" w:space="0" w:color="000000"/>
            </w:tcBorders>
            <w:tcMar>
              <w:top w:w="0" w:type="dxa"/>
              <w:left w:w="100" w:type="dxa"/>
              <w:bottom w:w="0" w:type="dxa"/>
              <w:right w:w="100" w:type="dxa"/>
            </w:tcMar>
          </w:tcPr>
          <w:p w14:paraId="13907063" w14:textId="77777777" w:rsidR="005D4E48" w:rsidRDefault="00A74AC4">
            <w:pPr>
              <w:spacing w:line="360" w:lineRule="auto"/>
              <w:jc w:val="center"/>
            </w:pPr>
            <w:r w:rsidRPr="002C7293">
              <w:t xml:space="preserve"> I used the link to freshen up my knowledge on critical writing and attempted to question certain literature with counteracting literature and through means of </w:t>
            </w:r>
            <w:r w:rsidR="00937997">
              <w:t xml:space="preserve">questioning </w:t>
            </w:r>
            <w:r w:rsidRPr="002C7293">
              <w:t>potentially outdated sources.</w:t>
            </w:r>
          </w:p>
          <w:p w14:paraId="5DB94DFA" w14:textId="41F91697" w:rsidR="00937997" w:rsidRPr="002C7293" w:rsidRDefault="00937997">
            <w:pPr>
              <w:spacing w:line="360" w:lineRule="auto"/>
              <w:jc w:val="center"/>
            </w:pPr>
            <w:r>
              <w:t>Also used Welsh Government and Curriculum for Wales to support potential outdated limitations</w:t>
            </w:r>
          </w:p>
        </w:tc>
      </w:tr>
      <w:tr w:rsidR="005D4E48" w14:paraId="3AAB2F9D" w14:textId="77777777">
        <w:trPr>
          <w:trHeight w:val="345"/>
        </w:trPr>
        <w:tc>
          <w:tcPr>
            <w:tcW w:w="1890" w:type="dxa"/>
            <w:tcBorders>
              <w:left w:val="single" w:sz="8" w:space="0" w:color="000000"/>
              <w:bottom w:val="single" w:sz="8" w:space="0" w:color="000000"/>
              <w:right w:val="single" w:sz="8" w:space="0" w:color="000000"/>
            </w:tcBorders>
            <w:tcMar>
              <w:top w:w="0" w:type="dxa"/>
              <w:left w:w="100" w:type="dxa"/>
              <w:bottom w:w="0" w:type="dxa"/>
              <w:right w:w="100" w:type="dxa"/>
            </w:tcMar>
          </w:tcPr>
          <w:p w14:paraId="4B840B7D" w14:textId="77777777" w:rsidR="005D4E48" w:rsidRPr="002C7293" w:rsidRDefault="00A74AC4">
            <w:pPr>
              <w:spacing w:line="360" w:lineRule="auto"/>
              <w:jc w:val="center"/>
            </w:pPr>
            <w:proofErr w:type="spellStart"/>
            <w:r w:rsidRPr="002C7293">
              <w:t>Targed</w:t>
            </w:r>
            <w:proofErr w:type="spellEnd"/>
            <w:r w:rsidRPr="002C7293">
              <w:t>/Target 2</w:t>
            </w:r>
          </w:p>
        </w:tc>
        <w:tc>
          <w:tcPr>
            <w:tcW w:w="3495" w:type="dxa"/>
            <w:tcBorders>
              <w:bottom w:val="single" w:sz="8" w:space="0" w:color="000000"/>
              <w:right w:val="single" w:sz="8" w:space="0" w:color="000000"/>
            </w:tcBorders>
            <w:tcMar>
              <w:top w:w="0" w:type="dxa"/>
              <w:left w:w="100" w:type="dxa"/>
              <w:bottom w:w="0" w:type="dxa"/>
              <w:right w:w="100" w:type="dxa"/>
            </w:tcMar>
          </w:tcPr>
          <w:p w14:paraId="23B99AC5" w14:textId="77777777" w:rsidR="005D4E48" w:rsidRPr="002C7293" w:rsidRDefault="00A74AC4">
            <w:pPr>
              <w:spacing w:line="360" w:lineRule="auto"/>
              <w:jc w:val="center"/>
            </w:pPr>
            <w:r w:rsidRPr="002C7293">
              <w:t xml:space="preserve"> n/a</w:t>
            </w:r>
          </w:p>
        </w:tc>
        <w:tc>
          <w:tcPr>
            <w:tcW w:w="3495" w:type="dxa"/>
            <w:tcBorders>
              <w:bottom w:val="single" w:sz="8" w:space="0" w:color="000000"/>
              <w:right w:val="single" w:sz="8" w:space="0" w:color="000000"/>
            </w:tcBorders>
            <w:tcMar>
              <w:top w:w="0" w:type="dxa"/>
              <w:left w:w="100" w:type="dxa"/>
              <w:bottom w:w="0" w:type="dxa"/>
              <w:right w:w="100" w:type="dxa"/>
            </w:tcMar>
          </w:tcPr>
          <w:p w14:paraId="227341AC" w14:textId="77777777" w:rsidR="005D4E48" w:rsidRPr="002C7293" w:rsidRDefault="00A74AC4">
            <w:pPr>
              <w:spacing w:line="360" w:lineRule="auto"/>
              <w:jc w:val="center"/>
            </w:pPr>
            <w:r w:rsidRPr="002C7293">
              <w:t xml:space="preserve"> </w:t>
            </w:r>
          </w:p>
        </w:tc>
      </w:tr>
      <w:tr w:rsidR="005D4E48" w14:paraId="4AB3CFEF" w14:textId="77777777">
        <w:trPr>
          <w:trHeight w:val="345"/>
        </w:trPr>
        <w:tc>
          <w:tcPr>
            <w:tcW w:w="1890" w:type="dxa"/>
            <w:tcBorders>
              <w:left w:val="single" w:sz="8" w:space="0" w:color="000000"/>
              <w:bottom w:val="single" w:sz="8" w:space="0" w:color="000000"/>
              <w:right w:val="single" w:sz="8" w:space="0" w:color="000000"/>
            </w:tcBorders>
            <w:tcMar>
              <w:top w:w="0" w:type="dxa"/>
              <w:left w:w="100" w:type="dxa"/>
              <w:bottom w:w="0" w:type="dxa"/>
              <w:right w:w="100" w:type="dxa"/>
            </w:tcMar>
          </w:tcPr>
          <w:p w14:paraId="544E627D" w14:textId="77777777" w:rsidR="005D4E48" w:rsidRPr="002C7293" w:rsidRDefault="00A74AC4">
            <w:pPr>
              <w:spacing w:line="360" w:lineRule="auto"/>
              <w:jc w:val="center"/>
            </w:pPr>
            <w:proofErr w:type="spellStart"/>
            <w:r w:rsidRPr="002C7293">
              <w:t>Targed</w:t>
            </w:r>
            <w:proofErr w:type="spellEnd"/>
            <w:r w:rsidRPr="002C7293">
              <w:t>/Target 3</w:t>
            </w:r>
          </w:p>
        </w:tc>
        <w:tc>
          <w:tcPr>
            <w:tcW w:w="3495" w:type="dxa"/>
            <w:tcBorders>
              <w:bottom w:val="single" w:sz="8" w:space="0" w:color="000000"/>
              <w:right w:val="single" w:sz="8" w:space="0" w:color="000000"/>
            </w:tcBorders>
            <w:tcMar>
              <w:top w:w="0" w:type="dxa"/>
              <w:left w:w="100" w:type="dxa"/>
              <w:bottom w:w="0" w:type="dxa"/>
              <w:right w:w="100" w:type="dxa"/>
            </w:tcMar>
          </w:tcPr>
          <w:p w14:paraId="5E25480D" w14:textId="77777777" w:rsidR="005D4E48" w:rsidRPr="002C7293" w:rsidRDefault="00A74AC4">
            <w:pPr>
              <w:spacing w:line="360" w:lineRule="auto"/>
              <w:jc w:val="center"/>
            </w:pPr>
            <w:r w:rsidRPr="002C7293">
              <w:t xml:space="preserve"> n/a</w:t>
            </w:r>
          </w:p>
        </w:tc>
        <w:tc>
          <w:tcPr>
            <w:tcW w:w="3495" w:type="dxa"/>
            <w:tcBorders>
              <w:bottom w:val="single" w:sz="8" w:space="0" w:color="000000"/>
              <w:right w:val="single" w:sz="8" w:space="0" w:color="000000"/>
            </w:tcBorders>
            <w:tcMar>
              <w:top w:w="0" w:type="dxa"/>
              <w:left w:w="100" w:type="dxa"/>
              <w:bottom w:w="0" w:type="dxa"/>
              <w:right w:w="100" w:type="dxa"/>
            </w:tcMar>
          </w:tcPr>
          <w:p w14:paraId="5749F11D" w14:textId="77777777" w:rsidR="005D4E48" w:rsidRPr="002C7293" w:rsidRDefault="00A74AC4">
            <w:pPr>
              <w:spacing w:line="360" w:lineRule="auto"/>
              <w:jc w:val="center"/>
            </w:pPr>
            <w:r w:rsidRPr="002C7293">
              <w:t xml:space="preserve"> </w:t>
            </w:r>
          </w:p>
        </w:tc>
      </w:tr>
    </w:tbl>
    <w:p w14:paraId="6F3CDAF7" w14:textId="77777777" w:rsidR="005D4E48" w:rsidRDefault="005D4E48">
      <w:pPr>
        <w:spacing w:before="240" w:after="240"/>
        <w:rPr>
          <w:sz w:val="26"/>
          <w:szCs w:val="26"/>
        </w:rPr>
      </w:pPr>
    </w:p>
    <w:p w14:paraId="0CA91917" w14:textId="77777777" w:rsidR="005D4E48" w:rsidRDefault="00A74AC4" w:rsidP="00A74AC4">
      <w:pPr>
        <w:spacing w:before="240" w:after="240" w:line="360" w:lineRule="auto"/>
        <w:jc w:val="center"/>
        <w:rPr>
          <w:b/>
          <w:sz w:val="36"/>
          <w:szCs w:val="36"/>
          <w:u w:val="single"/>
        </w:rPr>
      </w:pPr>
      <w:r>
        <w:rPr>
          <w:b/>
          <w:sz w:val="36"/>
          <w:szCs w:val="36"/>
          <w:u w:val="single"/>
        </w:rPr>
        <w:t xml:space="preserve">How a school develops one aspect of its SDP: a report that critically reflects on the actions, </w:t>
      </w:r>
      <w:proofErr w:type="gramStart"/>
      <w:r>
        <w:rPr>
          <w:b/>
          <w:sz w:val="36"/>
          <w:szCs w:val="36"/>
          <w:u w:val="single"/>
        </w:rPr>
        <w:t>impact</w:t>
      </w:r>
      <w:proofErr w:type="gramEnd"/>
      <w:r>
        <w:rPr>
          <w:b/>
          <w:sz w:val="36"/>
          <w:szCs w:val="36"/>
          <w:u w:val="single"/>
        </w:rPr>
        <w:t xml:space="preserve"> and evidence base.</w:t>
      </w:r>
    </w:p>
    <w:p w14:paraId="43F2D85D" w14:textId="59C7BE60" w:rsidR="005D4E48" w:rsidRPr="002C7293" w:rsidRDefault="00A74AC4" w:rsidP="00A74AC4">
      <w:pPr>
        <w:spacing w:before="240" w:after="240" w:line="360" w:lineRule="auto"/>
        <w:jc w:val="center"/>
        <w:rPr>
          <w:b/>
          <w:bCs/>
          <w:sz w:val="28"/>
          <w:szCs w:val="28"/>
        </w:rPr>
      </w:pPr>
      <w:r w:rsidRPr="002C7293">
        <w:rPr>
          <w:b/>
          <w:bCs/>
          <w:sz w:val="28"/>
          <w:szCs w:val="28"/>
        </w:rPr>
        <w:t xml:space="preserve">Word count </w:t>
      </w:r>
      <w:r w:rsidR="008C323C">
        <w:rPr>
          <w:b/>
          <w:bCs/>
          <w:sz w:val="28"/>
          <w:szCs w:val="28"/>
        </w:rPr>
        <w:t>–</w:t>
      </w:r>
      <w:r w:rsidRPr="002C7293">
        <w:rPr>
          <w:b/>
          <w:bCs/>
          <w:sz w:val="28"/>
          <w:szCs w:val="28"/>
        </w:rPr>
        <w:t xml:space="preserve"> </w:t>
      </w:r>
      <w:r w:rsidR="008C323C">
        <w:rPr>
          <w:b/>
          <w:bCs/>
          <w:sz w:val="28"/>
          <w:szCs w:val="28"/>
        </w:rPr>
        <w:t>2702</w:t>
      </w:r>
      <w:r w:rsidRPr="002C7293">
        <w:rPr>
          <w:b/>
          <w:bCs/>
          <w:sz w:val="28"/>
          <w:szCs w:val="28"/>
        </w:rPr>
        <w:t xml:space="preserve"> </w:t>
      </w:r>
    </w:p>
    <w:p w14:paraId="5F49E5C0" w14:textId="0BE47BD8" w:rsidR="002C7293" w:rsidRPr="002C7293" w:rsidRDefault="002C7293" w:rsidP="00A74AC4">
      <w:pPr>
        <w:spacing w:before="240" w:after="240" w:line="360" w:lineRule="auto"/>
        <w:rPr>
          <w:b/>
          <w:bCs/>
          <w:sz w:val="28"/>
          <w:szCs w:val="28"/>
        </w:rPr>
      </w:pPr>
      <w:r w:rsidRPr="002C7293">
        <w:rPr>
          <w:b/>
          <w:bCs/>
          <w:sz w:val="28"/>
          <w:szCs w:val="28"/>
        </w:rPr>
        <w:t xml:space="preserve">Introduction </w:t>
      </w:r>
    </w:p>
    <w:p w14:paraId="37413B29" w14:textId="3D777298" w:rsidR="005D4E48" w:rsidRDefault="00A74AC4" w:rsidP="00A74AC4">
      <w:pPr>
        <w:spacing w:before="240" w:after="240" w:line="360" w:lineRule="auto"/>
      </w:pPr>
      <w:r>
        <w:t xml:space="preserve">This paper will outline an aspect of the School Development Plan (2023) which is used within my PTE1 school. It will reflect critically upon the actions and impacts that this specific area has upon the school. The aspect in which will be critically discussed is ‘Well-being and Attitudes to </w:t>
      </w:r>
      <w:r>
        <w:lastRenderedPageBreak/>
        <w:t xml:space="preserve">Learning’. My PTE1 school is within an area of Cardiff which is known for its diverse community, and the </w:t>
      </w:r>
      <w:proofErr w:type="gramStart"/>
      <w:r>
        <w:t>school works</w:t>
      </w:r>
      <w:proofErr w:type="gramEnd"/>
      <w:r>
        <w:t xml:space="preserve"> hard to ensure the diversity is celebrated in an inclusive manner. There is a varied level of pupils/families’ socio-economic backgrounds - with the school promoting the equity and inclusivity for </w:t>
      </w:r>
      <w:r w:rsidR="002C7293">
        <w:t>all</w:t>
      </w:r>
      <w:r>
        <w:t xml:space="preserve"> its community. The school has 5 areas in which they focus upon within their SDP (2023) and the benefit of the tight knit community it finds itself in makes it an impactful resource. I have chos</w:t>
      </w:r>
      <w:r>
        <w:t>en the area of ‘Well-being and Attitudes to Learning’ as I have witnessed the impact first hand of what the school put in place to help the well-being of both pupils and staff as well as attitudes towards learning in terms of its form of providing feedback and their responses. With confidentiality a key, the experiences and observations gathered during my time at PTE1 assist in outlining my analysis presented within this paper.</w:t>
      </w:r>
    </w:p>
    <w:p w14:paraId="301DC285" w14:textId="6F5FB8B1" w:rsidR="002C7293" w:rsidRPr="002C7293" w:rsidRDefault="002C7293" w:rsidP="00A74AC4">
      <w:pPr>
        <w:spacing w:before="240" w:after="240" w:line="360" w:lineRule="auto"/>
        <w:rPr>
          <w:b/>
          <w:bCs/>
          <w:sz w:val="28"/>
          <w:szCs w:val="28"/>
        </w:rPr>
      </w:pPr>
      <w:r w:rsidRPr="002C7293">
        <w:rPr>
          <w:b/>
          <w:bCs/>
          <w:sz w:val="28"/>
          <w:szCs w:val="28"/>
        </w:rPr>
        <w:t>Literature review</w:t>
      </w:r>
    </w:p>
    <w:p w14:paraId="53EE06EE" w14:textId="67D4176D" w:rsidR="005D4E48" w:rsidRPr="002C7293" w:rsidRDefault="00A74AC4" w:rsidP="00A74AC4">
      <w:pPr>
        <w:spacing w:before="240" w:after="240" w:line="360" w:lineRule="auto"/>
        <w:rPr>
          <w:highlight w:val="white"/>
        </w:rPr>
      </w:pPr>
      <w:r w:rsidRPr="002C7293">
        <w:t xml:space="preserve">As stated by </w:t>
      </w:r>
      <w:r w:rsidRPr="002C7293">
        <w:rPr>
          <w:highlight w:val="white"/>
        </w:rPr>
        <w:t xml:space="preserve">scholars such as Fernandez (2011) and </w:t>
      </w:r>
      <w:proofErr w:type="spellStart"/>
      <w:r w:rsidRPr="002C7293">
        <w:rPr>
          <w:highlight w:val="white"/>
        </w:rPr>
        <w:t>Muijs</w:t>
      </w:r>
      <w:proofErr w:type="spellEnd"/>
      <w:r w:rsidRPr="002C7293">
        <w:rPr>
          <w:highlight w:val="white"/>
        </w:rPr>
        <w:t xml:space="preserve"> </w:t>
      </w:r>
      <w:r w:rsidRPr="002C7293">
        <w:rPr>
          <w:i/>
          <w:highlight w:val="white"/>
        </w:rPr>
        <w:t>et al</w:t>
      </w:r>
      <w:r w:rsidRPr="002C7293">
        <w:rPr>
          <w:highlight w:val="white"/>
        </w:rPr>
        <w:t xml:space="preserve">. (2004), School Development Plans are common in ‘Western </w:t>
      </w:r>
      <w:proofErr w:type="gramStart"/>
      <w:r w:rsidRPr="002C7293">
        <w:rPr>
          <w:highlight w:val="white"/>
        </w:rPr>
        <w:t>nations’</w:t>
      </w:r>
      <w:proofErr w:type="gramEnd"/>
      <w:r w:rsidRPr="002C7293">
        <w:rPr>
          <w:highlight w:val="white"/>
        </w:rPr>
        <w:t xml:space="preserve">. With the idea being for the leaders of an educational setting to create plans in which outcomes can be met resulting in substantial improvements within the setting over a certain </w:t>
      </w:r>
      <w:r w:rsidR="002C7293" w:rsidRPr="002C7293">
        <w:rPr>
          <w:highlight w:val="white"/>
        </w:rPr>
        <w:t>number</w:t>
      </w:r>
      <w:r w:rsidRPr="002C7293">
        <w:rPr>
          <w:highlight w:val="white"/>
        </w:rPr>
        <w:t xml:space="preserve"> of years (Meyers and </w:t>
      </w:r>
      <w:proofErr w:type="spellStart"/>
      <w:r w:rsidRPr="002C7293">
        <w:rPr>
          <w:highlight w:val="white"/>
        </w:rPr>
        <w:t>VanGronigen</w:t>
      </w:r>
      <w:proofErr w:type="spellEnd"/>
      <w:r w:rsidRPr="002C7293">
        <w:rPr>
          <w:highlight w:val="white"/>
        </w:rPr>
        <w:t>, 2019). There are then areas implemented within the plan to focus on which are usually shared amongst members of the school and sometimes governors are also involved.</w:t>
      </w:r>
    </w:p>
    <w:p w14:paraId="6D8CCBEC" w14:textId="301B34E9" w:rsidR="005D4E48" w:rsidRPr="002C7293" w:rsidRDefault="002C7293" w:rsidP="00A74AC4">
      <w:pPr>
        <w:spacing w:before="240" w:after="240" w:line="360" w:lineRule="auto"/>
      </w:pPr>
      <w:r w:rsidRPr="002C7293">
        <w:rPr>
          <w:highlight w:val="white"/>
        </w:rPr>
        <w:t xml:space="preserve">To create a strong SDP, the collaboration between staff, parents and governors is of importance </w:t>
      </w:r>
      <w:proofErr w:type="gramStart"/>
      <w:r w:rsidRPr="002C7293">
        <w:rPr>
          <w:highlight w:val="white"/>
        </w:rPr>
        <w:t>in order to</w:t>
      </w:r>
      <w:proofErr w:type="gramEnd"/>
      <w:r w:rsidRPr="002C7293">
        <w:rPr>
          <w:highlight w:val="white"/>
        </w:rPr>
        <w:t xml:space="preserve"> ensure everyone feels involved within the process of meeting and exceeding goals to continue improvement (</w:t>
      </w:r>
      <w:r w:rsidRPr="002C7293">
        <w:t xml:space="preserve">School improvement plans, </w:t>
      </w:r>
      <w:r w:rsidRPr="002C7293">
        <w:rPr>
          <w:highlight w:val="white"/>
        </w:rPr>
        <w:t xml:space="preserve">2009). With </w:t>
      </w:r>
      <w:proofErr w:type="spellStart"/>
      <w:r w:rsidRPr="002C7293">
        <w:rPr>
          <w:highlight w:val="white"/>
        </w:rPr>
        <w:t>Bigland</w:t>
      </w:r>
      <w:proofErr w:type="spellEnd"/>
      <w:r w:rsidRPr="002C7293">
        <w:rPr>
          <w:highlight w:val="white"/>
        </w:rPr>
        <w:t xml:space="preserve"> (2009, cited in </w:t>
      </w:r>
      <w:r w:rsidRPr="002C7293">
        <w:t xml:space="preserve">School Improvement Plans, </w:t>
      </w:r>
      <w:r w:rsidRPr="002C7293">
        <w:rPr>
          <w:highlight w:val="white"/>
        </w:rPr>
        <w:t xml:space="preserve">2009), supporting this with the collaboration of the Senior Leadership Team (SLT) looking at all the elements of an SDP, where the school currently is </w:t>
      </w:r>
      <w:proofErr w:type="gramStart"/>
      <w:r w:rsidRPr="002C7293">
        <w:rPr>
          <w:highlight w:val="white"/>
        </w:rPr>
        <w:t>in regard to</w:t>
      </w:r>
      <w:proofErr w:type="gramEnd"/>
      <w:r w:rsidRPr="002C7293">
        <w:rPr>
          <w:highlight w:val="white"/>
        </w:rPr>
        <w:t xml:space="preserve"> it, where the areas of development are and where do they start. Further support of collaboration comes from</w:t>
      </w:r>
      <w:r w:rsidRPr="002C7293">
        <w:t xml:space="preserve"> </w:t>
      </w:r>
      <w:proofErr w:type="spellStart"/>
      <w:r w:rsidRPr="002C7293">
        <w:t>Hallinger</w:t>
      </w:r>
      <w:proofErr w:type="spellEnd"/>
      <w:r w:rsidRPr="002C7293">
        <w:t xml:space="preserve"> and Heck (1998), where they underline collaboration is key in ensuring a school is “</w:t>
      </w:r>
      <w:proofErr w:type="gramStart"/>
      <w:r w:rsidRPr="002C7293">
        <w:t>higher</w:t>
      </w:r>
      <w:r>
        <w:t>-</w:t>
      </w:r>
      <w:r w:rsidRPr="002C7293">
        <w:t>producing</w:t>
      </w:r>
      <w:proofErr w:type="gramEnd"/>
      <w:r w:rsidRPr="002C7293">
        <w:t xml:space="preserve">”. Weil </w:t>
      </w:r>
      <w:r w:rsidRPr="002C7293">
        <w:rPr>
          <w:i/>
        </w:rPr>
        <w:t>et al</w:t>
      </w:r>
      <w:r w:rsidRPr="002C7293">
        <w:t xml:space="preserve">. (1984, cited in </w:t>
      </w:r>
      <w:proofErr w:type="spellStart"/>
      <w:r w:rsidRPr="002C7293">
        <w:t>Hallinger</w:t>
      </w:r>
      <w:proofErr w:type="spellEnd"/>
      <w:r w:rsidRPr="002C7293">
        <w:t xml:space="preserve"> and Heck, 1998) echo this as collaborating separates “effective and more typical elementary schools”, it’s important to add this may be an outdated source, however Donaldson (2015) strongly encourages the use of collaboration as a key principle, which was a strong principle of the newly introduced Curriculum for Wales (2015).</w:t>
      </w:r>
    </w:p>
    <w:p w14:paraId="4D78196A" w14:textId="208BDA71" w:rsidR="005D4E48" w:rsidRPr="002C7293" w:rsidRDefault="00A74AC4" w:rsidP="00A74AC4">
      <w:pPr>
        <w:spacing w:line="360" w:lineRule="auto"/>
        <w:rPr>
          <w:highlight w:val="white"/>
        </w:rPr>
      </w:pPr>
      <w:r w:rsidRPr="002C7293">
        <w:rPr>
          <w:highlight w:val="white"/>
        </w:rPr>
        <w:t xml:space="preserve">Ensuring that the process is a collaborative process is often an issue for head teachers as they feel they need to take a lead but also want to ensure everyone's voice is heard. </w:t>
      </w:r>
      <w:proofErr w:type="spellStart"/>
      <w:r w:rsidRPr="002C7293">
        <w:rPr>
          <w:highlight w:val="white"/>
        </w:rPr>
        <w:t>Shapland</w:t>
      </w:r>
      <w:proofErr w:type="spellEnd"/>
      <w:r w:rsidRPr="002C7293">
        <w:rPr>
          <w:highlight w:val="white"/>
        </w:rPr>
        <w:t xml:space="preserve"> (a </w:t>
      </w:r>
      <w:r w:rsidRPr="002C7293">
        <w:rPr>
          <w:highlight w:val="white"/>
        </w:rPr>
        <w:lastRenderedPageBreak/>
        <w:t xml:space="preserve">Headteacher) (2009, cited in School Improvement Plans, 2009) outlines how he always wants to ensure that everyone in the schools feels they have played their part in the development of an SDP and that they have been consulted with </w:t>
      </w:r>
      <w:r w:rsidR="00D64664" w:rsidRPr="002C7293">
        <w:rPr>
          <w:highlight w:val="white"/>
        </w:rPr>
        <w:t>to</w:t>
      </w:r>
      <w:r w:rsidRPr="002C7293">
        <w:rPr>
          <w:highlight w:val="white"/>
        </w:rPr>
        <w:t xml:space="preserve"> reach the core values of their school. This is supported through </w:t>
      </w:r>
      <w:proofErr w:type="spellStart"/>
      <w:r w:rsidRPr="002C7293">
        <w:rPr>
          <w:highlight w:val="white"/>
        </w:rPr>
        <w:t>Leithwood</w:t>
      </w:r>
      <w:proofErr w:type="spellEnd"/>
      <w:r w:rsidRPr="002C7293">
        <w:rPr>
          <w:highlight w:val="white"/>
        </w:rPr>
        <w:t xml:space="preserve"> and </w:t>
      </w:r>
      <w:proofErr w:type="spellStart"/>
      <w:r w:rsidRPr="002C7293">
        <w:rPr>
          <w:highlight w:val="white"/>
        </w:rPr>
        <w:t>Mascall</w:t>
      </w:r>
      <w:proofErr w:type="spellEnd"/>
      <w:r w:rsidRPr="002C7293">
        <w:rPr>
          <w:highlight w:val="white"/>
        </w:rPr>
        <w:t xml:space="preserve"> (2008), outlining that the opportunity to distribute the leadership amongst staff members allows the school to benefit through the use of its capacities - exercising “their indivi</w:t>
      </w:r>
      <w:r w:rsidRPr="002C7293">
        <w:rPr>
          <w:highlight w:val="white"/>
        </w:rPr>
        <w:t>dual strengths”, noting how “one’s behaviour effects the organisation as a whole” (</w:t>
      </w:r>
      <w:proofErr w:type="spellStart"/>
      <w:r w:rsidRPr="002C7293">
        <w:rPr>
          <w:highlight w:val="white"/>
        </w:rPr>
        <w:t>Leithwood</w:t>
      </w:r>
      <w:proofErr w:type="spellEnd"/>
      <w:r w:rsidRPr="002C7293">
        <w:rPr>
          <w:highlight w:val="white"/>
        </w:rPr>
        <w:t xml:space="preserve"> and </w:t>
      </w:r>
      <w:proofErr w:type="spellStart"/>
      <w:r w:rsidRPr="002C7293">
        <w:rPr>
          <w:highlight w:val="white"/>
        </w:rPr>
        <w:t>Mascall</w:t>
      </w:r>
      <w:proofErr w:type="spellEnd"/>
      <w:r w:rsidRPr="002C7293">
        <w:rPr>
          <w:highlight w:val="white"/>
        </w:rPr>
        <w:t>, 2008</w:t>
      </w:r>
      <w:r w:rsidR="00C4687E">
        <w:rPr>
          <w:highlight w:val="white"/>
        </w:rPr>
        <w:t>, p. 530</w:t>
      </w:r>
      <w:r w:rsidRPr="002C7293">
        <w:rPr>
          <w:highlight w:val="white"/>
        </w:rPr>
        <w:t>) - presenting a coherent plan and vision to make progress (Brooker, cited in School Improvement Plans, 2009).</w:t>
      </w:r>
    </w:p>
    <w:p w14:paraId="1373DAF1" w14:textId="77777777" w:rsidR="005D4E48" w:rsidRPr="002C7293" w:rsidRDefault="005D4E48" w:rsidP="00A74AC4">
      <w:pPr>
        <w:spacing w:line="360" w:lineRule="auto"/>
        <w:rPr>
          <w:highlight w:val="white"/>
        </w:rPr>
      </w:pPr>
    </w:p>
    <w:p w14:paraId="5EA30473" w14:textId="7ADEF3A3" w:rsidR="005D4E48" w:rsidRPr="002C7293" w:rsidRDefault="002C7293" w:rsidP="00A74AC4">
      <w:pPr>
        <w:spacing w:line="360" w:lineRule="auto"/>
        <w:rPr>
          <w:highlight w:val="white"/>
        </w:rPr>
      </w:pPr>
      <w:r w:rsidRPr="002C7293">
        <w:rPr>
          <w:highlight w:val="white"/>
        </w:rPr>
        <w:t>SDPs are intended to create long term effects to improve the school (</w:t>
      </w:r>
      <w:proofErr w:type="spellStart"/>
      <w:r w:rsidRPr="002C7293">
        <w:rPr>
          <w:highlight w:val="white"/>
        </w:rPr>
        <w:t>Cuckle</w:t>
      </w:r>
      <w:proofErr w:type="spellEnd"/>
      <w:r w:rsidRPr="002C7293">
        <w:rPr>
          <w:highlight w:val="white"/>
        </w:rPr>
        <w:t xml:space="preserve"> and Broadhead, 2003) however this does not mean it does not come without some implications - and just because they are created and potentially achieved, doesn’t necessarily correlate to the improvement of the school (</w:t>
      </w:r>
      <w:proofErr w:type="spellStart"/>
      <w:r w:rsidRPr="002C7293">
        <w:rPr>
          <w:highlight w:val="white"/>
        </w:rPr>
        <w:t>MacGilchrist</w:t>
      </w:r>
      <w:proofErr w:type="spellEnd"/>
      <w:r w:rsidRPr="002C7293">
        <w:rPr>
          <w:highlight w:val="white"/>
        </w:rPr>
        <w:t xml:space="preserve"> and Mortimore, 1995). During a case study conducted in South Africa regarding the planning of SDP’s, limitations were discovered. Such limitations included, despite the previous importance stressed upon collaboration </w:t>
      </w:r>
      <w:proofErr w:type="gramStart"/>
      <w:r w:rsidRPr="002C7293">
        <w:rPr>
          <w:highlight w:val="white"/>
        </w:rPr>
        <w:t>in regard to</w:t>
      </w:r>
      <w:proofErr w:type="gramEnd"/>
      <w:r w:rsidRPr="002C7293">
        <w:rPr>
          <w:highlight w:val="white"/>
        </w:rPr>
        <w:t xml:space="preserve"> creating an SDP, headteachers finding it difficult to train staff and parents on creating these plans, as well as engaging with the school in order to create the plans - especially as once any training was completed, it was then back to “business-as-usual” (</w:t>
      </w:r>
      <w:proofErr w:type="spellStart"/>
      <w:r w:rsidRPr="002C7293">
        <w:rPr>
          <w:highlight w:val="white"/>
        </w:rPr>
        <w:t>Xaba</w:t>
      </w:r>
      <w:proofErr w:type="spellEnd"/>
      <w:r w:rsidRPr="002C7293">
        <w:rPr>
          <w:highlight w:val="white"/>
        </w:rPr>
        <w:t>, 2006). In schools in which not only the teachers are involved but also parents and sometimes governors, ensuring the availability of these ‘outside agencies’, so to speak, is not always guaranteed as timings are not always suitable for everyone (</w:t>
      </w:r>
      <w:proofErr w:type="spellStart"/>
      <w:r w:rsidRPr="002C7293">
        <w:rPr>
          <w:highlight w:val="white"/>
        </w:rPr>
        <w:t>Xaba</w:t>
      </w:r>
      <w:proofErr w:type="spellEnd"/>
      <w:r w:rsidRPr="002C7293">
        <w:rPr>
          <w:highlight w:val="white"/>
        </w:rPr>
        <w:t>, 2006). Also, the chance of unrealistic plans to be made are likely - the pressures of having to create new objectives to reach can have the negative impact of potentially creating a plan ‘for the sake of it’, to then lead to such a plan being for the pure benefit of the school (</w:t>
      </w:r>
      <w:proofErr w:type="spellStart"/>
      <w:r w:rsidRPr="002C7293">
        <w:rPr>
          <w:highlight w:val="white"/>
        </w:rPr>
        <w:t>Xaba</w:t>
      </w:r>
      <w:proofErr w:type="spellEnd"/>
      <w:r w:rsidRPr="002C7293">
        <w:rPr>
          <w:highlight w:val="white"/>
        </w:rPr>
        <w:t>, 2006).</w:t>
      </w:r>
    </w:p>
    <w:p w14:paraId="2EEE92C2" w14:textId="0378DB03" w:rsidR="005D4E48" w:rsidRPr="002C7293" w:rsidRDefault="002C7293" w:rsidP="00A74AC4">
      <w:pPr>
        <w:spacing w:before="240" w:after="240" w:line="360" w:lineRule="auto"/>
      </w:pPr>
      <w:proofErr w:type="gramStart"/>
      <w:r w:rsidRPr="002C7293">
        <w:t>In regard to</w:t>
      </w:r>
      <w:proofErr w:type="gramEnd"/>
      <w:r w:rsidRPr="002C7293">
        <w:t xml:space="preserve"> the SDP (2023) of my PTE1, the aspect of ‘Well-being and Attitudes to Learning’ is just one of the 5 areas that my PTE1 school is striving to improve and develop upon and within this area are targets set in order to help achieve the constant development. These targets include “Improved consistency and quality of teachers’ feedback is evident and effective at improving pupils’ work”, “Zones of Regulation introduced, refined and embedded", and “Evaluate the whole school approach to mental health and emotional well-being”. </w:t>
      </w:r>
    </w:p>
    <w:p w14:paraId="1180F44C" w14:textId="3CC6DA56" w:rsidR="005D4E48" w:rsidRPr="002C7293" w:rsidRDefault="00A74AC4" w:rsidP="00A74AC4">
      <w:pPr>
        <w:spacing w:before="240" w:after="240" w:line="360" w:lineRule="auto"/>
      </w:pPr>
      <w:r w:rsidRPr="002C7293">
        <w:t xml:space="preserve">Hattie and Timperley (2007) exclaim feedback as information which is provided by an agent regarding the performance of understanding of an individual - making it a “consequence of performance” (Hattie and Timperley, 2007). Locke and Latham (1990) underlines this as being </w:t>
      </w:r>
      <w:r w:rsidRPr="002C7293">
        <w:lastRenderedPageBreak/>
        <w:t xml:space="preserve">what informs people of what the goals are and what can be reached to continue in the right direction - allowing the individual to adjust appropriately. Consistent feedback on how to improve and reach the next level can eventually lead to the learner then becoming more aware of the task and becoming eager for feedback </w:t>
      </w:r>
      <w:r w:rsidR="002C7293" w:rsidRPr="002C7293">
        <w:t>to</w:t>
      </w:r>
      <w:r w:rsidRPr="002C7293">
        <w:t xml:space="preserve"> reach targets set for them, or even new targets provided (Hattie, 2009). In PTE1, there was a whole school approach when it came to providing feedback, making use of Ron Berger’s ‘Be kind, b</w:t>
      </w:r>
      <w:r w:rsidRPr="002C7293">
        <w:t xml:space="preserve">e specific, be helpful’ (Berger, 2017) approach. The approach of providing feedback can have its pitfalls, with Brookhart (2008) understanding how feedback can be “judgemental” and not encouraging nor descriptive for the learner. Many argue how feedback needs to be provided whilst students are still </w:t>
      </w:r>
      <w:proofErr w:type="gramStart"/>
      <w:r w:rsidRPr="002C7293">
        <w:t>in the midst of</w:t>
      </w:r>
      <w:proofErr w:type="gramEnd"/>
      <w:r w:rsidRPr="002C7293">
        <w:t xml:space="preserve"> learning rather than at the end of a task in order to make them think critically as they are working, with it needing to come whilst they are still striving to complete a task - using it as a goa</w:t>
      </w:r>
      <w:r w:rsidRPr="002C7293">
        <w:t>l to work towards (Brookhart, 2008).</w:t>
      </w:r>
    </w:p>
    <w:p w14:paraId="03F1946D" w14:textId="33A18329" w:rsidR="005D4E48" w:rsidRPr="002C7293" w:rsidRDefault="00A74AC4" w:rsidP="00A74AC4">
      <w:pPr>
        <w:spacing w:before="240" w:after="240" w:line="360" w:lineRule="auto"/>
      </w:pPr>
      <w:r w:rsidRPr="002C7293">
        <w:t>The other two targets involved within this aspect of the SDP (2023) involve the practice of ‘Zones of Regulations’ (</w:t>
      </w:r>
      <w:proofErr w:type="spellStart"/>
      <w:r w:rsidRPr="002C7293">
        <w:t>ZoR</w:t>
      </w:r>
      <w:proofErr w:type="spellEnd"/>
      <w:r w:rsidRPr="002C7293">
        <w:t xml:space="preserve">) and a whole school approach to ‘mental health and emotional well-being’, these can be interlocked as </w:t>
      </w:r>
      <w:proofErr w:type="spellStart"/>
      <w:r w:rsidRPr="002C7293">
        <w:t>ZoR</w:t>
      </w:r>
      <w:proofErr w:type="spellEnd"/>
      <w:r w:rsidRPr="002C7293">
        <w:t xml:space="preserve"> can aid students in allowing them to gain skills whilst controlling their conduct (</w:t>
      </w:r>
      <w:proofErr w:type="spellStart"/>
      <w:r w:rsidRPr="002C7293">
        <w:t>Kuypers</w:t>
      </w:r>
      <w:proofErr w:type="spellEnd"/>
      <w:r w:rsidRPr="002C7293">
        <w:t xml:space="preserve">, 2011). </w:t>
      </w:r>
      <w:proofErr w:type="spellStart"/>
      <w:r w:rsidRPr="002C7293">
        <w:t>Kuypers</w:t>
      </w:r>
      <w:proofErr w:type="spellEnd"/>
      <w:r w:rsidRPr="002C7293">
        <w:t xml:space="preserve"> (2011) also outlines how the use of </w:t>
      </w:r>
      <w:proofErr w:type="spellStart"/>
      <w:r w:rsidRPr="002C7293">
        <w:t>ZoR</w:t>
      </w:r>
      <w:proofErr w:type="spellEnd"/>
      <w:r w:rsidRPr="002C7293">
        <w:t xml:space="preserve"> can benefit problem solving skills - which inadvertently links to another aspect of PTE1’s SDP. I have witnessed </w:t>
      </w:r>
      <w:r w:rsidR="00D64664" w:rsidRPr="002C7293">
        <w:t>first-hand</w:t>
      </w:r>
      <w:r w:rsidRPr="002C7293">
        <w:t xml:space="preserve"> the use of focusing purely upon the mental health and emotional well-being of students during PTE1 as a form of allowing the pupil </w:t>
      </w:r>
      <w:r w:rsidRPr="002C7293">
        <w:t>to enjoy coming to school with studies being conducted and showing that the practice of ‘interventions’ to be made in order to help aid the mental health of a child at an earlier age being more beneficial to later in life (</w:t>
      </w:r>
      <w:r w:rsidRPr="002C7293">
        <w:rPr>
          <w:highlight w:val="white"/>
        </w:rPr>
        <w:t xml:space="preserve">Greenberg, </w:t>
      </w:r>
      <w:proofErr w:type="spellStart"/>
      <w:r w:rsidRPr="002C7293">
        <w:rPr>
          <w:highlight w:val="white"/>
        </w:rPr>
        <w:t>Domitrovich</w:t>
      </w:r>
      <w:proofErr w:type="spellEnd"/>
      <w:r w:rsidRPr="002C7293">
        <w:rPr>
          <w:highlight w:val="white"/>
        </w:rPr>
        <w:t xml:space="preserve"> and </w:t>
      </w:r>
      <w:proofErr w:type="spellStart"/>
      <w:r w:rsidRPr="002C7293">
        <w:rPr>
          <w:highlight w:val="white"/>
        </w:rPr>
        <w:t>Bumbarger</w:t>
      </w:r>
      <w:proofErr w:type="spellEnd"/>
      <w:r w:rsidRPr="002C7293">
        <w:rPr>
          <w:highlight w:val="white"/>
        </w:rPr>
        <w:t>, 2001). According to Welsh Gov (2022), there is a link between the eligibility of Free School Meals in schools with levels of deprivation/attainment levels, with those eligible for FSM showing lower levels or performance - which can be linked to PTE1 w</w:t>
      </w:r>
      <w:r w:rsidRPr="002C7293">
        <w:rPr>
          <w:highlight w:val="white"/>
        </w:rPr>
        <w:t xml:space="preserve">ith a FSM percentage of 21.4% according to the last Estyn report (2023), hence why the need to focus on the well-being of a pupil along with the use of </w:t>
      </w:r>
      <w:proofErr w:type="spellStart"/>
      <w:r w:rsidRPr="002C7293">
        <w:rPr>
          <w:highlight w:val="white"/>
        </w:rPr>
        <w:t>ZoR’s</w:t>
      </w:r>
      <w:proofErr w:type="spellEnd"/>
      <w:r w:rsidRPr="002C7293">
        <w:rPr>
          <w:highlight w:val="white"/>
        </w:rPr>
        <w:t xml:space="preserve"> is useful, as the emotional regulation of a pupil can link towards </w:t>
      </w:r>
      <w:proofErr w:type="spellStart"/>
      <w:r w:rsidRPr="002C7293">
        <w:rPr>
          <w:highlight w:val="white"/>
        </w:rPr>
        <w:t>th</w:t>
      </w:r>
      <w:proofErr w:type="spellEnd"/>
      <w:r w:rsidRPr="002C7293">
        <w:rPr>
          <w:highlight w:val="white"/>
        </w:rPr>
        <w:t xml:space="preserve"> readiness in order to operate to the best of their abilities (</w:t>
      </w:r>
      <w:proofErr w:type="spellStart"/>
      <w:r w:rsidRPr="002C7293">
        <w:rPr>
          <w:highlight w:val="white"/>
        </w:rPr>
        <w:t>Kuypers</w:t>
      </w:r>
      <w:proofErr w:type="spellEnd"/>
      <w:r w:rsidRPr="002C7293">
        <w:rPr>
          <w:highlight w:val="white"/>
        </w:rPr>
        <w:t>, 2011).</w:t>
      </w:r>
    </w:p>
    <w:p w14:paraId="4ED3180A" w14:textId="3281B62D" w:rsidR="002C7293" w:rsidRPr="002C7293" w:rsidRDefault="002C7293" w:rsidP="00A74AC4">
      <w:pPr>
        <w:spacing w:before="240" w:after="240" w:line="360" w:lineRule="auto"/>
        <w:rPr>
          <w:b/>
          <w:bCs/>
          <w:sz w:val="28"/>
          <w:szCs w:val="28"/>
        </w:rPr>
      </w:pPr>
      <w:r w:rsidRPr="002C7293">
        <w:rPr>
          <w:b/>
          <w:bCs/>
          <w:sz w:val="28"/>
          <w:szCs w:val="28"/>
        </w:rPr>
        <w:t xml:space="preserve">Developing an action point </w:t>
      </w:r>
    </w:p>
    <w:p w14:paraId="65D7DDB5" w14:textId="2FE71310" w:rsidR="005D4E48" w:rsidRDefault="00A74AC4" w:rsidP="00A74AC4">
      <w:pPr>
        <w:spacing w:before="240" w:after="240" w:line="360" w:lineRule="auto"/>
      </w:pPr>
      <w:r>
        <w:t xml:space="preserve">The School Development Plan is a strategic document that outlines a schools’ priorities, </w:t>
      </w:r>
      <w:proofErr w:type="gramStart"/>
      <w:r>
        <w:t>goals</w:t>
      </w:r>
      <w:proofErr w:type="gramEnd"/>
      <w:r>
        <w:t xml:space="preserve"> and actions over a specific timeframe, at PTE1, this timeframe being every one academic year. These plans can be a very powerful utility to engage with as it also provides schools with new </w:t>
      </w:r>
      <w:r>
        <w:lastRenderedPageBreak/>
        <w:t>insights and possibilities for factors within their school which are working effectively (</w:t>
      </w:r>
      <w:proofErr w:type="spellStart"/>
      <w:r>
        <w:t>Creemers</w:t>
      </w:r>
      <w:proofErr w:type="spellEnd"/>
      <w:r>
        <w:t xml:space="preserve"> </w:t>
      </w:r>
      <w:r>
        <w:rPr>
          <w:i/>
        </w:rPr>
        <w:t>et al.</w:t>
      </w:r>
      <w:r>
        <w:t xml:space="preserve"> 2007) however it is important that when schools concoct these plans that they are strategically linking them to their school and to pay attention to the context as Hopkins (2001) suggests this may have been a problem</w:t>
      </w:r>
      <w:r>
        <w:t xml:space="preserve"> in recent times - although it is important to note year of this limitation in regards to its ‘recent times’ is in itself a potential limitation.</w:t>
      </w:r>
    </w:p>
    <w:p w14:paraId="256146DE" w14:textId="110BFD5D" w:rsidR="005D4E48" w:rsidRDefault="00A74AC4" w:rsidP="00A74AC4">
      <w:pPr>
        <w:spacing w:before="240" w:after="240" w:line="360" w:lineRule="auto"/>
      </w:pPr>
      <w:r>
        <w:t xml:space="preserve">In terms of the form of </w:t>
      </w:r>
      <w:proofErr w:type="spellStart"/>
      <w:r>
        <w:t>self evaluation</w:t>
      </w:r>
      <w:proofErr w:type="spellEnd"/>
      <w:r>
        <w:t xml:space="preserve"> PTE1 undertakes in assessing its strengths, weaknesses and areas of improvements, a collaborative meeting is taken place amongst all staff members and governors to view what has been reached in terms of the above mentioned. As previously mentioned in this paper, the use of collaboration </w:t>
      </w:r>
      <w:proofErr w:type="gramStart"/>
      <w:r>
        <w:t>in order to</w:t>
      </w:r>
      <w:proofErr w:type="gramEnd"/>
      <w:r>
        <w:t xml:space="preserve"> reach targets surrounding the SDP is vital, however it does not end there but continues on all fronts, especially in self-evaluating come the end of the academic year. Chapman and Sammons (2013) e</w:t>
      </w:r>
      <w:r>
        <w:t xml:space="preserve">xpress the importance of self-evaluation when it comes to making improvements in schools, for staff to reflect upon their own practice, ensuring they understand what areas aid improvement. Studies reviewed through the Welsh Government (2022) found in different countries that the use of self-evaluation when it comes to improving the schools were effective and can create a positive impact, but they also outline that although certain approaches may work in different countries, Wales should “seek to </w:t>
      </w:r>
      <w:r>
        <w:rPr>
          <w:i/>
        </w:rPr>
        <w:t>learn</w:t>
      </w:r>
      <w:r>
        <w:t xml:space="preserve"> from </w:t>
      </w:r>
      <w:r>
        <w:t>and not slavishly borrow these approaches” (Welsh Gov, 2022, p</w:t>
      </w:r>
      <w:r>
        <w:t xml:space="preserve">. 4). At PTE1, although they do review the process at the end of the academic year, they constantly refer back to the SDP (2023) and ensure they are hitting the targets in meetings, by keeping the document up-to-date through the means of ‘colour coding’, which has been used to support learning and, according to </w:t>
      </w:r>
      <w:proofErr w:type="spellStart"/>
      <w:r>
        <w:t>Skulmowski</w:t>
      </w:r>
      <w:proofErr w:type="spellEnd"/>
      <w:r>
        <w:t xml:space="preserve"> and Rey (2018), has shown to increase learning levels, however some may argue that the use of ‘colour coding’ can be distracting (Christ, 1975), leading it to take importance over other el</w:t>
      </w:r>
      <w:r>
        <w:t>ements that may be involved in the evaluation process (</w:t>
      </w:r>
      <w:proofErr w:type="spellStart"/>
      <w:r>
        <w:t>Pachella</w:t>
      </w:r>
      <w:proofErr w:type="spellEnd"/>
      <w:r>
        <w:t xml:space="preserve">, 1969). </w:t>
      </w:r>
    </w:p>
    <w:p w14:paraId="1FE86B85" w14:textId="0D97D368" w:rsidR="005D4E48" w:rsidRDefault="00A74AC4" w:rsidP="00A74AC4">
      <w:pPr>
        <w:spacing w:before="240" w:after="240" w:line="360" w:lineRule="auto"/>
      </w:pPr>
      <w:r>
        <w:t xml:space="preserve">In terms of retrieving data regarding attendance, behaviour, PTE1 </w:t>
      </w:r>
      <w:r w:rsidR="00D64664">
        <w:t>collaborate</w:t>
      </w:r>
      <w:r>
        <w:t xml:space="preserve"> in their clusters to discuss their classes and make use of spreadsheets to keep track of potential changes in attendance/behaviour. The use of discussing this (qualitative) before then inputting the data (quantitative) allows the teachers to spot any trends that may be forming and where they need to work towards protecting such trends. Including these forms of analysis allows teaching and learning to continue improving and can have the most immediate influence upon the performance of students (</w:t>
      </w:r>
      <w:proofErr w:type="spellStart"/>
      <w:r>
        <w:t>S</w:t>
      </w:r>
      <w:r>
        <w:t>chmoker</w:t>
      </w:r>
      <w:proofErr w:type="spellEnd"/>
      <w:r>
        <w:t xml:space="preserve">, 2003). A limitation of this can be the addition to teachers’ workload, however </w:t>
      </w:r>
      <w:proofErr w:type="spellStart"/>
      <w:r>
        <w:t>Schmoker</w:t>
      </w:r>
      <w:proofErr w:type="spellEnd"/>
      <w:r>
        <w:t xml:space="preserve"> (2001) also outlines how creating a simple improvement plan </w:t>
      </w:r>
      <w:r>
        <w:lastRenderedPageBreak/>
        <w:t>which includes targets for improving pupils’ assessment scores can help prevent any sense of ‘work overload’.</w:t>
      </w:r>
    </w:p>
    <w:p w14:paraId="3271A1FD" w14:textId="671A58A8" w:rsidR="005D4E48" w:rsidRDefault="00A74AC4" w:rsidP="00A74AC4">
      <w:pPr>
        <w:spacing w:before="240" w:after="240" w:line="360" w:lineRule="auto"/>
      </w:pPr>
      <w:r>
        <w:t xml:space="preserve">At PTE1, the involvement of all members of staff as well as parents and governors </w:t>
      </w:r>
      <w:proofErr w:type="gramStart"/>
      <w:r>
        <w:t>is</w:t>
      </w:r>
      <w:proofErr w:type="gramEnd"/>
      <w:r>
        <w:t xml:space="preserve"> used in order to create the SDP (2023). Some also underline how pupils are also stakeholders when it comes to the school (Brighouse and Woods, 1999), stating how they have “principal claim to attention” (Brighouse and Woods, 1999, p</w:t>
      </w:r>
      <w:r>
        <w:t xml:space="preserve">. 5). This links to Curriculum for Wales in the sense of ensuring the pupils are included in what they learn - in this sense developing a curriculum that is pupil-led. Estyn (2019) outlines that ensuring </w:t>
      </w:r>
      <w:r>
        <w:t xml:space="preserve">pupils have voice when it comes to designing the curriculum is </w:t>
      </w:r>
      <w:r w:rsidR="00D64664">
        <w:t>the</w:t>
      </w:r>
      <w:r>
        <w:t xml:space="preserve"> driving force of the planning. Helping to pinpoint topics of what and how they want to learn - also including all members of staff (2019). </w:t>
      </w:r>
      <w:proofErr w:type="gramStart"/>
      <w:r>
        <w:t xml:space="preserve">In </w:t>
      </w:r>
      <w:r w:rsidR="00984B86">
        <w:t>spite</w:t>
      </w:r>
      <w:r>
        <w:t xml:space="preserve"> of</w:t>
      </w:r>
      <w:proofErr w:type="gramEnd"/>
      <w:r>
        <w:t xml:space="preserve"> this, Fielding (2004) </w:t>
      </w:r>
      <w:r w:rsidR="00984B86">
        <w:t xml:space="preserve">understands </w:t>
      </w:r>
      <w:r>
        <w:t>that the continuation of students being involved in the curriculum will soon lead to students becoming “tired of the increasing number of invitations to express a view on matters they do not think are important” (Fielding, 2004</w:t>
      </w:r>
      <w:r w:rsidR="00984B86">
        <w:t>, p. 306</w:t>
      </w:r>
      <w:r>
        <w:t>).</w:t>
      </w:r>
    </w:p>
    <w:p w14:paraId="4C602420" w14:textId="2E8EBFE5" w:rsidR="005D4E48" w:rsidRDefault="00A74AC4" w:rsidP="00A74AC4">
      <w:pPr>
        <w:spacing w:before="240" w:after="240" w:line="360" w:lineRule="auto"/>
      </w:pPr>
      <w:r>
        <w:t>The process of reviewing the SDP at PTE1 is simple yet effective. It is reviewed at the end of every academic year (July) by all staff members to see what targets have been hit - however the important thing to remember is that these targets include mini targets which have deadlines throughout the year to meet. Therefore, rather than just seeing where they are at the end of the year, they are constantly in review of the plan. Based on these reviews is how they develop the plan for the following academic year</w:t>
      </w:r>
      <w:r>
        <w:t xml:space="preserve"> - viewing what has been reached to what they desired and whether a target has not been reached, how they can adapt such target to reach it in the following year. They also create targets based off recommendations from Estyn, serving as a “reference for action” (Chang, 2008, p</w:t>
      </w:r>
      <w:r>
        <w:t>. 2) and “not only policy directions, but also information on the implementation strategies” (Chang, 2008, p</w:t>
      </w:r>
      <w:r>
        <w:t>. 2).</w:t>
      </w:r>
    </w:p>
    <w:p w14:paraId="1F56C8D4" w14:textId="4EC5B05F" w:rsidR="005D4E48" w:rsidRPr="002C7293" w:rsidRDefault="002C7293" w:rsidP="00A74AC4">
      <w:pPr>
        <w:spacing w:before="240" w:after="240" w:line="360" w:lineRule="auto"/>
        <w:rPr>
          <w:b/>
          <w:bCs/>
        </w:rPr>
      </w:pPr>
      <w:r w:rsidRPr="002C7293">
        <w:rPr>
          <w:b/>
          <w:bCs/>
          <w:sz w:val="28"/>
          <w:szCs w:val="28"/>
        </w:rPr>
        <w:t>Reflection and evaluation</w:t>
      </w:r>
    </w:p>
    <w:p w14:paraId="5F632164" w14:textId="00D83738" w:rsidR="005D4E48" w:rsidRDefault="00A74AC4" w:rsidP="00A74AC4">
      <w:pPr>
        <w:spacing w:before="240" w:after="240" w:line="360" w:lineRule="auto"/>
      </w:pPr>
      <w:r>
        <w:t xml:space="preserve">Throughout this process, </w:t>
      </w:r>
      <w:r w:rsidR="00C4687E">
        <w:t xml:space="preserve">and </w:t>
      </w:r>
      <w:r>
        <w:t>through analysing the SDP</w:t>
      </w:r>
      <w:r w:rsidR="00C4687E">
        <w:t>,</w:t>
      </w:r>
      <w:r>
        <w:t xml:space="preserve"> it has allowed me to develop an understanding of what exactly it entails and all the ‘behind the scenes’ work that goes into completing a plan to help improve the performance of schools. From using recommendations through Estyn, developing other targets, using everyone involved within the school setting to reach those targets and to share the workload, it emphasises the use of collaboration and data analysis in decision making. Including the use of Assessment and Data Analysis can often be a limitation if </w:t>
      </w:r>
      <w:r>
        <w:t xml:space="preserve">not used appropriately however ensuring a use of both qualitative and quantitative </w:t>
      </w:r>
      <w:r>
        <w:lastRenderedPageBreak/>
        <w:t xml:space="preserve">data </w:t>
      </w:r>
      <w:proofErr w:type="gramStart"/>
      <w:r>
        <w:t>in order to</w:t>
      </w:r>
      <w:proofErr w:type="gramEnd"/>
      <w:r>
        <w:t xml:space="preserve"> establish the strengths, challenges and priorities can allow it to be vital. Setting clear goals to reach can sometimes distract staff members in the form of creating goals ‘for the sake of it’. This relates to </w:t>
      </w:r>
      <w:proofErr w:type="spellStart"/>
      <w:r>
        <w:t>Xaba</w:t>
      </w:r>
      <w:proofErr w:type="spellEnd"/>
      <w:r>
        <w:t xml:space="preserve"> (2006) who highlighted the issue of schools creating goals/targets that are unrealistic to their own process. When they need to ensure they align the goals with the true ethics and aspirations of </w:t>
      </w:r>
      <w:r>
        <w:t xml:space="preserve">the school and their surrounding community. </w:t>
      </w:r>
      <w:r w:rsidR="00C4687E">
        <w:t>Regarding</w:t>
      </w:r>
      <w:r>
        <w:t xml:space="preserve"> collaborating with others, the link towards the Welsh curriculum (Donaldson, 2015) aligns with the principles, highlighting the importance of responsibility and evidence-based practice. Ensuring goals are always set in creating the SDP also links in with the four purposes of the Welsh curriculum as they strive to ensure they are essential, </w:t>
      </w:r>
      <w:r w:rsidR="00D64664">
        <w:t>consistent,</w:t>
      </w:r>
      <w:r>
        <w:t xml:space="preserve"> and reliable to the learners needs as well as the community.</w:t>
      </w:r>
    </w:p>
    <w:p w14:paraId="67544E31" w14:textId="33D35DE4" w:rsidR="002C7293" w:rsidRPr="002C7293" w:rsidRDefault="002C7293" w:rsidP="00A74AC4">
      <w:pPr>
        <w:spacing w:line="360" w:lineRule="auto"/>
        <w:rPr>
          <w:b/>
          <w:bCs/>
          <w:sz w:val="28"/>
          <w:szCs w:val="28"/>
        </w:rPr>
      </w:pPr>
      <w:r w:rsidRPr="002C7293">
        <w:rPr>
          <w:b/>
          <w:bCs/>
          <w:sz w:val="28"/>
          <w:szCs w:val="28"/>
        </w:rPr>
        <w:t>Conclusion</w:t>
      </w:r>
    </w:p>
    <w:p w14:paraId="2773EB39" w14:textId="77777777" w:rsidR="002C7293" w:rsidRDefault="002C7293" w:rsidP="00A74AC4">
      <w:pPr>
        <w:spacing w:line="360" w:lineRule="auto"/>
      </w:pPr>
    </w:p>
    <w:p w14:paraId="48F50C7E" w14:textId="20353232" w:rsidR="005D4E48" w:rsidRDefault="00A74AC4" w:rsidP="00A74AC4">
      <w:pPr>
        <w:spacing w:line="360" w:lineRule="auto"/>
      </w:pPr>
      <w:r>
        <w:t>To conclude, this paper outlines what is included within a School Development Plan with a focus upon the section of ‘Well-being and Attitudes to Learning’ as well as the Plan as a whole, explaining the roles of those involved and how the workload is shared amongst many members of the community. Explaining the importance of collaboration amongst staff and combining feedback with the use of data analysis to help come towards conclusions in r</w:t>
      </w:r>
      <w:r w:rsidR="00C4687E">
        <w:t>elation</w:t>
      </w:r>
      <w:r>
        <w:t xml:space="preserve"> to creating new targets for following academic years, can enhance improvement. It is important to understand the barriers when it comes to creating the plan being an increasing amount of workload on staff, but also to highlight the collaboration to help ease this workload although </w:t>
      </w:r>
      <w:proofErr w:type="spellStart"/>
      <w:r>
        <w:t>Schmoker</w:t>
      </w:r>
      <w:proofErr w:type="spellEnd"/>
      <w:r>
        <w:t xml:space="preserve"> (2001) understands how having simple plans in place allows this to be eased. I’m a strong believer in collaboration enhancing the learning of all inside a school setting, both pupils and staff. </w:t>
      </w:r>
      <w:r w:rsidR="00D64664">
        <w:t>Therefore,</w:t>
      </w:r>
      <w:r>
        <w:t xml:space="preserve"> I intend on enc</w:t>
      </w:r>
      <w:r>
        <w:t>ouraging the use of collaboration in my classroom as well as using other members around me to enhance not only the learning of the pupils but also of other educators and myself, which will be beneficial in terms of reaching aims and purposes of the Welsh curriculum (Donaldson, 2015)</w:t>
      </w:r>
      <w:r w:rsidR="002C7293">
        <w:t>.</w:t>
      </w:r>
    </w:p>
    <w:p w14:paraId="7BED1091" w14:textId="77777777" w:rsidR="005D4E48" w:rsidRDefault="005D4E48" w:rsidP="002C7293">
      <w:pPr>
        <w:spacing w:line="360" w:lineRule="auto"/>
      </w:pPr>
    </w:p>
    <w:p w14:paraId="761D56E3" w14:textId="77777777" w:rsidR="00A74AC4" w:rsidRDefault="00A74AC4" w:rsidP="002C7293">
      <w:pPr>
        <w:spacing w:line="360" w:lineRule="auto"/>
      </w:pPr>
    </w:p>
    <w:p w14:paraId="017C985C" w14:textId="77777777" w:rsidR="00A74AC4" w:rsidRDefault="00A74AC4" w:rsidP="002C7293">
      <w:pPr>
        <w:spacing w:line="360" w:lineRule="auto"/>
      </w:pPr>
    </w:p>
    <w:p w14:paraId="71F6C514" w14:textId="77777777" w:rsidR="00A74AC4" w:rsidRDefault="00A74AC4" w:rsidP="002C7293">
      <w:pPr>
        <w:spacing w:line="360" w:lineRule="auto"/>
      </w:pPr>
    </w:p>
    <w:p w14:paraId="72386D0D" w14:textId="77777777" w:rsidR="00A74AC4" w:rsidRDefault="00A74AC4" w:rsidP="002C7293">
      <w:pPr>
        <w:spacing w:line="360" w:lineRule="auto"/>
      </w:pPr>
    </w:p>
    <w:p w14:paraId="4E291942" w14:textId="77777777" w:rsidR="00A74AC4" w:rsidRDefault="00A74AC4" w:rsidP="002C7293">
      <w:pPr>
        <w:spacing w:line="360" w:lineRule="auto"/>
      </w:pPr>
    </w:p>
    <w:p w14:paraId="324FC9E8" w14:textId="77777777" w:rsidR="00A74AC4" w:rsidRDefault="00A74AC4" w:rsidP="002C7293">
      <w:pPr>
        <w:spacing w:line="360" w:lineRule="auto"/>
      </w:pPr>
    </w:p>
    <w:p w14:paraId="681019A5" w14:textId="77777777" w:rsidR="00A74AC4" w:rsidRDefault="00A74AC4" w:rsidP="002C7293">
      <w:pPr>
        <w:spacing w:line="360" w:lineRule="auto"/>
      </w:pPr>
    </w:p>
    <w:p w14:paraId="3672A08F" w14:textId="77777777" w:rsidR="00A74AC4" w:rsidRDefault="00A74AC4" w:rsidP="00A74AC4">
      <w:pPr>
        <w:rPr>
          <w:u w:val="single"/>
        </w:rPr>
      </w:pPr>
      <w:r>
        <w:rPr>
          <w:u w:val="single"/>
        </w:rPr>
        <w:t>Reference List</w:t>
      </w:r>
    </w:p>
    <w:p w14:paraId="668652CE" w14:textId="77777777" w:rsidR="00A74AC4" w:rsidRDefault="00A74AC4" w:rsidP="00A74AC4"/>
    <w:p w14:paraId="4A23A644" w14:textId="77777777" w:rsidR="00A74AC4" w:rsidRDefault="00A74AC4" w:rsidP="00A74AC4">
      <w:pPr>
        <w:spacing w:before="240" w:after="240" w:line="360" w:lineRule="auto"/>
      </w:pPr>
      <w:r>
        <w:t xml:space="preserve">Berger, R. (2017) ‘Ron Berger - Rules for Critique’ </w:t>
      </w:r>
      <w:r>
        <w:rPr>
          <w:i/>
        </w:rPr>
        <w:t>High Tech High Unboxed</w:t>
      </w:r>
      <w:r>
        <w:t xml:space="preserve">. 5 June. Available at: </w:t>
      </w:r>
      <w:hyperlink r:id="rId7">
        <w:r>
          <w:rPr>
            <w:color w:val="1155CC"/>
            <w:u w:val="single"/>
          </w:rPr>
          <w:t>https://www.youtube.com/watch?v=cWMH_X4IvOk</w:t>
        </w:r>
      </w:hyperlink>
      <w:r>
        <w:t xml:space="preserve"> (Accessed: 25 February 2024)</w:t>
      </w:r>
    </w:p>
    <w:p w14:paraId="54AE5B17" w14:textId="77777777" w:rsidR="00A74AC4" w:rsidRDefault="00A74AC4" w:rsidP="00A74AC4">
      <w:pPr>
        <w:spacing w:before="240" w:after="240" w:line="360" w:lineRule="auto"/>
        <w:rPr>
          <w:sz w:val="23"/>
          <w:szCs w:val="23"/>
          <w:highlight w:val="white"/>
        </w:rPr>
      </w:pPr>
      <w:r>
        <w:rPr>
          <w:sz w:val="23"/>
          <w:szCs w:val="23"/>
          <w:highlight w:val="white"/>
        </w:rPr>
        <w:t xml:space="preserve">Brighouse, Tim. and Woods, D. (1999) </w:t>
      </w:r>
      <w:r>
        <w:rPr>
          <w:i/>
          <w:sz w:val="23"/>
          <w:szCs w:val="23"/>
          <w:highlight w:val="white"/>
        </w:rPr>
        <w:t>How to improve your school</w:t>
      </w:r>
      <w:r>
        <w:rPr>
          <w:sz w:val="23"/>
          <w:szCs w:val="23"/>
          <w:highlight w:val="white"/>
        </w:rPr>
        <w:t xml:space="preserve">. </w:t>
      </w:r>
      <w:proofErr w:type="gramStart"/>
      <w:r>
        <w:rPr>
          <w:sz w:val="23"/>
          <w:szCs w:val="23"/>
          <w:highlight w:val="white"/>
        </w:rPr>
        <w:t>London ;</w:t>
      </w:r>
      <w:proofErr w:type="gramEnd"/>
      <w:r>
        <w:rPr>
          <w:sz w:val="23"/>
          <w:szCs w:val="23"/>
          <w:highlight w:val="white"/>
        </w:rPr>
        <w:t xml:space="preserve"> Routledge. Available at:</w:t>
      </w:r>
      <w:r>
        <w:rPr>
          <w:color w:val="3A3A3A"/>
          <w:sz w:val="23"/>
          <w:szCs w:val="23"/>
          <w:highlight w:val="white"/>
        </w:rPr>
        <w:t xml:space="preserve"> </w:t>
      </w:r>
      <w:hyperlink r:id="rId8">
        <w:r>
          <w:rPr>
            <w:color w:val="1155CC"/>
            <w:sz w:val="23"/>
            <w:szCs w:val="23"/>
            <w:highlight w:val="white"/>
            <w:u w:val="single"/>
          </w:rPr>
          <w:t>https://doi.org/10.4324/9780203978894</w:t>
        </w:r>
      </w:hyperlink>
      <w:r>
        <w:rPr>
          <w:color w:val="3A3A3A"/>
          <w:sz w:val="23"/>
          <w:szCs w:val="23"/>
          <w:highlight w:val="white"/>
        </w:rPr>
        <w:t>.</w:t>
      </w:r>
      <w:r>
        <w:rPr>
          <w:sz w:val="23"/>
          <w:szCs w:val="23"/>
          <w:highlight w:val="white"/>
        </w:rPr>
        <w:t xml:space="preserve"> </w:t>
      </w:r>
    </w:p>
    <w:p w14:paraId="3FE959C5" w14:textId="77777777" w:rsidR="00A74AC4" w:rsidRDefault="00A74AC4" w:rsidP="00A74AC4">
      <w:pPr>
        <w:spacing w:before="240" w:after="240" w:line="360" w:lineRule="auto"/>
      </w:pPr>
      <w:r>
        <w:t xml:space="preserve">Brookhart, S. M. (2008) </w:t>
      </w:r>
      <w:r>
        <w:rPr>
          <w:i/>
        </w:rPr>
        <w:t>How to Give Effective Feedback to Your Students</w:t>
      </w:r>
      <w:r>
        <w:t>. Virginia; ASCD.</w:t>
      </w:r>
    </w:p>
    <w:p w14:paraId="7625C14A" w14:textId="77777777" w:rsidR="00A74AC4" w:rsidRDefault="00A74AC4" w:rsidP="00A74AC4">
      <w:pPr>
        <w:spacing w:before="240" w:after="240" w:line="360" w:lineRule="auto"/>
        <w:rPr>
          <w:sz w:val="23"/>
          <w:szCs w:val="23"/>
          <w:highlight w:val="white"/>
        </w:rPr>
      </w:pPr>
      <w:r>
        <w:rPr>
          <w:sz w:val="23"/>
          <w:szCs w:val="23"/>
          <w:highlight w:val="white"/>
        </w:rPr>
        <w:t xml:space="preserve">Chang, G. C. (2008) “Strategic Planning in Education: Some Concepts and Methods”, International Institute for Educational Planning, July 2008, Available at: </w:t>
      </w:r>
      <w:hyperlink r:id="rId9">
        <w:r>
          <w:rPr>
            <w:color w:val="1155CC"/>
            <w:sz w:val="23"/>
            <w:szCs w:val="23"/>
            <w:highlight w:val="white"/>
            <w:u w:val="single"/>
          </w:rPr>
          <w:t>http://dr-ama.com/wp-content/uploads/2013/04/strategic-education.pdf</w:t>
        </w:r>
      </w:hyperlink>
    </w:p>
    <w:p w14:paraId="21753536" w14:textId="77777777" w:rsidR="00A74AC4" w:rsidRDefault="00A74AC4" w:rsidP="00A74AC4">
      <w:pPr>
        <w:spacing w:before="240" w:after="240" w:line="360" w:lineRule="auto"/>
        <w:rPr>
          <w:sz w:val="24"/>
          <w:szCs w:val="24"/>
          <w:highlight w:val="white"/>
        </w:rPr>
      </w:pPr>
      <w:r>
        <w:rPr>
          <w:sz w:val="24"/>
          <w:szCs w:val="24"/>
          <w:highlight w:val="white"/>
        </w:rPr>
        <w:t>Chapman, C., &amp; Sammons, P. (2013). “School self-evaluation for school improvement: what works and why?”. Reading: Education Development Trust.</w:t>
      </w:r>
    </w:p>
    <w:p w14:paraId="28871FE0" w14:textId="77777777" w:rsidR="00A74AC4" w:rsidRDefault="00A74AC4" w:rsidP="00A74AC4">
      <w:pPr>
        <w:spacing w:before="240" w:after="240" w:line="360" w:lineRule="auto"/>
        <w:rPr>
          <w:sz w:val="23"/>
          <w:szCs w:val="23"/>
          <w:highlight w:val="white"/>
        </w:rPr>
      </w:pPr>
      <w:r>
        <w:rPr>
          <w:sz w:val="23"/>
          <w:szCs w:val="23"/>
          <w:highlight w:val="white"/>
        </w:rPr>
        <w:t xml:space="preserve">Christ, R. E. (1975) “Review and analysis </w:t>
      </w:r>
      <w:proofErr w:type="spellStart"/>
      <w:r>
        <w:rPr>
          <w:sz w:val="23"/>
          <w:szCs w:val="23"/>
          <w:highlight w:val="white"/>
        </w:rPr>
        <w:t>fo</w:t>
      </w:r>
      <w:proofErr w:type="spellEnd"/>
      <w:r>
        <w:rPr>
          <w:sz w:val="23"/>
          <w:szCs w:val="23"/>
          <w:highlight w:val="white"/>
        </w:rPr>
        <w:t xml:space="preserve"> </w:t>
      </w:r>
      <w:proofErr w:type="spellStart"/>
      <w:r>
        <w:rPr>
          <w:sz w:val="23"/>
          <w:szCs w:val="23"/>
          <w:highlight w:val="white"/>
        </w:rPr>
        <w:t>color</w:t>
      </w:r>
      <w:proofErr w:type="spellEnd"/>
      <w:r>
        <w:rPr>
          <w:sz w:val="23"/>
          <w:szCs w:val="23"/>
          <w:highlight w:val="white"/>
        </w:rPr>
        <w:t xml:space="preserve"> coding research for visual displays”, </w:t>
      </w:r>
      <w:r>
        <w:rPr>
          <w:i/>
          <w:sz w:val="23"/>
          <w:szCs w:val="23"/>
          <w:highlight w:val="white"/>
        </w:rPr>
        <w:t>Human Factors</w:t>
      </w:r>
      <w:r>
        <w:rPr>
          <w:sz w:val="23"/>
          <w:szCs w:val="23"/>
          <w:highlight w:val="white"/>
        </w:rPr>
        <w:t xml:space="preserve">, 17, pp. 542-570. Available at: </w:t>
      </w:r>
      <w:hyperlink r:id="rId10">
        <w:r>
          <w:rPr>
            <w:color w:val="1155CC"/>
            <w:sz w:val="23"/>
            <w:szCs w:val="23"/>
            <w:highlight w:val="white"/>
            <w:u w:val="single"/>
          </w:rPr>
          <w:t>https://doi.org/10.1177/001872087501700602</w:t>
        </w:r>
      </w:hyperlink>
      <w:r>
        <w:rPr>
          <w:sz w:val="23"/>
          <w:szCs w:val="23"/>
          <w:highlight w:val="white"/>
        </w:rPr>
        <w:t xml:space="preserve"> </w:t>
      </w:r>
    </w:p>
    <w:p w14:paraId="62DEA43F" w14:textId="77777777" w:rsidR="00A74AC4" w:rsidRDefault="00A74AC4" w:rsidP="00A74AC4">
      <w:pPr>
        <w:spacing w:before="240" w:after="240" w:line="360" w:lineRule="auto"/>
        <w:rPr>
          <w:sz w:val="23"/>
          <w:szCs w:val="23"/>
          <w:highlight w:val="white"/>
        </w:rPr>
      </w:pPr>
      <w:proofErr w:type="spellStart"/>
      <w:r>
        <w:rPr>
          <w:sz w:val="23"/>
          <w:szCs w:val="23"/>
          <w:highlight w:val="white"/>
        </w:rPr>
        <w:t>Creemers</w:t>
      </w:r>
      <w:proofErr w:type="spellEnd"/>
      <w:r>
        <w:rPr>
          <w:sz w:val="23"/>
          <w:szCs w:val="23"/>
          <w:highlight w:val="white"/>
        </w:rPr>
        <w:t xml:space="preserve">, B., Stoll, L., and </w:t>
      </w:r>
      <w:proofErr w:type="spellStart"/>
      <w:r>
        <w:rPr>
          <w:sz w:val="23"/>
          <w:szCs w:val="23"/>
          <w:highlight w:val="white"/>
        </w:rPr>
        <w:t>Reezigt</w:t>
      </w:r>
      <w:proofErr w:type="spellEnd"/>
      <w:r>
        <w:rPr>
          <w:sz w:val="23"/>
          <w:szCs w:val="23"/>
          <w:highlight w:val="white"/>
        </w:rPr>
        <w:t xml:space="preserve">, G. (2007) “Effective School Improvement - Ingredients for Success,” </w:t>
      </w:r>
      <w:r>
        <w:rPr>
          <w:i/>
          <w:sz w:val="23"/>
          <w:szCs w:val="23"/>
          <w:highlight w:val="white"/>
        </w:rPr>
        <w:t>The Results of an International Comparative Study of Best Practice Case Studies</w:t>
      </w:r>
      <w:r>
        <w:rPr>
          <w:sz w:val="23"/>
          <w:szCs w:val="23"/>
          <w:highlight w:val="white"/>
        </w:rPr>
        <w:t xml:space="preserve">. Available at: </w:t>
      </w:r>
      <w:hyperlink r:id="rId11">
        <w:r>
          <w:rPr>
            <w:color w:val="1155CC"/>
            <w:sz w:val="23"/>
            <w:szCs w:val="23"/>
            <w:highlight w:val="white"/>
            <w:u w:val="single"/>
          </w:rPr>
          <w:t>10.1007/978-1-4020-5747-2_44</w:t>
        </w:r>
      </w:hyperlink>
      <w:r>
        <w:rPr>
          <w:sz w:val="23"/>
          <w:szCs w:val="23"/>
          <w:highlight w:val="white"/>
        </w:rPr>
        <w:t xml:space="preserve"> </w:t>
      </w:r>
    </w:p>
    <w:p w14:paraId="124FF6DB" w14:textId="77777777" w:rsidR="00A74AC4" w:rsidRDefault="00A74AC4" w:rsidP="00A74AC4">
      <w:pPr>
        <w:spacing w:before="240" w:after="240" w:line="360" w:lineRule="auto"/>
        <w:rPr>
          <w:color w:val="3A3A3A"/>
        </w:rPr>
      </w:pPr>
      <w:proofErr w:type="spellStart"/>
      <w:r>
        <w:t>Cuckle</w:t>
      </w:r>
      <w:proofErr w:type="spellEnd"/>
      <w:r>
        <w:t xml:space="preserve">, P. and Broadhead, P. (2003) “Developments in Development Planning in English Primary Schools: 1994-2001,” </w:t>
      </w:r>
      <w:r>
        <w:rPr>
          <w:i/>
        </w:rPr>
        <w:t>School leadership &amp; management</w:t>
      </w:r>
      <w:r>
        <w:t>, 23(2), pp. 229–240. Available at:</w:t>
      </w:r>
      <w:r>
        <w:rPr>
          <w:color w:val="3A3A3A"/>
        </w:rPr>
        <w:t xml:space="preserve"> </w:t>
      </w:r>
      <w:hyperlink r:id="rId12">
        <w:r>
          <w:rPr>
            <w:color w:val="1155CC"/>
            <w:u w:val="single"/>
          </w:rPr>
          <w:t>https://doi.org/10.1080/1363243032000091977</w:t>
        </w:r>
      </w:hyperlink>
      <w:r>
        <w:rPr>
          <w:color w:val="3A3A3A"/>
        </w:rPr>
        <w:t xml:space="preserve">. </w:t>
      </w:r>
    </w:p>
    <w:p w14:paraId="20BDED9A" w14:textId="77777777" w:rsidR="00A74AC4" w:rsidRDefault="00A74AC4" w:rsidP="00A74AC4">
      <w:pPr>
        <w:spacing w:before="240" w:after="240" w:line="360" w:lineRule="auto"/>
        <w:rPr>
          <w:sz w:val="23"/>
          <w:szCs w:val="23"/>
          <w:highlight w:val="white"/>
        </w:rPr>
      </w:pPr>
      <w:r>
        <w:rPr>
          <w:sz w:val="23"/>
          <w:szCs w:val="23"/>
          <w:highlight w:val="white"/>
        </w:rPr>
        <w:t xml:space="preserve">Donaldson, G. (2015) </w:t>
      </w:r>
      <w:r>
        <w:rPr>
          <w:i/>
          <w:sz w:val="23"/>
          <w:szCs w:val="23"/>
          <w:highlight w:val="white"/>
        </w:rPr>
        <w:t>Successful Futures</w:t>
      </w:r>
      <w:r>
        <w:rPr>
          <w:sz w:val="23"/>
          <w:szCs w:val="23"/>
          <w:highlight w:val="white"/>
        </w:rPr>
        <w:t xml:space="preserve">. Available at: </w:t>
      </w:r>
      <w:hyperlink r:id="rId13">
        <w:r>
          <w:rPr>
            <w:color w:val="1155CC"/>
            <w:sz w:val="23"/>
            <w:szCs w:val="23"/>
            <w:highlight w:val="white"/>
            <w:u w:val="single"/>
          </w:rPr>
          <w:t>https://www.gov.wales/sites/default/files/publications/2018-03/successful-futures.pdf</w:t>
        </w:r>
      </w:hyperlink>
      <w:r>
        <w:rPr>
          <w:sz w:val="23"/>
          <w:szCs w:val="23"/>
          <w:highlight w:val="white"/>
        </w:rPr>
        <w:t xml:space="preserve"> (Accessed 25 February 2024)</w:t>
      </w:r>
    </w:p>
    <w:p w14:paraId="3150EFB5" w14:textId="77777777" w:rsidR="00A74AC4" w:rsidRDefault="00A74AC4" w:rsidP="00A74AC4">
      <w:pPr>
        <w:spacing w:before="240" w:after="240" w:line="360" w:lineRule="auto"/>
        <w:rPr>
          <w:color w:val="222222"/>
          <w:sz w:val="24"/>
          <w:szCs w:val="24"/>
          <w:highlight w:val="white"/>
        </w:rPr>
      </w:pPr>
      <w:proofErr w:type="spellStart"/>
      <w:r>
        <w:rPr>
          <w:sz w:val="23"/>
          <w:szCs w:val="23"/>
          <w:highlight w:val="white"/>
        </w:rPr>
        <w:t>Egeth</w:t>
      </w:r>
      <w:proofErr w:type="spellEnd"/>
      <w:r>
        <w:rPr>
          <w:sz w:val="23"/>
          <w:szCs w:val="23"/>
          <w:highlight w:val="white"/>
        </w:rPr>
        <w:t xml:space="preserve">, H., and </w:t>
      </w:r>
      <w:proofErr w:type="spellStart"/>
      <w:r>
        <w:rPr>
          <w:sz w:val="23"/>
          <w:szCs w:val="23"/>
          <w:highlight w:val="white"/>
        </w:rPr>
        <w:t>Pachella</w:t>
      </w:r>
      <w:proofErr w:type="spellEnd"/>
      <w:r>
        <w:rPr>
          <w:sz w:val="23"/>
          <w:szCs w:val="23"/>
          <w:highlight w:val="white"/>
        </w:rPr>
        <w:t xml:space="preserve">, R. (1969). “Multidimensional stimulus identification”, </w:t>
      </w:r>
      <w:r>
        <w:rPr>
          <w:i/>
          <w:sz w:val="23"/>
          <w:szCs w:val="23"/>
          <w:highlight w:val="white"/>
        </w:rPr>
        <w:t>Perception &amp; Psychophysics</w:t>
      </w:r>
      <w:r>
        <w:rPr>
          <w:sz w:val="23"/>
          <w:szCs w:val="23"/>
          <w:highlight w:val="white"/>
        </w:rPr>
        <w:t xml:space="preserve">, 5, pp. 341-346. Available at: </w:t>
      </w:r>
      <w:hyperlink r:id="rId14">
        <w:r>
          <w:rPr>
            <w:color w:val="1155CC"/>
            <w:sz w:val="24"/>
            <w:szCs w:val="24"/>
            <w:highlight w:val="white"/>
            <w:u w:val="single"/>
          </w:rPr>
          <w:t>https://doi.org/10.3758/BF03210654</w:t>
        </w:r>
      </w:hyperlink>
      <w:r>
        <w:rPr>
          <w:color w:val="222222"/>
          <w:sz w:val="24"/>
          <w:szCs w:val="24"/>
          <w:highlight w:val="white"/>
        </w:rPr>
        <w:t xml:space="preserve"> </w:t>
      </w:r>
    </w:p>
    <w:p w14:paraId="0908C687" w14:textId="77777777" w:rsidR="00A74AC4" w:rsidRDefault="00A74AC4" w:rsidP="00A74AC4">
      <w:pPr>
        <w:spacing w:before="240" w:after="240" w:line="360" w:lineRule="auto"/>
        <w:rPr>
          <w:sz w:val="23"/>
          <w:szCs w:val="23"/>
          <w:highlight w:val="white"/>
        </w:rPr>
      </w:pPr>
      <w:r>
        <w:rPr>
          <w:sz w:val="23"/>
          <w:szCs w:val="23"/>
          <w:highlight w:val="white"/>
        </w:rPr>
        <w:lastRenderedPageBreak/>
        <w:t xml:space="preserve">Estyn (2019) </w:t>
      </w:r>
      <w:r>
        <w:rPr>
          <w:i/>
          <w:sz w:val="23"/>
          <w:szCs w:val="23"/>
          <w:highlight w:val="white"/>
        </w:rPr>
        <w:t>Designing a pupil-led curriculum</w:t>
      </w:r>
      <w:r>
        <w:rPr>
          <w:sz w:val="23"/>
          <w:szCs w:val="23"/>
          <w:highlight w:val="white"/>
        </w:rPr>
        <w:t xml:space="preserve">. Available at: </w:t>
      </w:r>
      <w:hyperlink r:id="rId15" w:anchor=":~:text=Pupil%20voice%20is%20the%20driving,all%20teaching%20and%20support%20staff.">
        <w:r>
          <w:rPr>
            <w:color w:val="1155CC"/>
            <w:sz w:val="23"/>
            <w:szCs w:val="23"/>
            <w:highlight w:val="white"/>
            <w:u w:val="single"/>
          </w:rPr>
          <w:t>https://www.estyn.gov.wales/effective-practice/designing-pupil-led-curriculum#:~:text=Pupil%20voice%20is%20the%20driving,all%20teaching%20and%20support%20staff.</w:t>
        </w:r>
      </w:hyperlink>
      <w:r>
        <w:rPr>
          <w:sz w:val="23"/>
          <w:szCs w:val="23"/>
          <w:highlight w:val="white"/>
        </w:rPr>
        <w:t xml:space="preserve"> (Accessed 25 February 2024) </w:t>
      </w:r>
    </w:p>
    <w:p w14:paraId="30B4DF5E" w14:textId="77777777" w:rsidR="00A74AC4" w:rsidRDefault="00A74AC4" w:rsidP="00A74AC4">
      <w:pPr>
        <w:spacing w:before="240" w:after="240" w:line="360" w:lineRule="auto"/>
        <w:rPr>
          <w:sz w:val="23"/>
          <w:szCs w:val="23"/>
          <w:highlight w:val="white"/>
        </w:rPr>
      </w:pPr>
      <w:r>
        <w:rPr>
          <w:sz w:val="23"/>
          <w:szCs w:val="23"/>
          <w:highlight w:val="white"/>
        </w:rPr>
        <w:t xml:space="preserve">Estyn (2023) </w:t>
      </w:r>
      <w:r>
        <w:rPr>
          <w:i/>
          <w:sz w:val="23"/>
          <w:szCs w:val="23"/>
          <w:highlight w:val="white"/>
        </w:rPr>
        <w:t>Report summary for parents and carers on ‘PTE1’.</w:t>
      </w:r>
      <w:r>
        <w:rPr>
          <w:sz w:val="23"/>
          <w:szCs w:val="23"/>
          <w:highlight w:val="white"/>
        </w:rPr>
        <w:t xml:space="preserve"> Available online. (Accessed 25 February 2024)</w:t>
      </w:r>
    </w:p>
    <w:p w14:paraId="25E9E713" w14:textId="77777777" w:rsidR="00A74AC4" w:rsidRDefault="00A74AC4" w:rsidP="00A74AC4">
      <w:pPr>
        <w:spacing w:before="240" w:after="240" w:line="360" w:lineRule="auto"/>
        <w:rPr>
          <w:color w:val="3A3A3A"/>
        </w:rPr>
      </w:pPr>
      <w:r>
        <w:t xml:space="preserve">Fernandez, K.E. (2011) “Evaluating School Improvement Plans and their </w:t>
      </w:r>
      <w:proofErr w:type="spellStart"/>
      <w:r>
        <w:t>Affect</w:t>
      </w:r>
      <w:proofErr w:type="spellEnd"/>
      <w:r>
        <w:t xml:space="preserve"> on Academic Performance,” </w:t>
      </w:r>
      <w:r>
        <w:rPr>
          <w:i/>
        </w:rPr>
        <w:t>Educational policy (Los Altos, Calif.)</w:t>
      </w:r>
      <w:r>
        <w:t>, 25(2), pp. 338–367. Available at:</w:t>
      </w:r>
      <w:r>
        <w:rPr>
          <w:color w:val="3A3A3A"/>
        </w:rPr>
        <w:t xml:space="preserve"> </w:t>
      </w:r>
      <w:hyperlink r:id="rId16">
        <w:r>
          <w:rPr>
            <w:color w:val="1155CC"/>
            <w:u w:val="single"/>
          </w:rPr>
          <w:t>https://doi.org/10.1177/0895904809351693</w:t>
        </w:r>
      </w:hyperlink>
      <w:r>
        <w:rPr>
          <w:color w:val="3A3A3A"/>
        </w:rPr>
        <w:t xml:space="preserve"> .</w:t>
      </w:r>
    </w:p>
    <w:p w14:paraId="19529A26" w14:textId="77777777" w:rsidR="00A74AC4" w:rsidRDefault="00A74AC4" w:rsidP="00A74AC4">
      <w:pPr>
        <w:spacing w:before="240" w:after="240" w:line="360" w:lineRule="auto"/>
        <w:rPr>
          <w:color w:val="3A3A3A"/>
          <w:sz w:val="23"/>
          <w:szCs w:val="23"/>
          <w:highlight w:val="white"/>
        </w:rPr>
      </w:pPr>
      <w:r>
        <w:rPr>
          <w:sz w:val="23"/>
          <w:szCs w:val="23"/>
          <w:highlight w:val="white"/>
        </w:rPr>
        <w:t xml:space="preserve">Fielding, M. (2004) “Transformative approaches to student voice: theoretical underpinnings, recalcitrant realities,” </w:t>
      </w:r>
      <w:r>
        <w:rPr>
          <w:i/>
          <w:sz w:val="23"/>
          <w:szCs w:val="23"/>
          <w:highlight w:val="white"/>
        </w:rPr>
        <w:t>British educational research journal</w:t>
      </w:r>
      <w:r>
        <w:rPr>
          <w:sz w:val="23"/>
          <w:szCs w:val="23"/>
          <w:highlight w:val="white"/>
        </w:rPr>
        <w:t xml:space="preserve">, 30(2), pp. 295–311. Available at: </w:t>
      </w:r>
      <w:hyperlink r:id="rId17">
        <w:r>
          <w:rPr>
            <w:color w:val="1155CC"/>
            <w:sz w:val="23"/>
            <w:szCs w:val="23"/>
            <w:highlight w:val="white"/>
            <w:u w:val="single"/>
          </w:rPr>
          <w:t>https://doi.org/10.1080/0141192042000195236</w:t>
        </w:r>
      </w:hyperlink>
      <w:r>
        <w:rPr>
          <w:color w:val="3A3A3A"/>
          <w:sz w:val="23"/>
          <w:szCs w:val="23"/>
          <w:highlight w:val="white"/>
        </w:rPr>
        <w:t xml:space="preserve">. </w:t>
      </w:r>
    </w:p>
    <w:p w14:paraId="10F059E8" w14:textId="77777777" w:rsidR="00A74AC4" w:rsidRDefault="00A74AC4" w:rsidP="00A74AC4">
      <w:pPr>
        <w:spacing w:before="240" w:after="240" w:line="360" w:lineRule="auto"/>
        <w:rPr>
          <w:sz w:val="23"/>
          <w:szCs w:val="23"/>
          <w:highlight w:val="white"/>
        </w:rPr>
      </w:pPr>
      <w:r>
        <w:rPr>
          <w:sz w:val="23"/>
          <w:szCs w:val="23"/>
          <w:highlight w:val="white"/>
        </w:rPr>
        <w:t xml:space="preserve">Greenberg, M.T., </w:t>
      </w:r>
      <w:proofErr w:type="spellStart"/>
      <w:r>
        <w:rPr>
          <w:sz w:val="23"/>
          <w:szCs w:val="23"/>
          <w:highlight w:val="white"/>
        </w:rPr>
        <w:t>Domitrovich</w:t>
      </w:r>
      <w:proofErr w:type="spellEnd"/>
      <w:r>
        <w:rPr>
          <w:sz w:val="23"/>
          <w:szCs w:val="23"/>
          <w:highlight w:val="white"/>
        </w:rPr>
        <w:t xml:space="preserve">, C. and </w:t>
      </w:r>
      <w:proofErr w:type="spellStart"/>
      <w:r>
        <w:rPr>
          <w:sz w:val="23"/>
          <w:szCs w:val="23"/>
          <w:highlight w:val="white"/>
        </w:rPr>
        <w:t>Bumbarger</w:t>
      </w:r>
      <w:proofErr w:type="spellEnd"/>
      <w:r>
        <w:rPr>
          <w:sz w:val="23"/>
          <w:szCs w:val="23"/>
          <w:highlight w:val="white"/>
        </w:rPr>
        <w:t xml:space="preserve">, B. (2001) “The Prevention of Mental Disorders in School-Aged Children: Current State of the Field,” </w:t>
      </w:r>
      <w:r>
        <w:rPr>
          <w:i/>
          <w:sz w:val="23"/>
          <w:szCs w:val="23"/>
          <w:highlight w:val="white"/>
        </w:rPr>
        <w:t>Prevention &amp; treatment</w:t>
      </w:r>
      <w:r>
        <w:rPr>
          <w:sz w:val="23"/>
          <w:szCs w:val="23"/>
          <w:highlight w:val="white"/>
        </w:rPr>
        <w:t xml:space="preserve">, 4(1). Available at: </w:t>
      </w:r>
      <w:hyperlink r:id="rId18">
        <w:r>
          <w:rPr>
            <w:color w:val="1155CC"/>
            <w:sz w:val="23"/>
            <w:szCs w:val="23"/>
            <w:highlight w:val="white"/>
            <w:u w:val="single"/>
          </w:rPr>
          <w:t>https://doi.org/10.1037/1522-3736.4.1.41a</w:t>
        </w:r>
      </w:hyperlink>
      <w:r>
        <w:rPr>
          <w:sz w:val="23"/>
          <w:szCs w:val="23"/>
          <w:highlight w:val="white"/>
        </w:rPr>
        <w:t xml:space="preserve">. </w:t>
      </w:r>
    </w:p>
    <w:p w14:paraId="6FB5D24D" w14:textId="77777777" w:rsidR="00A74AC4" w:rsidRDefault="00A74AC4" w:rsidP="00A74AC4">
      <w:pPr>
        <w:spacing w:before="240" w:after="240" w:line="360" w:lineRule="auto"/>
        <w:rPr>
          <w:color w:val="3A3A3A"/>
        </w:rPr>
      </w:pPr>
      <w:proofErr w:type="spellStart"/>
      <w:r>
        <w:t>Hallinger</w:t>
      </w:r>
      <w:proofErr w:type="spellEnd"/>
      <w:r>
        <w:t xml:space="preserve">, P. and Heck, R.H. (1998) “Exploring the Principal’s Contribution to School Effectiveness: 1980-1995,” </w:t>
      </w:r>
      <w:r>
        <w:rPr>
          <w:i/>
        </w:rPr>
        <w:t>School effectiveness and school improvement</w:t>
      </w:r>
      <w:r>
        <w:t>, 9(2), pp. 157–191. Available at:</w:t>
      </w:r>
      <w:r>
        <w:rPr>
          <w:color w:val="3A3A3A"/>
        </w:rPr>
        <w:t xml:space="preserve"> </w:t>
      </w:r>
      <w:hyperlink r:id="rId19">
        <w:r>
          <w:rPr>
            <w:color w:val="1155CC"/>
            <w:u w:val="single"/>
          </w:rPr>
          <w:t>https://doi.org/10.1080/0924345980090203</w:t>
        </w:r>
      </w:hyperlink>
      <w:r>
        <w:rPr>
          <w:color w:val="3A3A3A"/>
        </w:rPr>
        <w:t xml:space="preserve">. </w:t>
      </w:r>
    </w:p>
    <w:p w14:paraId="2D51B694" w14:textId="77777777" w:rsidR="00A74AC4" w:rsidRDefault="00A74AC4" w:rsidP="00A74AC4">
      <w:pPr>
        <w:spacing w:before="240" w:after="240" w:line="360" w:lineRule="auto"/>
        <w:rPr>
          <w:sz w:val="23"/>
          <w:szCs w:val="23"/>
        </w:rPr>
      </w:pPr>
      <w:r>
        <w:rPr>
          <w:sz w:val="23"/>
          <w:szCs w:val="23"/>
        </w:rPr>
        <w:t xml:space="preserve">Hattie, J. (2009) </w:t>
      </w:r>
      <w:r>
        <w:rPr>
          <w:i/>
          <w:sz w:val="23"/>
          <w:szCs w:val="23"/>
        </w:rPr>
        <w:t xml:space="preserve">Visible </w:t>
      </w:r>
      <w:proofErr w:type="gramStart"/>
      <w:r>
        <w:rPr>
          <w:i/>
          <w:sz w:val="23"/>
          <w:szCs w:val="23"/>
        </w:rPr>
        <w:t>learning :</w:t>
      </w:r>
      <w:proofErr w:type="gramEnd"/>
      <w:r>
        <w:rPr>
          <w:i/>
          <w:sz w:val="23"/>
          <w:szCs w:val="23"/>
        </w:rPr>
        <w:t xml:space="preserve"> a synthesis of over 800 meta-analyses relating to achievement</w:t>
      </w:r>
      <w:r>
        <w:rPr>
          <w:sz w:val="23"/>
          <w:szCs w:val="23"/>
        </w:rPr>
        <w:t>. London; Routledge.</w:t>
      </w:r>
    </w:p>
    <w:p w14:paraId="32D6271B" w14:textId="77777777" w:rsidR="00A74AC4" w:rsidRDefault="00A74AC4" w:rsidP="00A74AC4">
      <w:pPr>
        <w:spacing w:before="240" w:after="240" w:line="360" w:lineRule="auto"/>
        <w:rPr>
          <w:color w:val="3A3A3A"/>
          <w:sz w:val="23"/>
          <w:szCs w:val="23"/>
          <w:highlight w:val="white"/>
        </w:rPr>
      </w:pPr>
      <w:r>
        <w:rPr>
          <w:sz w:val="23"/>
          <w:szCs w:val="23"/>
          <w:highlight w:val="white"/>
        </w:rPr>
        <w:t xml:space="preserve">Hattie, J. and Timperley, H. (2007) “The Power of Feedback,” </w:t>
      </w:r>
      <w:r>
        <w:rPr>
          <w:i/>
          <w:sz w:val="23"/>
          <w:szCs w:val="23"/>
        </w:rPr>
        <w:t>Review of educational research</w:t>
      </w:r>
      <w:r>
        <w:rPr>
          <w:sz w:val="23"/>
          <w:szCs w:val="23"/>
          <w:highlight w:val="white"/>
        </w:rPr>
        <w:t>, 77(1), pp. 81–112. Available at:</w:t>
      </w:r>
      <w:r>
        <w:rPr>
          <w:color w:val="3A3A3A"/>
          <w:sz w:val="23"/>
          <w:szCs w:val="23"/>
          <w:highlight w:val="white"/>
        </w:rPr>
        <w:t xml:space="preserve"> </w:t>
      </w:r>
      <w:hyperlink r:id="rId20">
        <w:r>
          <w:rPr>
            <w:color w:val="1155CC"/>
            <w:sz w:val="23"/>
            <w:szCs w:val="23"/>
            <w:highlight w:val="white"/>
            <w:u w:val="single"/>
          </w:rPr>
          <w:t>https://doi.org/10.3102/003465430298487</w:t>
        </w:r>
      </w:hyperlink>
      <w:r>
        <w:rPr>
          <w:color w:val="3A3A3A"/>
          <w:sz w:val="23"/>
          <w:szCs w:val="23"/>
          <w:highlight w:val="white"/>
        </w:rPr>
        <w:t xml:space="preserve">. </w:t>
      </w:r>
    </w:p>
    <w:p w14:paraId="5CA6FA64" w14:textId="77777777" w:rsidR="00A74AC4" w:rsidRDefault="00A74AC4" w:rsidP="00A74AC4">
      <w:pPr>
        <w:spacing w:before="240" w:after="240" w:line="360" w:lineRule="auto"/>
        <w:rPr>
          <w:highlight w:val="white"/>
        </w:rPr>
      </w:pPr>
      <w:proofErr w:type="spellStart"/>
      <w:r>
        <w:rPr>
          <w:highlight w:val="white"/>
        </w:rPr>
        <w:t>Kuypers</w:t>
      </w:r>
      <w:proofErr w:type="spellEnd"/>
      <w:r>
        <w:rPr>
          <w:highlight w:val="white"/>
        </w:rPr>
        <w:t xml:space="preserve">, L.M. (2013) “The Zones of Regulation: A Framework to Foster Self-Regulation,” </w:t>
      </w:r>
      <w:r>
        <w:rPr>
          <w:i/>
        </w:rPr>
        <w:t>Sensory Integration Special Interest Section Quarterly / American Occupational Therapy Association</w:t>
      </w:r>
      <w:r>
        <w:rPr>
          <w:highlight w:val="white"/>
        </w:rPr>
        <w:t>, 36(4), pp. 1-4.</w:t>
      </w:r>
    </w:p>
    <w:p w14:paraId="0CE0C864" w14:textId="77777777" w:rsidR="00A74AC4" w:rsidRDefault="00A74AC4" w:rsidP="00A74AC4">
      <w:pPr>
        <w:spacing w:before="240" w:after="240" w:line="360" w:lineRule="auto"/>
        <w:rPr>
          <w:color w:val="3A3A3A"/>
        </w:rPr>
      </w:pPr>
      <w:proofErr w:type="spellStart"/>
      <w:r>
        <w:t>Leithwood</w:t>
      </w:r>
      <w:proofErr w:type="spellEnd"/>
      <w:r>
        <w:t xml:space="preserve">, K. and </w:t>
      </w:r>
      <w:proofErr w:type="spellStart"/>
      <w:r>
        <w:t>Mascall</w:t>
      </w:r>
      <w:proofErr w:type="spellEnd"/>
      <w:r>
        <w:t xml:space="preserve">, B. (2008) “Collective Leadership Effects on Student Achievement,” </w:t>
      </w:r>
      <w:r>
        <w:rPr>
          <w:i/>
        </w:rPr>
        <w:t>Educational administration quarterly</w:t>
      </w:r>
      <w:r>
        <w:t xml:space="preserve">, 44(4), pp. 529–561. Available at: </w:t>
      </w:r>
      <w:hyperlink r:id="rId21">
        <w:r>
          <w:rPr>
            <w:color w:val="1155CC"/>
            <w:u w:val="single"/>
          </w:rPr>
          <w:t>https://doi.org/10.1177/0013161X08321221</w:t>
        </w:r>
      </w:hyperlink>
      <w:r>
        <w:rPr>
          <w:color w:val="3A3A3A"/>
        </w:rPr>
        <w:t xml:space="preserve">. </w:t>
      </w:r>
    </w:p>
    <w:p w14:paraId="267453AF" w14:textId="77777777" w:rsidR="00A74AC4" w:rsidRDefault="00A74AC4" w:rsidP="00A74AC4">
      <w:pPr>
        <w:spacing w:before="240" w:after="240" w:line="360" w:lineRule="auto"/>
      </w:pPr>
      <w:r>
        <w:rPr>
          <w:highlight w:val="white"/>
        </w:rPr>
        <w:lastRenderedPageBreak/>
        <w:t xml:space="preserve">Locke, E. A., &amp; Latham, G. P. (1990). </w:t>
      </w:r>
      <w:r>
        <w:rPr>
          <w:i/>
        </w:rPr>
        <w:t>A theory of goal setting &amp; task performance.</w:t>
      </w:r>
      <w:r>
        <w:rPr>
          <w:highlight w:val="white"/>
        </w:rPr>
        <w:t xml:space="preserve"> Prentice-Hall, Inc.</w:t>
      </w:r>
    </w:p>
    <w:p w14:paraId="57BB329F" w14:textId="77777777" w:rsidR="00A74AC4" w:rsidRDefault="00A74AC4" w:rsidP="00A74AC4">
      <w:pPr>
        <w:spacing w:before="240" w:after="240" w:line="360" w:lineRule="auto"/>
        <w:rPr>
          <w:color w:val="3A3A3A"/>
        </w:rPr>
      </w:pPr>
      <w:proofErr w:type="spellStart"/>
      <w:r>
        <w:t>MacGilchrist</w:t>
      </w:r>
      <w:proofErr w:type="spellEnd"/>
      <w:r>
        <w:t xml:space="preserve">, B. and Mortimore, P. (1997) “The Impact of School Development Plans in Primary Schools,” </w:t>
      </w:r>
      <w:r>
        <w:rPr>
          <w:i/>
        </w:rPr>
        <w:t>School effectiveness and school improvement</w:t>
      </w:r>
      <w:r>
        <w:t>, 8(2), pp. 198–218. Available at:</w:t>
      </w:r>
      <w:r>
        <w:rPr>
          <w:color w:val="3A3A3A"/>
        </w:rPr>
        <w:t xml:space="preserve"> </w:t>
      </w:r>
      <w:hyperlink r:id="rId22">
        <w:r>
          <w:rPr>
            <w:color w:val="1155CC"/>
            <w:u w:val="single"/>
          </w:rPr>
          <w:t>https://doi.org/10.1080/0924345970080202</w:t>
        </w:r>
      </w:hyperlink>
      <w:r>
        <w:rPr>
          <w:color w:val="3A3A3A"/>
        </w:rPr>
        <w:t xml:space="preserve">. </w:t>
      </w:r>
    </w:p>
    <w:p w14:paraId="4391D3A1" w14:textId="77777777" w:rsidR="00A74AC4" w:rsidRDefault="00A74AC4" w:rsidP="00A74AC4">
      <w:pPr>
        <w:spacing w:line="360" w:lineRule="auto"/>
        <w:rPr>
          <w:color w:val="3A3A3A"/>
        </w:rPr>
      </w:pPr>
      <w:r>
        <w:t xml:space="preserve">Meyers, C.V. and </w:t>
      </w:r>
      <w:proofErr w:type="spellStart"/>
      <w:r>
        <w:t>VanGronigen</w:t>
      </w:r>
      <w:proofErr w:type="spellEnd"/>
      <w:r>
        <w:t xml:space="preserve">, B.A. (2019) “A Lack of Authentic School Improvement Plan Development: Evidence of Principal Satisficing </w:t>
      </w:r>
      <w:proofErr w:type="spellStart"/>
      <w:r>
        <w:t>Behavior</w:t>
      </w:r>
      <w:proofErr w:type="spellEnd"/>
      <w:r>
        <w:t xml:space="preserve">,” </w:t>
      </w:r>
      <w:r>
        <w:rPr>
          <w:i/>
        </w:rPr>
        <w:t>Journal of educational administration</w:t>
      </w:r>
      <w:r>
        <w:t>, 57(3), pp. 261–278. Available at:</w:t>
      </w:r>
      <w:r>
        <w:rPr>
          <w:color w:val="3A3A3A"/>
        </w:rPr>
        <w:t xml:space="preserve"> </w:t>
      </w:r>
      <w:hyperlink r:id="rId23">
        <w:r>
          <w:rPr>
            <w:color w:val="1155CC"/>
            <w:u w:val="single"/>
          </w:rPr>
          <w:t>https://doi.org/10.1108/JEA-09-2018-0154</w:t>
        </w:r>
      </w:hyperlink>
      <w:r>
        <w:rPr>
          <w:color w:val="3A3A3A"/>
        </w:rPr>
        <w:t xml:space="preserve">. </w:t>
      </w:r>
    </w:p>
    <w:p w14:paraId="4C70A779" w14:textId="77777777" w:rsidR="00A74AC4" w:rsidRDefault="00A74AC4" w:rsidP="00A74AC4">
      <w:pPr>
        <w:spacing w:before="240" w:after="240" w:line="360" w:lineRule="auto"/>
        <w:rPr>
          <w:color w:val="3A3A3A"/>
        </w:rPr>
      </w:pPr>
      <w:proofErr w:type="spellStart"/>
      <w:r>
        <w:t>Muijs</w:t>
      </w:r>
      <w:proofErr w:type="spellEnd"/>
      <w:r>
        <w:t xml:space="preserve">, D. Harris, A., Chapman, C., Stoll, L. and Russ, J. (2004) “Improving schools in socioeconomically disadvantaged areas: A review of research evidence,” </w:t>
      </w:r>
      <w:r>
        <w:rPr>
          <w:i/>
        </w:rPr>
        <w:t>School effectiveness and school improvement</w:t>
      </w:r>
      <w:r>
        <w:t xml:space="preserve">, 15(2), pp. 149–175. Available at: </w:t>
      </w:r>
      <w:hyperlink r:id="rId24">
        <w:r>
          <w:rPr>
            <w:color w:val="1155CC"/>
            <w:u w:val="single"/>
          </w:rPr>
          <w:t>https://doi.org/10.1076/sesi.15.2.149.30433</w:t>
        </w:r>
      </w:hyperlink>
      <w:r>
        <w:rPr>
          <w:color w:val="3A3A3A"/>
        </w:rPr>
        <w:t xml:space="preserve">. </w:t>
      </w:r>
    </w:p>
    <w:p w14:paraId="18D59A96" w14:textId="77777777" w:rsidR="00A74AC4" w:rsidRDefault="00A74AC4" w:rsidP="00A74AC4">
      <w:pPr>
        <w:spacing w:before="240" w:after="240" w:line="360" w:lineRule="auto"/>
        <w:rPr>
          <w:sz w:val="23"/>
          <w:szCs w:val="23"/>
          <w:highlight w:val="white"/>
        </w:rPr>
      </w:pPr>
      <w:r>
        <w:rPr>
          <w:sz w:val="23"/>
          <w:szCs w:val="23"/>
          <w:highlight w:val="white"/>
        </w:rPr>
        <w:t xml:space="preserve">[Placement School] (2023) </w:t>
      </w:r>
      <w:r>
        <w:rPr>
          <w:i/>
          <w:sz w:val="23"/>
          <w:szCs w:val="23"/>
          <w:highlight w:val="white"/>
        </w:rPr>
        <w:t>[Placement School] School Improvement Plan</w:t>
      </w:r>
      <w:r>
        <w:rPr>
          <w:sz w:val="23"/>
          <w:szCs w:val="23"/>
          <w:highlight w:val="white"/>
        </w:rPr>
        <w:t>. Cardiff: [Placement School]. Unpublished.</w:t>
      </w:r>
    </w:p>
    <w:p w14:paraId="559826DC" w14:textId="77777777" w:rsidR="00A74AC4" w:rsidRDefault="00A74AC4" w:rsidP="00A74AC4">
      <w:pPr>
        <w:spacing w:before="240" w:after="240" w:line="360" w:lineRule="auto"/>
        <w:rPr>
          <w:sz w:val="23"/>
          <w:szCs w:val="23"/>
          <w:highlight w:val="white"/>
        </w:rPr>
      </w:pPr>
      <w:proofErr w:type="spellStart"/>
      <w:r>
        <w:rPr>
          <w:sz w:val="23"/>
          <w:szCs w:val="23"/>
          <w:highlight w:val="white"/>
        </w:rPr>
        <w:t>Schmoker</w:t>
      </w:r>
      <w:proofErr w:type="spellEnd"/>
      <w:r>
        <w:rPr>
          <w:sz w:val="23"/>
          <w:szCs w:val="23"/>
          <w:highlight w:val="white"/>
        </w:rPr>
        <w:t xml:space="preserve">, M. (2003) “First Things First: Demystifying Data Analysis. To improve student achievement results, use data to focus on a few simple, specific goals,” </w:t>
      </w:r>
      <w:r>
        <w:rPr>
          <w:i/>
          <w:sz w:val="23"/>
          <w:szCs w:val="23"/>
          <w:highlight w:val="white"/>
        </w:rPr>
        <w:t xml:space="preserve">Phi Delta </w:t>
      </w:r>
      <w:proofErr w:type="spellStart"/>
      <w:r>
        <w:rPr>
          <w:i/>
          <w:sz w:val="23"/>
          <w:szCs w:val="23"/>
          <w:highlight w:val="white"/>
        </w:rPr>
        <w:t>Kappan</w:t>
      </w:r>
      <w:proofErr w:type="spellEnd"/>
      <w:r>
        <w:rPr>
          <w:i/>
          <w:sz w:val="23"/>
          <w:szCs w:val="23"/>
          <w:highlight w:val="white"/>
        </w:rPr>
        <w:t xml:space="preserve"> - The Professional Journal for Education</w:t>
      </w:r>
      <w:r>
        <w:rPr>
          <w:sz w:val="23"/>
          <w:szCs w:val="23"/>
          <w:highlight w:val="white"/>
        </w:rPr>
        <w:t xml:space="preserve">, 60(5), pp. 22-24. Available at: </w:t>
      </w:r>
      <w:hyperlink r:id="rId25">
        <w:r>
          <w:rPr>
            <w:color w:val="1155CC"/>
            <w:sz w:val="23"/>
            <w:szCs w:val="23"/>
            <w:highlight w:val="white"/>
            <w:u w:val="single"/>
          </w:rPr>
          <w:t>http://mikeschmoker.com/data-analysis.html</w:t>
        </w:r>
      </w:hyperlink>
    </w:p>
    <w:p w14:paraId="4917B2DE" w14:textId="77777777" w:rsidR="00A74AC4" w:rsidRDefault="00A74AC4" w:rsidP="00A74AC4">
      <w:pPr>
        <w:spacing w:before="240" w:after="240" w:line="360" w:lineRule="auto"/>
        <w:rPr>
          <w:sz w:val="23"/>
          <w:szCs w:val="23"/>
          <w:highlight w:val="white"/>
        </w:rPr>
      </w:pPr>
      <w:proofErr w:type="spellStart"/>
      <w:r>
        <w:rPr>
          <w:sz w:val="23"/>
          <w:szCs w:val="23"/>
          <w:highlight w:val="white"/>
        </w:rPr>
        <w:t>Schmoker</w:t>
      </w:r>
      <w:proofErr w:type="spellEnd"/>
      <w:r>
        <w:rPr>
          <w:sz w:val="23"/>
          <w:szCs w:val="23"/>
          <w:highlight w:val="white"/>
        </w:rPr>
        <w:t xml:space="preserve">, M. (2003) </w:t>
      </w:r>
      <w:r>
        <w:rPr>
          <w:i/>
          <w:sz w:val="23"/>
          <w:szCs w:val="23"/>
          <w:highlight w:val="white"/>
        </w:rPr>
        <w:t>First Things First: Demystifying Data Analysis</w:t>
      </w:r>
      <w:r>
        <w:rPr>
          <w:sz w:val="23"/>
          <w:szCs w:val="23"/>
          <w:highlight w:val="white"/>
        </w:rPr>
        <w:t xml:space="preserve">, </w:t>
      </w:r>
      <w:r>
        <w:rPr>
          <w:i/>
          <w:sz w:val="23"/>
          <w:szCs w:val="23"/>
          <w:highlight w:val="white"/>
        </w:rPr>
        <w:t>Educational Leadership</w:t>
      </w:r>
      <w:r>
        <w:rPr>
          <w:sz w:val="23"/>
          <w:szCs w:val="23"/>
          <w:highlight w:val="white"/>
        </w:rPr>
        <w:t>. Alexandria: Association for Supervision and Curriculum Development, pp. 22-24.</w:t>
      </w:r>
    </w:p>
    <w:p w14:paraId="2D35CC89" w14:textId="77777777" w:rsidR="00A74AC4" w:rsidRDefault="00A74AC4" w:rsidP="00A74AC4">
      <w:pPr>
        <w:spacing w:line="360" w:lineRule="auto"/>
      </w:pPr>
      <w:r>
        <w:rPr>
          <w:i/>
        </w:rPr>
        <w:t>School improvement plans.</w:t>
      </w:r>
      <w:r>
        <w:t xml:space="preserve"> (2009). London: Teachers TV/UK Department of Education.</w:t>
      </w:r>
    </w:p>
    <w:p w14:paraId="03F46E1A" w14:textId="77777777" w:rsidR="00A74AC4" w:rsidRDefault="00A74AC4" w:rsidP="00A74AC4">
      <w:pPr>
        <w:spacing w:before="240" w:after="240" w:line="360" w:lineRule="auto"/>
        <w:rPr>
          <w:sz w:val="23"/>
          <w:szCs w:val="23"/>
          <w:highlight w:val="white"/>
        </w:rPr>
      </w:pPr>
      <w:proofErr w:type="spellStart"/>
      <w:r>
        <w:rPr>
          <w:sz w:val="23"/>
          <w:szCs w:val="23"/>
          <w:highlight w:val="white"/>
        </w:rPr>
        <w:t>Skulmowski</w:t>
      </w:r>
      <w:proofErr w:type="spellEnd"/>
      <w:r>
        <w:rPr>
          <w:sz w:val="23"/>
          <w:szCs w:val="23"/>
          <w:highlight w:val="white"/>
        </w:rPr>
        <w:t xml:space="preserve">, A. (2022) “When </w:t>
      </w:r>
      <w:proofErr w:type="spellStart"/>
      <w:r>
        <w:rPr>
          <w:sz w:val="23"/>
          <w:szCs w:val="23"/>
          <w:highlight w:val="white"/>
        </w:rPr>
        <w:t>color</w:t>
      </w:r>
      <w:proofErr w:type="spellEnd"/>
      <w:r>
        <w:rPr>
          <w:sz w:val="23"/>
          <w:szCs w:val="23"/>
          <w:highlight w:val="white"/>
        </w:rPr>
        <w:t xml:space="preserve"> coding backfires: A guidance reversal effect when learning with realistic visualizations,” </w:t>
      </w:r>
      <w:r>
        <w:rPr>
          <w:i/>
          <w:sz w:val="23"/>
          <w:szCs w:val="23"/>
          <w:highlight w:val="white"/>
        </w:rPr>
        <w:t>Education and information technologies</w:t>
      </w:r>
      <w:r>
        <w:rPr>
          <w:sz w:val="23"/>
          <w:szCs w:val="23"/>
          <w:highlight w:val="white"/>
        </w:rPr>
        <w:t xml:space="preserve">, 27(4), pp. 4621–4636. Available at: </w:t>
      </w:r>
      <w:hyperlink r:id="rId26">
        <w:r>
          <w:rPr>
            <w:color w:val="1155CC"/>
            <w:sz w:val="23"/>
            <w:szCs w:val="23"/>
            <w:highlight w:val="white"/>
            <w:u w:val="single"/>
          </w:rPr>
          <w:t>https://doi.org/10.1007/s10639-021-10796-6</w:t>
        </w:r>
      </w:hyperlink>
      <w:r>
        <w:rPr>
          <w:color w:val="3A3A3A"/>
          <w:sz w:val="23"/>
          <w:szCs w:val="23"/>
          <w:highlight w:val="white"/>
        </w:rPr>
        <w:t>.</w:t>
      </w:r>
    </w:p>
    <w:p w14:paraId="5330961D" w14:textId="77777777" w:rsidR="00A74AC4" w:rsidRDefault="00A74AC4" w:rsidP="00A74AC4">
      <w:pPr>
        <w:spacing w:before="240" w:after="240" w:line="360" w:lineRule="auto"/>
        <w:rPr>
          <w:color w:val="3A3A3A"/>
          <w:sz w:val="23"/>
          <w:szCs w:val="23"/>
          <w:highlight w:val="white"/>
        </w:rPr>
      </w:pPr>
      <w:proofErr w:type="spellStart"/>
      <w:r>
        <w:rPr>
          <w:sz w:val="23"/>
          <w:szCs w:val="23"/>
          <w:highlight w:val="white"/>
        </w:rPr>
        <w:t>Skulmowski</w:t>
      </w:r>
      <w:proofErr w:type="spellEnd"/>
      <w:r>
        <w:rPr>
          <w:sz w:val="23"/>
          <w:szCs w:val="23"/>
          <w:highlight w:val="white"/>
        </w:rPr>
        <w:t xml:space="preserve">, A. and Rey, G.D. (2018) “Realistic details in visualizations require </w:t>
      </w:r>
      <w:proofErr w:type="spellStart"/>
      <w:r>
        <w:rPr>
          <w:sz w:val="23"/>
          <w:szCs w:val="23"/>
          <w:highlight w:val="white"/>
        </w:rPr>
        <w:t>color</w:t>
      </w:r>
      <w:proofErr w:type="spellEnd"/>
      <w:r>
        <w:rPr>
          <w:sz w:val="23"/>
          <w:szCs w:val="23"/>
          <w:highlight w:val="white"/>
        </w:rPr>
        <w:t xml:space="preserve"> cues to foster retention,” </w:t>
      </w:r>
      <w:r>
        <w:rPr>
          <w:i/>
          <w:sz w:val="23"/>
          <w:szCs w:val="23"/>
          <w:highlight w:val="white"/>
        </w:rPr>
        <w:t>Computers and education</w:t>
      </w:r>
      <w:r>
        <w:rPr>
          <w:sz w:val="23"/>
          <w:szCs w:val="23"/>
          <w:highlight w:val="white"/>
        </w:rPr>
        <w:t xml:space="preserve">, 122, pp. 23–31. Available at: </w:t>
      </w:r>
      <w:hyperlink r:id="rId27">
        <w:r>
          <w:rPr>
            <w:color w:val="1155CC"/>
            <w:sz w:val="23"/>
            <w:szCs w:val="23"/>
            <w:highlight w:val="white"/>
            <w:u w:val="single"/>
          </w:rPr>
          <w:t>https://doi.org/10.1016/j.compedu.2018.03.012</w:t>
        </w:r>
      </w:hyperlink>
      <w:r>
        <w:rPr>
          <w:color w:val="3A3A3A"/>
          <w:sz w:val="23"/>
          <w:szCs w:val="23"/>
          <w:highlight w:val="white"/>
        </w:rPr>
        <w:t xml:space="preserve">. </w:t>
      </w:r>
    </w:p>
    <w:p w14:paraId="09FBB8FF" w14:textId="77777777" w:rsidR="00A74AC4" w:rsidRDefault="00A74AC4" w:rsidP="00A74AC4">
      <w:pPr>
        <w:spacing w:line="360" w:lineRule="auto"/>
      </w:pPr>
      <w:r>
        <w:lastRenderedPageBreak/>
        <w:t xml:space="preserve">Weil, M., </w:t>
      </w:r>
      <w:proofErr w:type="spellStart"/>
      <w:r>
        <w:t>Marshalek</w:t>
      </w:r>
      <w:proofErr w:type="spellEnd"/>
      <w:r>
        <w:t xml:space="preserve">, B., </w:t>
      </w:r>
      <w:proofErr w:type="spellStart"/>
      <w:r>
        <w:t>Mitman</w:t>
      </w:r>
      <w:proofErr w:type="spellEnd"/>
      <w:r>
        <w:t xml:space="preserve">, A., Murphy, J., </w:t>
      </w:r>
      <w:proofErr w:type="spellStart"/>
      <w:r>
        <w:t>Hallinger</w:t>
      </w:r>
      <w:proofErr w:type="spellEnd"/>
      <w:r>
        <w:t xml:space="preserve">, P. and </w:t>
      </w:r>
      <w:proofErr w:type="spellStart"/>
      <w:r>
        <w:t>Pruyn</w:t>
      </w:r>
      <w:proofErr w:type="spellEnd"/>
      <w:r>
        <w:t xml:space="preserve">, J., 1984, April. Effective and typical schools: How different are they. In </w:t>
      </w:r>
      <w:r>
        <w:rPr>
          <w:i/>
        </w:rPr>
        <w:t>annual meeting of the American Educational Research Association, Chicago</w:t>
      </w:r>
      <w:r>
        <w:t>.</w:t>
      </w:r>
    </w:p>
    <w:p w14:paraId="18F4B5AD" w14:textId="77777777" w:rsidR="00A74AC4" w:rsidRDefault="00A74AC4" w:rsidP="00A74AC4">
      <w:pPr>
        <w:spacing w:before="240" w:after="240" w:line="360" w:lineRule="auto"/>
        <w:rPr>
          <w:sz w:val="23"/>
          <w:szCs w:val="23"/>
          <w:highlight w:val="white"/>
        </w:rPr>
      </w:pPr>
      <w:r>
        <w:rPr>
          <w:sz w:val="23"/>
          <w:szCs w:val="23"/>
          <w:highlight w:val="white"/>
        </w:rPr>
        <w:t xml:space="preserve">Welsh Government (2022) </w:t>
      </w:r>
      <w:r>
        <w:rPr>
          <w:i/>
          <w:sz w:val="23"/>
          <w:szCs w:val="23"/>
          <w:highlight w:val="white"/>
        </w:rPr>
        <w:t xml:space="preserve">The National Strategy for Educational Research and Enquiry: Self-evaluation for school improvement: an evidence </w:t>
      </w:r>
      <w:proofErr w:type="gramStart"/>
      <w:r>
        <w:rPr>
          <w:i/>
          <w:sz w:val="23"/>
          <w:szCs w:val="23"/>
          <w:highlight w:val="white"/>
        </w:rPr>
        <w:t>review</w:t>
      </w:r>
      <w:proofErr w:type="gramEnd"/>
      <w:r>
        <w:rPr>
          <w:i/>
          <w:sz w:val="23"/>
          <w:szCs w:val="23"/>
          <w:highlight w:val="white"/>
        </w:rPr>
        <w:t>.</w:t>
      </w:r>
      <w:r>
        <w:rPr>
          <w:sz w:val="23"/>
          <w:szCs w:val="23"/>
          <w:highlight w:val="white"/>
        </w:rPr>
        <w:t xml:space="preserve"> Available at: </w:t>
      </w:r>
      <w:hyperlink r:id="rId28">
        <w:r>
          <w:rPr>
            <w:color w:val="1155CC"/>
            <w:sz w:val="23"/>
            <w:szCs w:val="23"/>
            <w:highlight w:val="white"/>
            <w:u w:val="single"/>
          </w:rPr>
          <w:t>https://hwb.gov.wales/api/storage/7ee53ba1-0ba5-4cc6-86a6-00f901a7a3ef/self-evaluation-for-school-improvement.pdf</w:t>
        </w:r>
      </w:hyperlink>
      <w:r>
        <w:rPr>
          <w:sz w:val="23"/>
          <w:szCs w:val="23"/>
          <w:highlight w:val="white"/>
        </w:rPr>
        <w:t xml:space="preserve"> (Accessed 25 February 2024)</w:t>
      </w:r>
    </w:p>
    <w:p w14:paraId="7EEA79AC" w14:textId="77777777" w:rsidR="00A74AC4" w:rsidRDefault="00A74AC4" w:rsidP="00A74AC4">
      <w:pPr>
        <w:spacing w:before="240" w:after="240" w:line="360" w:lineRule="auto"/>
        <w:rPr>
          <w:sz w:val="23"/>
          <w:szCs w:val="23"/>
          <w:highlight w:val="white"/>
        </w:rPr>
      </w:pPr>
      <w:r>
        <w:rPr>
          <w:sz w:val="23"/>
          <w:szCs w:val="23"/>
          <w:highlight w:val="white"/>
        </w:rPr>
        <w:t xml:space="preserve">Welsh Government (2022) </w:t>
      </w:r>
      <w:r>
        <w:rPr>
          <w:i/>
          <w:sz w:val="23"/>
          <w:szCs w:val="23"/>
          <w:highlight w:val="white"/>
        </w:rPr>
        <w:t>Wellbeing of Wales, 2022: children and young people’s wellbeing</w:t>
      </w:r>
      <w:r>
        <w:rPr>
          <w:sz w:val="23"/>
          <w:szCs w:val="23"/>
          <w:highlight w:val="white"/>
        </w:rPr>
        <w:t xml:space="preserve">. Available at: </w:t>
      </w:r>
      <w:hyperlink r:id="rId29">
        <w:r>
          <w:rPr>
            <w:color w:val="1155CC"/>
            <w:sz w:val="23"/>
            <w:szCs w:val="23"/>
            <w:highlight w:val="white"/>
            <w:u w:val="single"/>
          </w:rPr>
          <w:t>https://www.gov.wales/wellbeing-wales-2022-children-and-young-peoples-wellbeing-more-equal-wales-html</w:t>
        </w:r>
      </w:hyperlink>
      <w:r>
        <w:rPr>
          <w:sz w:val="23"/>
          <w:szCs w:val="23"/>
          <w:highlight w:val="white"/>
        </w:rPr>
        <w:t xml:space="preserve"> (Accessed 25 February 2024)</w:t>
      </w:r>
    </w:p>
    <w:p w14:paraId="4B70BEAC" w14:textId="7BE1C2EA" w:rsidR="00A74AC4" w:rsidRPr="00A74AC4" w:rsidRDefault="00A74AC4" w:rsidP="00A74AC4">
      <w:pPr>
        <w:spacing w:before="240" w:after="240" w:line="360" w:lineRule="auto"/>
        <w:rPr>
          <w:color w:val="3A3A3A"/>
        </w:rPr>
      </w:pPr>
      <w:proofErr w:type="spellStart"/>
      <w:r>
        <w:t>Xaba</w:t>
      </w:r>
      <w:proofErr w:type="spellEnd"/>
      <w:r>
        <w:t xml:space="preserve">, M. (2006) “The difficulties of school development planning”, </w:t>
      </w:r>
      <w:r w:rsidRPr="00E12962">
        <w:rPr>
          <w:i/>
          <w:iCs/>
        </w:rPr>
        <w:t>South African Journal of Education</w:t>
      </w:r>
      <w:r>
        <w:t xml:space="preserve">, 26(1), pp. 15-26. Available at: </w:t>
      </w:r>
      <w:hyperlink r:id="rId30">
        <w:r>
          <w:rPr>
            <w:color w:val="1155CC"/>
            <w:u w:val="single"/>
          </w:rPr>
          <w:t>https://files.eric.ed.gov/fulltext/EJ1150352.pdf</w:t>
        </w:r>
      </w:hyperlink>
      <w:r>
        <w:rPr>
          <w:color w:val="3A3A3A"/>
        </w:rPr>
        <w:t xml:space="preserve"> </w:t>
      </w:r>
    </w:p>
    <w:sectPr w:rsidR="00A74AC4" w:rsidRPr="00A74AC4">
      <w:headerReference w:type="default" r:id="rId31"/>
      <w:footerReference w:type="even" r:id="rId32"/>
      <w:footerReference w:type="default" r:id="rId3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EE6F02" w14:textId="77777777" w:rsidR="00351D5D" w:rsidRDefault="00351D5D" w:rsidP="002C7293">
      <w:pPr>
        <w:spacing w:line="240" w:lineRule="auto"/>
      </w:pPr>
      <w:r>
        <w:separator/>
      </w:r>
    </w:p>
  </w:endnote>
  <w:endnote w:type="continuationSeparator" w:id="0">
    <w:p w14:paraId="5CE2FCBF" w14:textId="77777777" w:rsidR="00351D5D" w:rsidRDefault="00351D5D" w:rsidP="002C72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32951639"/>
      <w:docPartObj>
        <w:docPartGallery w:val="Page Numbers (Bottom of Page)"/>
        <w:docPartUnique/>
      </w:docPartObj>
    </w:sdtPr>
    <w:sdtEndPr>
      <w:rPr>
        <w:rStyle w:val="PageNumber"/>
      </w:rPr>
    </w:sdtEndPr>
    <w:sdtContent>
      <w:p w14:paraId="1AD1C717" w14:textId="40CEA305" w:rsidR="002C7293" w:rsidRDefault="002C7293" w:rsidP="004435C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6BFE56F" w14:textId="77777777" w:rsidR="002C7293" w:rsidRDefault="002C72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27702876"/>
      <w:docPartObj>
        <w:docPartGallery w:val="Page Numbers (Bottom of Page)"/>
        <w:docPartUnique/>
      </w:docPartObj>
    </w:sdtPr>
    <w:sdtEndPr>
      <w:rPr>
        <w:rStyle w:val="PageNumber"/>
      </w:rPr>
    </w:sdtEndPr>
    <w:sdtContent>
      <w:p w14:paraId="0A63FD9F" w14:textId="1C4D3539" w:rsidR="002C7293" w:rsidRDefault="002C7293" w:rsidP="004435C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32916FE" w14:textId="77777777" w:rsidR="002C7293" w:rsidRDefault="002C72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933656" w14:textId="77777777" w:rsidR="00351D5D" w:rsidRDefault="00351D5D" w:rsidP="002C7293">
      <w:pPr>
        <w:spacing w:line="240" w:lineRule="auto"/>
      </w:pPr>
      <w:r>
        <w:separator/>
      </w:r>
    </w:p>
  </w:footnote>
  <w:footnote w:type="continuationSeparator" w:id="0">
    <w:p w14:paraId="4E7B425D" w14:textId="77777777" w:rsidR="00351D5D" w:rsidRDefault="00351D5D" w:rsidP="002C729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CE404" w14:textId="53C94ADA" w:rsidR="002C7293" w:rsidRDefault="002C7293">
    <w:pPr>
      <w:pStyle w:val="Header"/>
    </w:pPr>
    <w:r>
      <w:t>ECAD7003</w:t>
    </w:r>
    <w:r>
      <w:tab/>
    </w:r>
    <w:r>
      <w:tab/>
    </w:r>
    <w:proofErr w:type="spellStart"/>
    <w:r>
      <w:t>Rhif</w:t>
    </w:r>
    <w:proofErr w:type="spellEnd"/>
    <w:r>
      <w:t xml:space="preserve"> </w:t>
    </w:r>
    <w:proofErr w:type="spellStart"/>
    <w:r>
      <w:t>Myfyriwr</w:t>
    </w:r>
    <w:proofErr w:type="spellEnd"/>
    <w:r>
      <w:t xml:space="preserve"> / Student Number: 2317126</w:t>
    </w:r>
  </w:p>
  <w:p w14:paraId="2EF0996F" w14:textId="77777777" w:rsidR="002C7293" w:rsidRDefault="002C729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E48"/>
    <w:rsid w:val="002C7293"/>
    <w:rsid w:val="00351D5D"/>
    <w:rsid w:val="005D4E48"/>
    <w:rsid w:val="008C323C"/>
    <w:rsid w:val="00937997"/>
    <w:rsid w:val="00984B86"/>
    <w:rsid w:val="00A74AC4"/>
    <w:rsid w:val="00C4687E"/>
    <w:rsid w:val="00D64664"/>
    <w:rsid w:val="00E03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8A2E69C"/>
  <w15:docId w15:val="{E420A020-0777-1943-ADB0-B7084346A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2C7293"/>
    <w:pPr>
      <w:tabs>
        <w:tab w:val="center" w:pos="4513"/>
        <w:tab w:val="right" w:pos="9026"/>
      </w:tabs>
      <w:spacing w:line="240" w:lineRule="auto"/>
    </w:pPr>
  </w:style>
  <w:style w:type="character" w:customStyle="1" w:styleId="HeaderChar">
    <w:name w:val="Header Char"/>
    <w:basedOn w:val="DefaultParagraphFont"/>
    <w:link w:val="Header"/>
    <w:uiPriority w:val="99"/>
    <w:rsid w:val="002C7293"/>
  </w:style>
  <w:style w:type="paragraph" w:styleId="Footer">
    <w:name w:val="footer"/>
    <w:basedOn w:val="Normal"/>
    <w:link w:val="FooterChar"/>
    <w:uiPriority w:val="99"/>
    <w:unhideWhenUsed/>
    <w:rsid w:val="002C7293"/>
    <w:pPr>
      <w:tabs>
        <w:tab w:val="center" w:pos="4513"/>
        <w:tab w:val="right" w:pos="9026"/>
      </w:tabs>
      <w:spacing w:line="240" w:lineRule="auto"/>
    </w:pPr>
  </w:style>
  <w:style w:type="character" w:customStyle="1" w:styleId="FooterChar">
    <w:name w:val="Footer Char"/>
    <w:basedOn w:val="DefaultParagraphFont"/>
    <w:link w:val="Footer"/>
    <w:uiPriority w:val="99"/>
    <w:rsid w:val="002C7293"/>
  </w:style>
  <w:style w:type="character" w:styleId="PageNumber">
    <w:name w:val="page number"/>
    <w:basedOn w:val="DefaultParagraphFont"/>
    <w:uiPriority w:val="99"/>
    <w:semiHidden/>
    <w:unhideWhenUsed/>
    <w:rsid w:val="002C72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gov.wales/sites/default/files/publications/2018-03/successful-futures.pdf" TargetMode="External"/><Relationship Id="rId18" Type="http://schemas.openxmlformats.org/officeDocument/2006/relationships/hyperlink" Target="https://doi.org/10.1037/1522-3736.4.1.41a" TargetMode="External"/><Relationship Id="rId26" Type="http://schemas.openxmlformats.org/officeDocument/2006/relationships/hyperlink" Target="https://doi.org/10.1007/s10639-021-10796-6" TargetMode="External"/><Relationship Id="rId3" Type="http://schemas.openxmlformats.org/officeDocument/2006/relationships/webSettings" Target="webSettings.xml"/><Relationship Id="rId21" Type="http://schemas.openxmlformats.org/officeDocument/2006/relationships/hyperlink" Target="https://doi.org/10.1177/0013161X08321221" TargetMode="External"/><Relationship Id="rId34" Type="http://schemas.openxmlformats.org/officeDocument/2006/relationships/fontTable" Target="fontTable.xml"/><Relationship Id="rId7" Type="http://schemas.openxmlformats.org/officeDocument/2006/relationships/hyperlink" Target="https://www.youtube.com/watch?v=cWMH_X4IvOk" TargetMode="External"/><Relationship Id="rId12" Type="http://schemas.openxmlformats.org/officeDocument/2006/relationships/hyperlink" Target="https://doi.org/10.1080/1363243032000091977" TargetMode="External"/><Relationship Id="rId17" Type="http://schemas.openxmlformats.org/officeDocument/2006/relationships/hyperlink" Target="https://doi.org/10.1080/0141192042000195236" TargetMode="External"/><Relationship Id="rId25" Type="http://schemas.openxmlformats.org/officeDocument/2006/relationships/hyperlink" Target="http://mikeschmoker.com/data-analysis.html" TargetMode="External"/><Relationship Id="rId33"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hyperlink" Target="https://doi.org/10.1177/0895904809351693" TargetMode="External"/><Relationship Id="rId20" Type="http://schemas.openxmlformats.org/officeDocument/2006/relationships/hyperlink" Target="https://doi.org/10.3102/003465430298487" TargetMode="External"/><Relationship Id="rId29" Type="http://schemas.openxmlformats.org/officeDocument/2006/relationships/hyperlink" Target="https://www.gov.wales/wellbeing-wales-2022-children-and-young-peoples-wellbeing-more-equal-wales-html" TargetMode="External"/><Relationship Id="rId1" Type="http://schemas.openxmlformats.org/officeDocument/2006/relationships/styles" Target="styles.xml"/><Relationship Id="rId6" Type="http://schemas.openxmlformats.org/officeDocument/2006/relationships/hyperlink" Target="https://www.phrasebank.manchester.ac.uk/being-critical/" TargetMode="External"/><Relationship Id="rId11" Type="http://schemas.openxmlformats.org/officeDocument/2006/relationships/hyperlink" Target="http://dx.doi.org/10.1007/978-1-4020-5747-2_44" TargetMode="External"/><Relationship Id="rId24" Type="http://schemas.openxmlformats.org/officeDocument/2006/relationships/hyperlink" Target="https://doi.org/10.1076/sesi.15.2.149.30433" TargetMode="External"/><Relationship Id="rId32"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www.estyn.gov.wales/effective-practice/designing-pupil-led-curriculum" TargetMode="External"/><Relationship Id="rId23" Type="http://schemas.openxmlformats.org/officeDocument/2006/relationships/hyperlink" Target="https://doi.org/10.1108/JEA-09-2018-0154" TargetMode="External"/><Relationship Id="rId28" Type="http://schemas.openxmlformats.org/officeDocument/2006/relationships/hyperlink" Target="https://hwb.gov.wales/api/storage/7ee53ba1-0ba5-4cc6-86a6-00f901a7a3ef/self-evaluation-for-school-improvement.pdf" TargetMode="External"/><Relationship Id="rId10" Type="http://schemas.openxmlformats.org/officeDocument/2006/relationships/hyperlink" Target="https://doi.org/10.1177/001872087501700602" TargetMode="External"/><Relationship Id="rId19" Type="http://schemas.openxmlformats.org/officeDocument/2006/relationships/hyperlink" Target="https://doi.org/10.1080/0924345980090203" TargetMode="External"/><Relationship Id="rId31"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dr-ama.com/wp-content/uploads/2013/04/strategic-education.pdf" TargetMode="External"/><Relationship Id="rId14" Type="http://schemas.openxmlformats.org/officeDocument/2006/relationships/hyperlink" Target="https://doi.org/10.3758/BF03210654" TargetMode="External"/><Relationship Id="rId22" Type="http://schemas.openxmlformats.org/officeDocument/2006/relationships/hyperlink" Target="https://doi.org/10.1080/0924345970080202" TargetMode="External"/><Relationship Id="rId27" Type="http://schemas.openxmlformats.org/officeDocument/2006/relationships/hyperlink" Target="https://doi.org/10.1016/j.compedu.2018.03.012" TargetMode="External"/><Relationship Id="rId30" Type="http://schemas.openxmlformats.org/officeDocument/2006/relationships/hyperlink" Target="https://files.eric.ed.gov/fulltext/EJ1150352.pdf" TargetMode="External"/><Relationship Id="rId35" Type="http://schemas.openxmlformats.org/officeDocument/2006/relationships/theme" Target="theme/theme1.xml"/><Relationship Id="rId8" Type="http://schemas.openxmlformats.org/officeDocument/2006/relationships/hyperlink" Target="https://doi.org/10.4324/97802039788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3873</Words>
  <Characters>22077</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Jamie Davies (2317126)</cp:lastModifiedBy>
  <cp:revision>2</cp:revision>
  <dcterms:created xsi:type="dcterms:W3CDTF">2024-03-04T12:11:00Z</dcterms:created>
  <dcterms:modified xsi:type="dcterms:W3CDTF">2024-03-04T12:11:00Z</dcterms:modified>
</cp:coreProperties>
</file>