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90C618" w14:textId="77777777" w:rsidR="00A5361B" w:rsidRPr="001D2A38" w:rsidRDefault="00A5361B" w:rsidP="001D2A38">
      <w:pPr>
        <w:spacing w:after="0" w:line="360" w:lineRule="auto"/>
        <w:ind w:firstLine="720"/>
        <w:rPr>
          <w:rFonts w:ascii="Arial" w:hAnsi="Arial" w:cs="Arial"/>
          <w:b/>
          <w:bCs/>
          <w:sz w:val="24"/>
          <w:szCs w:val="24"/>
        </w:rPr>
      </w:pPr>
    </w:p>
    <w:p w14:paraId="7A1B4B12" w14:textId="77777777" w:rsidR="00A5361B" w:rsidRPr="001D2A38" w:rsidRDefault="00A5361B" w:rsidP="001D2A38">
      <w:pPr>
        <w:spacing w:after="0" w:line="360" w:lineRule="auto"/>
        <w:ind w:firstLine="720"/>
        <w:rPr>
          <w:rFonts w:ascii="Arial" w:hAnsi="Arial" w:cs="Arial"/>
          <w:b/>
          <w:bCs/>
          <w:sz w:val="24"/>
          <w:szCs w:val="24"/>
        </w:rPr>
      </w:pPr>
    </w:p>
    <w:p w14:paraId="0A8DA17B" w14:textId="2B682CBA" w:rsidR="00675348" w:rsidRPr="00540BC1" w:rsidRDefault="00675348" w:rsidP="001D2A38">
      <w:pPr>
        <w:spacing w:after="0" w:line="360" w:lineRule="auto"/>
        <w:jc w:val="center"/>
        <w:rPr>
          <w:rFonts w:ascii="Arial" w:hAnsi="Arial" w:cs="Arial"/>
          <w:sz w:val="24"/>
          <w:szCs w:val="24"/>
        </w:rPr>
      </w:pPr>
      <w:r w:rsidRPr="001D2A38">
        <w:rPr>
          <w:rFonts w:ascii="Arial" w:hAnsi="Arial" w:cs="Arial"/>
          <w:b/>
          <w:bCs/>
          <w:sz w:val="24"/>
          <w:szCs w:val="24"/>
        </w:rPr>
        <w:t xml:space="preserve">  </w:t>
      </w:r>
      <w:r w:rsidRPr="00540BC1">
        <w:rPr>
          <w:rFonts w:ascii="Arial" w:hAnsi="Arial" w:cs="Arial"/>
          <w:sz w:val="24"/>
          <w:szCs w:val="24"/>
        </w:rPr>
        <w:t xml:space="preserve">EMBRACING SUSTAINABILITY, A CASE OF MARRIOTT INTERNATIONAL'S CIRCULAR ECONOMY  </w:t>
      </w:r>
    </w:p>
    <w:p w14:paraId="5006F53A" w14:textId="77777777" w:rsidR="00F7440D" w:rsidRDefault="00F7440D" w:rsidP="001D2A38">
      <w:pPr>
        <w:widowControl w:val="0"/>
        <w:spacing w:after="0" w:line="360" w:lineRule="auto"/>
        <w:jc w:val="center"/>
        <w:rPr>
          <w:rFonts w:ascii="Arial" w:eastAsia="SimSun" w:hAnsi="Arial" w:cs="Arial"/>
          <w:sz w:val="24"/>
          <w:szCs w:val="24"/>
          <w:lang w:eastAsia="zh-CN"/>
          <w14:ligatures w14:val="none"/>
        </w:rPr>
      </w:pPr>
    </w:p>
    <w:p w14:paraId="7678AD65" w14:textId="5E286DBE" w:rsidR="00675348" w:rsidRPr="00675348" w:rsidRDefault="00F7440D" w:rsidP="001D2A38">
      <w:pPr>
        <w:widowControl w:val="0"/>
        <w:spacing w:after="0" w:line="360" w:lineRule="auto"/>
        <w:jc w:val="center"/>
        <w:rPr>
          <w:rFonts w:ascii="Arial" w:eastAsia="SimSun" w:hAnsi="Arial" w:cs="Arial"/>
          <w:sz w:val="24"/>
          <w:szCs w:val="24"/>
          <w:lang w:eastAsia="zh-CN"/>
          <w14:ligatures w14:val="none"/>
        </w:rPr>
      </w:pPr>
      <w:r>
        <w:rPr>
          <w:rFonts w:ascii="Arial" w:eastAsia="SimSun" w:hAnsi="Arial" w:cs="Arial"/>
          <w:sz w:val="24"/>
          <w:szCs w:val="24"/>
          <w:lang w:eastAsia="zh-CN"/>
          <w14:ligatures w14:val="none"/>
        </w:rPr>
        <w:t>Nuri Begum</w:t>
      </w:r>
    </w:p>
    <w:p w14:paraId="0EA0E0FF" w14:textId="77777777" w:rsidR="00675348" w:rsidRPr="00675348" w:rsidRDefault="00675348" w:rsidP="001D2A38">
      <w:pPr>
        <w:widowControl w:val="0"/>
        <w:spacing w:after="0" w:line="360" w:lineRule="auto"/>
        <w:jc w:val="center"/>
        <w:rPr>
          <w:rFonts w:ascii="Arial" w:eastAsia="SimSun" w:hAnsi="Arial" w:cs="Arial"/>
          <w:sz w:val="24"/>
          <w:szCs w:val="24"/>
          <w:lang w:eastAsia="zh-CN"/>
          <w14:ligatures w14:val="none"/>
        </w:rPr>
      </w:pPr>
    </w:p>
    <w:p w14:paraId="4CE4604A" w14:textId="77777777" w:rsidR="00675348" w:rsidRPr="00675348" w:rsidRDefault="00675348" w:rsidP="001D2A38">
      <w:pPr>
        <w:widowControl w:val="0"/>
        <w:spacing w:after="0" w:line="360" w:lineRule="auto"/>
        <w:jc w:val="center"/>
        <w:rPr>
          <w:rFonts w:ascii="Arial" w:eastAsia="SimSun" w:hAnsi="Arial" w:cs="Arial"/>
          <w:sz w:val="24"/>
          <w:szCs w:val="24"/>
          <w:lang w:eastAsia="zh-CN"/>
          <w14:ligatures w14:val="none"/>
        </w:rPr>
      </w:pPr>
    </w:p>
    <w:p w14:paraId="704EE5ED" w14:textId="77777777" w:rsidR="00675348" w:rsidRPr="00675348" w:rsidRDefault="00675348" w:rsidP="001D2A38">
      <w:pPr>
        <w:widowControl w:val="0"/>
        <w:spacing w:after="0" w:line="360" w:lineRule="auto"/>
        <w:jc w:val="center"/>
        <w:rPr>
          <w:rFonts w:ascii="Arial" w:eastAsia="SimSun" w:hAnsi="Arial" w:cs="Arial"/>
          <w:sz w:val="24"/>
          <w:szCs w:val="24"/>
          <w:lang w:eastAsia="zh-CN"/>
          <w14:ligatures w14:val="none"/>
        </w:rPr>
      </w:pPr>
    </w:p>
    <w:p w14:paraId="6CE15EAB" w14:textId="77777777" w:rsidR="00F7440D" w:rsidRDefault="00F7440D" w:rsidP="00F7440D">
      <w:pPr>
        <w:spacing w:after="0" w:line="480" w:lineRule="auto"/>
        <w:jc w:val="center"/>
        <w:rPr>
          <w:rFonts w:ascii="Arial" w:hAnsi="Arial" w:cs="Arial"/>
          <w:sz w:val="24"/>
          <w:szCs w:val="24"/>
        </w:rPr>
      </w:pPr>
      <w:r>
        <w:rPr>
          <w:rFonts w:ascii="Arial" w:hAnsi="Arial" w:cs="Arial"/>
          <w:sz w:val="24"/>
          <w:szCs w:val="24"/>
        </w:rPr>
        <w:t>International Hotel Management</w:t>
      </w:r>
    </w:p>
    <w:p w14:paraId="1CF9C2F4" w14:textId="4D61B97D" w:rsidR="00F7440D" w:rsidRPr="00B96462" w:rsidRDefault="00F7440D" w:rsidP="00F7440D">
      <w:pPr>
        <w:spacing w:after="0" w:line="480" w:lineRule="auto"/>
        <w:jc w:val="center"/>
        <w:rPr>
          <w:rFonts w:ascii="Arial" w:hAnsi="Arial" w:cs="Arial"/>
          <w:sz w:val="24"/>
          <w:szCs w:val="24"/>
        </w:rPr>
      </w:pPr>
      <w:r>
        <w:rPr>
          <w:rFonts w:ascii="Arial" w:hAnsi="Arial" w:cs="Arial"/>
          <w:sz w:val="24"/>
          <w:szCs w:val="24"/>
        </w:rPr>
        <w:t>Sustainable Hospitality and Tourism Management</w:t>
      </w:r>
    </w:p>
    <w:p w14:paraId="34B8D5CB" w14:textId="580F2790" w:rsidR="00F7440D" w:rsidRPr="00B96462" w:rsidRDefault="00F7440D" w:rsidP="00F7440D">
      <w:pPr>
        <w:spacing w:after="0" w:line="480" w:lineRule="auto"/>
        <w:jc w:val="center"/>
        <w:rPr>
          <w:rFonts w:ascii="Arial" w:hAnsi="Arial" w:cs="Arial"/>
          <w:sz w:val="24"/>
          <w:szCs w:val="24"/>
        </w:rPr>
      </w:pPr>
      <w:r>
        <w:rPr>
          <w:rFonts w:ascii="Arial" w:hAnsi="Arial" w:cs="Arial"/>
          <w:sz w:val="24"/>
          <w:szCs w:val="24"/>
        </w:rPr>
        <w:t>Lecturer: Kathryn Roberts</w:t>
      </w:r>
    </w:p>
    <w:p w14:paraId="6E05C108" w14:textId="1151399F" w:rsidR="005D6E6C" w:rsidRPr="001D2A38" w:rsidRDefault="005D6E6C" w:rsidP="001D2A38">
      <w:pPr>
        <w:spacing w:after="0" w:line="360" w:lineRule="auto"/>
        <w:jc w:val="center"/>
        <w:rPr>
          <w:rFonts w:ascii="Arial" w:hAnsi="Arial" w:cs="Arial"/>
          <w:sz w:val="24"/>
          <w:szCs w:val="24"/>
        </w:rPr>
      </w:pPr>
    </w:p>
    <w:p w14:paraId="28CD9660" w14:textId="77777777" w:rsidR="005D6E6C" w:rsidRPr="001D2A38" w:rsidRDefault="005D6E6C" w:rsidP="001D2A38">
      <w:pPr>
        <w:spacing w:after="0" w:line="360" w:lineRule="auto"/>
        <w:jc w:val="center"/>
        <w:rPr>
          <w:rFonts w:ascii="Arial" w:hAnsi="Arial" w:cs="Arial"/>
          <w:sz w:val="24"/>
          <w:szCs w:val="24"/>
        </w:rPr>
      </w:pPr>
    </w:p>
    <w:p w14:paraId="48C88F0B" w14:textId="77777777" w:rsidR="00A5361B" w:rsidRPr="001D2A38" w:rsidRDefault="00A5361B" w:rsidP="001D2A38">
      <w:pPr>
        <w:spacing w:after="0" w:line="360" w:lineRule="auto"/>
        <w:ind w:firstLine="720"/>
        <w:rPr>
          <w:rFonts w:ascii="Arial" w:hAnsi="Arial" w:cs="Arial"/>
          <w:sz w:val="24"/>
          <w:szCs w:val="24"/>
        </w:rPr>
      </w:pPr>
    </w:p>
    <w:p w14:paraId="7E08B0E7" w14:textId="77777777" w:rsidR="00A5361B" w:rsidRPr="001D2A38" w:rsidRDefault="00A5361B" w:rsidP="001D2A38">
      <w:pPr>
        <w:spacing w:after="0" w:line="360" w:lineRule="auto"/>
        <w:ind w:firstLine="720"/>
        <w:rPr>
          <w:rFonts w:ascii="Arial" w:hAnsi="Arial" w:cs="Arial"/>
          <w:sz w:val="24"/>
          <w:szCs w:val="24"/>
        </w:rPr>
      </w:pPr>
    </w:p>
    <w:p w14:paraId="3AF03475" w14:textId="77777777" w:rsidR="00A5361B" w:rsidRPr="001D2A38" w:rsidRDefault="00A5361B" w:rsidP="001D2A38">
      <w:pPr>
        <w:spacing w:after="0" w:line="360" w:lineRule="auto"/>
        <w:ind w:firstLine="720"/>
        <w:rPr>
          <w:rFonts w:ascii="Arial" w:hAnsi="Arial" w:cs="Arial"/>
          <w:sz w:val="24"/>
          <w:szCs w:val="24"/>
        </w:rPr>
      </w:pPr>
    </w:p>
    <w:p w14:paraId="5DA7326E" w14:textId="77777777" w:rsidR="00A5361B" w:rsidRPr="001D2A38" w:rsidRDefault="00A5361B" w:rsidP="001D2A38">
      <w:pPr>
        <w:spacing w:after="0" w:line="360" w:lineRule="auto"/>
        <w:ind w:firstLine="720"/>
        <w:rPr>
          <w:rFonts w:ascii="Arial" w:hAnsi="Arial" w:cs="Arial"/>
          <w:sz w:val="24"/>
          <w:szCs w:val="24"/>
        </w:rPr>
      </w:pPr>
    </w:p>
    <w:p w14:paraId="14F814C7" w14:textId="77777777" w:rsidR="00A5361B" w:rsidRPr="001D2A38" w:rsidRDefault="00A5361B" w:rsidP="001D2A38">
      <w:pPr>
        <w:spacing w:after="0" w:line="360" w:lineRule="auto"/>
        <w:ind w:firstLine="720"/>
        <w:rPr>
          <w:rFonts w:ascii="Arial" w:hAnsi="Arial" w:cs="Arial"/>
          <w:sz w:val="24"/>
          <w:szCs w:val="24"/>
        </w:rPr>
      </w:pPr>
    </w:p>
    <w:p w14:paraId="54C94683" w14:textId="0035646A" w:rsidR="00A5361B" w:rsidRDefault="00A5361B" w:rsidP="001D2A38">
      <w:pPr>
        <w:spacing w:after="0" w:line="360" w:lineRule="auto"/>
        <w:ind w:firstLine="720"/>
        <w:rPr>
          <w:rFonts w:ascii="Arial" w:hAnsi="Arial" w:cs="Arial"/>
          <w:sz w:val="24"/>
          <w:szCs w:val="24"/>
        </w:rPr>
      </w:pPr>
    </w:p>
    <w:p w14:paraId="1B59E830" w14:textId="632D3D52" w:rsidR="001D2A38" w:rsidRDefault="001D2A38" w:rsidP="001D2A38">
      <w:pPr>
        <w:spacing w:after="0" w:line="360" w:lineRule="auto"/>
        <w:ind w:firstLine="720"/>
        <w:rPr>
          <w:rFonts w:ascii="Arial" w:hAnsi="Arial" w:cs="Arial"/>
          <w:sz w:val="24"/>
          <w:szCs w:val="24"/>
        </w:rPr>
      </w:pPr>
    </w:p>
    <w:p w14:paraId="599670BE" w14:textId="7B700FD2" w:rsidR="001D2A38" w:rsidRDefault="001D2A38" w:rsidP="001D2A38">
      <w:pPr>
        <w:spacing w:after="0" w:line="360" w:lineRule="auto"/>
        <w:ind w:firstLine="720"/>
        <w:rPr>
          <w:rFonts w:ascii="Arial" w:hAnsi="Arial" w:cs="Arial"/>
          <w:sz w:val="24"/>
          <w:szCs w:val="24"/>
        </w:rPr>
      </w:pPr>
    </w:p>
    <w:p w14:paraId="151BF396" w14:textId="6C5C848D" w:rsidR="001D2A38" w:rsidRDefault="001D2A38" w:rsidP="001D2A38">
      <w:pPr>
        <w:spacing w:after="0" w:line="360" w:lineRule="auto"/>
        <w:ind w:firstLine="720"/>
        <w:rPr>
          <w:rFonts w:ascii="Arial" w:hAnsi="Arial" w:cs="Arial"/>
          <w:sz w:val="24"/>
          <w:szCs w:val="24"/>
        </w:rPr>
      </w:pPr>
    </w:p>
    <w:p w14:paraId="345604DE" w14:textId="63058500" w:rsidR="001D2A38" w:rsidRDefault="001D2A38" w:rsidP="001D2A38">
      <w:pPr>
        <w:spacing w:after="0" w:line="360" w:lineRule="auto"/>
        <w:ind w:firstLine="720"/>
        <w:rPr>
          <w:rFonts w:ascii="Arial" w:hAnsi="Arial" w:cs="Arial"/>
          <w:sz w:val="24"/>
          <w:szCs w:val="24"/>
        </w:rPr>
      </w:pPr>
    </w:p>
    <w:p w14:paraId="65CC2E5C" w14:textId="651B65B2" w:rsidR="001D2A38" w:rsidRDefault="001D2A38" w:rsidP="001D2A38">
      <w:pPr>
        <w:spacing w:after="0" w:line="360" w:lineRule="auto"/>
        <w:ind w:firstLine="720"/>
        <w:rPr>
          <w:rFonts w:ascii="Arial" w:hAnsi="Arial" w:cs="Arial"/>
          <w:sz w:val="24"/>
          <w:szCs w:val="24"/>
        </w:rPr>
      </w:pPr>
    </w:p>
    <w:p w14:paraId="67195B8B" w14:textId="52D9C354" w:rsidR="001D2A38" w:rsidRDefault="001D2A38" w:rsidP="001D2A38">
      <w:pPr>
        <w:spacing w:after="0" w:line="360" w:lineRule="auto"/>
        <w:ind w:firstLine="720"/>
        <w:rPr>
          <w:rFonts w:ascii="Arial" w:hAnsi="Arial" w:cs="Arial"/>
          <w:sz w:val="24"/>
          <w:szCs w:val="24"/>
        </w:rPr>
      </w:pPr>
    </w:p>
    <w:p w14:paraId="07275392" w14:textId="77777777" w:rsidR="001D2A38" w:rsidRPr="001D2A38" w:rsidRDefault="001D2A38" w:rsidP="001D2A38">
      <w:pPr>
        <w:spacing w:after="0" w:line="360" w:lineRule="auto"/>
        <w:ind w:firstLine="720"/>
        <w:rPr>
          <w:rFonts w:ascii="Arial" w:hAnsi="Arial" w:cs="Arial"/>
          <w:sz w:val="24"/>
          <w:szCs w:val="24"/>
        </w:rPr>
      </w:pPr>
    </w:p>
    <w:p w14:paraId="327254AB" w14:textId="77777777" w:rsidR="00A5361B" w:rsidRPr="001D2A38" w:rsidRDefault="00A5361B" w:rsidP="001D2A38">
      <w:pPr>
        <w:spacing w:after="0" w:line="360" w:lineRule="auto"/>
        <w:rPr>
          <w:rFonts w:ascii="Arial" w:hAnsi="Arial" w:cs="Arial"/>
          <w:sz w:val="24"/>
          <w:szCs w:val="24"/>
        </w:rPr>
      </w:pPr>
    </w:p>
    <w:p w14:paraId="5960A639" w14:textId="47D0FB3D" w:rsidR="00675348" w:rsidRPr="00540BC1" w:rsidRDefault="00675348" w:rsidP="001D2A38">
      <w:pPr>
        <w:spacing w:after="0" w:line="360" w:lineRule="auto"/>
        <w:jc w:val="center"/>
        <w:rPr>
          <w:rFonts w:ascii="Arial" w:hAnsi="Arial" w:cs="Arial"/>
          <w:sz w:val="24"/>
          <w:szCs w:val="24"/>
        </w:rPr>
      </w:pPr>
      <w:r w:rsidRPr="00540BC1">
        <w:rPr>
          <w:rFonts w:ascii="Arial" w:hAnsi="Arial" w:cs="Arial"/>
          <w:sz w:val="24"/>
          <w:szCs w:val="24"/>
        </w:rPr>
        <w:t xml:space="preserve">  </w:t>
      </w:r>
      <w:bookmarkStart w:id="0" w:name="_Hlk157044288"/>
      <w:r w:rsidRPr="00540BC1">
        <w:rPr>
          <w:rFonts w:ascii="Arial" w:hAnsi="Arial" w:cs="Arial"/>
          <w:sz w:val="24"/>
          <w:szCs w:val="24"/>
        </w:rPr>
        <w:t xml:space="preserve">EMBRACING SUSTAINABILITY, A CASE OF MARRIOTT INTERNATIONAL'S CIRCULAR ECONOMY  </w:t>
      </w:r>
      <w:bookmarkEnd w:id="0"/>
    </w:p>
    <w:p w14:paraId="523C01BA" w14:textId="77777777" w:rsidR="00A40E52" w:rsidRPr="001D2A38" w:rsidRDefault="00A40E52" w:rsidP="00A40E52">
      <w:pPr>
        <w:pStyle w:val="NormalWeb"/>
        <w:spacing w:before="0" w:beforeAutospacing="0" w:after="0" w:afterAutospacing="0" w:line="360" w:lineRule="auto"/>
        <w:ind w:firstLine="720"/>
        <w:jc w:val="both"/>
        <w:rPr>
          <w:rFonts w:ascii="Arial" w:hAnsi="Arial" w:cs="Arial"/>
          <w:color w:val="252525"/>
        </w:rPr>
      </w:pPr>
      <w:r w:rsidRPr="001D2A38">
        <w:rPr>
          <w:rFonts w:ascii="Arial" w:hAnsi="Arial" w:cs="Arial"/>
          <w:color w:val="252525"/>
        </w:rPr>
        <w:lastRenderedPageBreak/>
        <w:t xml:space="preserve">Due to the growing environmental issues, many companies worldwide are changing their corporate strategies aimed at sustainability. Marriott International, a leading hospitality brand, has emerged as an innovative leader in using circular economy principles within its </w:t>
      </w:r>
      <w:r>
        <w:rPr>
          <w:rFonts w:ascii="Arial" w:hAnsi="Arial" w:cs="Arial"/>
          <w:color w:val="252525"/>
        </w:rPr>
        <w:t>Corporate Social Responsibility (</w:t>
      </w:r>
      <w:r w:rsidRPr="001D2A38">
        <w:rPr>
          <w:rFonts w:ascii="Arial" w:hAnsi="Arial" w:cs="Arial"/>
          <w:color w:val="252525"/>
        </w:rPr>
        <w:t>CSR</w:t>
      </w:r>
      <w:r>
        <w:rPr>
          <w:rFonts w:ascii="Arial" w:hAnsi="Arial" w:cs="Arial"/>
          <w:color w:val="252525"/>
        </w:rPr>
        <w:t>)</w:t>
      </w:r>
      <w:r w:rsidRPr="001D2A38">
        <w:rPr>
          <w:rFonts w:ascii="Arial" w:hAnsi="Arial" w:cs="Arial"/>
          <w:color w:val="252525"/>
        </w:rPr>
        <w:t xml:space="preserve"> policy. This paper focuses on a circular economy closely associated with CSR. Marriott's CSR policy is an example of a holistic approach to sustainability, emphasizing resource efficiency, ethical sourcing, waste minimization, and community involvement. The analysis highlights Marriott's commitment to reducing its ecological footprint and creating a circular operating system. In addition, this essay highlights the cases of industry role models such as </w:t>
      </w:r>
      <w:r>
        <w:rPr>
          <w:rFonts w:ascii="Arial" w:hAnsi="Arial" w:cs="Arial"/>
          <w:color w:val="252525"/>
        </w:rPr>
        <w:t xml:space="preserve">Ingvar Kamprad, </w:t>
      </w:r>
      <w:proofErr w:type="spellStart"/>
      <w:r>
        <w:rPr>
          <w:rFonts w:ascii="Arial" w:hAnsi="Arial" w:cs="Arial"/>
          <w:color w:val="252525"/>
        </w:rPr>
        <w:t>Elmtaryd</w:t>
      </w:r>
      <w:proofErr w:type="spellEnd"/>
      <w:r>
        <w:rPr>
          <w:rFonts w:ascii="Arial" w:hAnsi="Arial" w:cs="Arial"/>
          <w:color w:val="252525"/>
        </w:rPr>
        <w:t xml:space="preserve"> (</w:t>
      </w:r>
      <w:r w:rsidRPr="001D2A38">
        <w:rPr>
          <w:rFonts w:ascii="Arial" w:hAnsi="Arial" w:cs="Arial"/>
          <w:color w:val="252525"/>
        </w:rPr>
        <w:t>IKEA</w:t>
      </w:r>
      <w:r>
        <w:rPr>
          <w:rFonts w:ascii="Arial" w:hAnsi="Arial" w:cs="Arial"/>
          <w:color w:val="252525"/>
        </w:rPr>
        <w:t>),</w:t>
      </w:r>
      <w:r w:rsidRPr="001D2A38">
        <w:rPr>
          <w:rFonts w:ascii="Arial" w:hAnsi="Arial" w:cs="Arial"/>
          <w:color w:val="252525"/>
        </w:rPr>
        <w:t xml:space="preserve"> and Unilever, who have developed circular economy practices within their CSR programs. As the world of business responds to environmental challenges, Marriott's proactive stance becomes a beacon that shows that the principles of the circular economy are a strategic necessity and a moral obligation to help companies and societies coexist in economic prosperity and ecological responsibility.</w:t>
      </w:r>
    </w:p>
    <w:p w14:paraId="680CDD97" w14:textId="77777777" w:rsidR="00A40E52" w:rsidRDefault="00A40E52" w:rsidP="00A40E52">
      <w:pPr>
        <w:pStyle w:val="NormalWeb"/>
        <w:spacing w:before="0" w:beforeAutospacing="0" w:after="0" w:afterAutospacing="0" w:line="360" w:lineRule="auto"/>
        <w:ind w:firstLine="720"/>
        <w:jc w:val="both"/>
        <w:rPr>
          <w:rStyle w:val="Strong"/>
          <w:rFonts w:ascii="Arial" w:hAnsi="Arial" w:cs="Arial"/>
          <w:color w:val="252525"/>
        </w:rPr>
      </w:pPr>
    </w:p>
    <w:p w14:paraId="2533FDE8" w14:textId="4AD8539F" w:rsidR="00A40E52" w:rsidRPr="001D2A38" w:rsidRDefault="00A40E52" w:rsidP="00A40E52">
      <w:pPr>
        <w:pStyle w:val="NormalWeb"/>
        <w:spacing w:before="0" w:beforeAutospacing="0" w:after="0" w:afterAutospacing="0" w:line="360" w:lineRule="auto"/>
        <w:ind w:firstLine="720"/>
        <w:jc w:val="both"/>
        <w:rPr>
          <w:rFonts w:ascii="Arial" w:hAnsi="Arial" w:cs="Arial"/>
          <w:color w:val="252525"/>
        </w:rPr>
      </w:pPr>
      <w:r w:rsidRPr="001D2A38">
        <w:rPr>
          <w:rFonts w:ascii="Arial" w:hAnsi="Arial" w:cs="Arial"/>
          <w:color w:val="252525"/>
        </w:rPr>
        <w:t xml:space="preserve">The circular economy is a fundamentally different resource management concept that focuses on reducing, reusing, recycling, and recovering materials over their entire lifecycle. </w:t>
      </w:r>
      <w:proofErr w:type="spellStart"/>
      <w:r w:rsidRPr="001D2A38">
        <w:rPr>
          <w:rFonts w:ascii="Arial" w:hAnsi="Arial" w:cs="Arial"/>
          <w:color w:val="252525"/>
        </w:rPr>
        <w:t>Morseletto</w:t>
      </w:r>
      <w:proofErr w:type="spellEnd"/>
      <w:r w:rsidRPr="001D2A38">
        <w:rPr>
          <w:rFonts w:ascii="Arial" w:hAnsi="Arial" w:cs="Arial"/>
          <w:color w:val="252525"/>
        </w:rPr>
        <w:t xml:space="preserve"> (2020, p.104) states that, unlike the traditional linear economy's 'take, make, and dispose</w:t>
      </w:r>
      <w:r>
        <w:rPr>
          <w:rFonts w:ascii="Arial" w:hAnsi="Arial" w:cs="Arial"/>
          <w:color w:val="252525"/>
        </w:rPr>
        <w:t xml:space="preserve"> of</w:t>
      </w:r>
      <w:r w:rsidRPr="001D2A38">
        <w:rPr>
          <w:rFonts w:ascii="Arial" w:hAnsi="Arial" w:cs="Arial"/>
          <w:color w:val="252525"/>
        </w:rPr>
        <w:t xml:space="preserve"> </w:t>
      </w:r>
      <w:r>
        <w:rPr>
          <w:rFonts w:ascii="Arial" w:hAnsi="Arial" w:cs="Arial"/>
          <w:color w:val="252525"/>
        </w:rPr>
        <w:t xml:space="preserve">the </w:t>
      </w:r>
      <w:r w:rsidRPr="001D2A38">
        <w:rPr>
          <w:rFonts w:ascii="Arial" w:hAnsi="Arial" w:cs="Arial"/>
          <w:color w:val="252525"/>
        </w:rPr>
        <w:t>model, a circular economy is based on a closed-loop system where materials and products are continuously reused or regenerated. This sustainable framework aims to deal with such severe environmental issues by limiting the depletion of natural resources, reducing waste production, and ensuring.</w:t>
      </w:r>
    </w:p>
    <w:p w14:paraId="56A08180" w14:textId="77777777" w:rsidR="00A40E52" w:rsidRPr="001D2A38" w:rsidRDefault="00A40E52" w:rsidP="00A40E52">
      <w:pPr>
        <w:pStyle w:val="NormalWeb"/>
        <w:spacing w:before="0" w:beforeAutospacing="0" w:after="0" w:afterAutospacing="0" w:line="360" w:lineRule="auto"/>
        <w:ind w:firstLine="720"/>
        <w:jc w:val="both"/>
        <w:rPr>
          <w:rFonts w:ascii="Arial" w:hAnsi="Arial" w:cs="Arial"/>
          <w:color w:val="252525"/>
        </w:rPr>
      </w:pPr>
      <w:r w:rsidRPr="001D2A38">
        <w:rPr>
          <w:rFonts w:ascii="Arial" w:hAnsi="Arial" w:cs="Arial"/>
          <w:color w:val="252525"/>
        </w:rPr>
        <w:t>This approach aims to disconnect economic growth from material consumption by focusing on the circularity of flows, which would help businesses concentrate on sustainability. Continued reuse and regeneration not only prolong the helpful life of the products but also reduce the environmental pollution associated with mining, manufacturing, and discarding (</w:t>
      </w:r>
      <w:r w:rsidRPr="00B905E4">
        <w:rPr>
          <w:rFonts w:ascii="Arial" w:hAnsi="Arial" w:cs="Arial"/>
          <w:color w:val="252525"/>
        </w:rPr>
        <w:t>Tomić</w:t>
      </w:r>
      <w:r w:rsidRPr="001D2A38">
        <w:rPr>
          <w:rFonts w:ascii="Arial" w:hAnsi="Arial" w:cs="Arial"/>
          <w:color w:val="252525"/>
        </w:rPr>
        <w:t xml:space="preserve"> &amp; Schneider, 2020, p. 111). The circular economy serves as a sign of sustainability and environmental consciousness by providing an ethical alternative to the traditional linear economic system, thereby contributing to creating a more sustainable and resilient world.</w:t>
      </w:r>
    </w:p>
    <w:p w14:paraId="7A208169" w14:textId="77777777" w:rsidR="00A40E52" w:rsidRPr="001D2A38" w:rsidRDefault="00A40E52" w:rsidP="00A40E52">
      <w:pPr>
        <w:pStyle w:val="NormalWeb"/>
        <w:spacing w:before="0" w:beforeAutospacing="0" w:after="0" w:afterAutospacing="0" w:line="360" w:lineRule="auto"/>
        <w:ind w:firstLine="720"/>
        <w:jc w:val="both"/>
        <w:rPr>
          <w:rFonts w:ascii="Arial" w:hAnsi="Arial" w:cs="Arial"/>
          <w:color w:val="252525"/>
        </w:rPr>
      </w:pPr>
      <w:r w:rsidRPr="001D2A38">
        <w:rPr>
          <w:rFonts w:ascii="Arial" w:hAnsi="Arial" w:cs="Arial"/>
          <w:color w:val="252525"/>
        </w:rPr>
        <w:lastRenderedPageBreak/>
        <w:t>Adopting circular economy approaches to CSR policies is a significant step in achieving the broader goal of promoting sustainable development. As Morea et al. (2021) state, circular economy practices offer a wide-angle perspective beyond economic factors, including environmental protection, social well-being, and economic development. The companies are integrating the principles of the circular economy as a strategic move toward improving their CSR initiatives by minimizing their ecological footprint (Dey et al., 2022, p. 20). Therefore, moving away from the linear "take, make, waste" model to a circular system centered on reduction, reuse, and recycling organizations contributes a lot to the conservation of resources and pollution prevention. This is not simply a response to the regulatory requirements but shows a real commitment to environmental governance and socially responsible business practices. In the CSR frameworks, the principles of circular economy can also be observed in the accountable sourcing approaches. Companies understand the importance of ethical and sustainable sourcing of materials and resources, as Mancini et al. (2020) presented. This entails working with environmentally conscious suppliers, consequently creating a long chain of supply that conforms to the circular principles. This secures the resources' sustainability and aligns with global plans to promote sustainable resource management.</w:t>
      </w:r>
    </w:p>
    <w:p w14:paraId="4C1197FF" w14:textId="77777777" w:rsidR="00A40E52" w:rsidRPr="001D2A38" w:rsidRDefault="00A40E52" w:rsidP="00A40E52">
      <w:pPr>
        <w:pStyle w:val="NormalWeb"/>
        <w:spacing w:before="0" w:beforeAutospacing="0" w:after="0" w:afterAutospacing="0" w:line="360" w:lineRule="auto"/>
        <w:ind w:firstLine="720"/>
        <w:jc w:val="both"/>
        <w:rPr>
          <w:rFonts w:ascii="Arial" w:hAnsi="Arial" w:cs="Arial"/>
          <w:color w:val="252525"/>
        </w:rPr>
      </w:pPr>
      <w:r w:rsidRPr="001D2A38">
        <w:rPr>
          <w:rFonts w:ascii="Arial" w:hAnsi="Arial" w:cs="Arial"/>
          <w:color w:val="252525"/>
        </w:rPr>
        <w:t>Besides, applying circular economy concepts to CSR also includes social development. Companies understand that their activities have extensive implications for the local people. To achieve community well-being, organizations can promote circular practices through many initiatives like job creation, skills development, and investments in the social infrastructure (</w:t>
      </w:r>
      <w:r w:rsidRPr="00B905E4">
        <w:rPr>
          <w:rFonts w:ascii="Arial" w:hAnsi="Arial" w:cs="Arial"/>
          <w:color w:val="252525"/>
        </w:rPr>
        <w:t>Schröder</w:t>
      </w:r>
      <w:r w:rsidRPr="001D2A38">
        <w:rPr>
          <w:rFonts w:ascii="Arial" w:hAnsi="Arial" w:cs="Arial"/>
          <w:color w:val="252525"/>
        </w:rPr>
        <w:t xml:space="preserve"> et al., 2020, p. 105). This integrated approach solves environmental issues and involves social responsibility while showing a willingness to care for the communities where companies conduct their business. A study by Fortunati et al. (2020, p. 5120) concludes that when organizations incorporate the principles of the circular economy into their CSR strategies, they assume active roles in positive environmental and social outcomes. The harmonization of circular practices and CSR goes beyond the corporate image but, most importantly, demonstrates an ethical responsibility to be wise custodians of nature and good citizens in their communities. With businesses gradually understanding that environmental, social, and economic aspects </w:t>
      </w:r>
      <w:r w:rsidRPr="001D2A38">
        <w:rPr>
          <w:rFonts w:ascii="Arial" w:hAnsi="Arial" w:cs="Arial"/>
          <w:color w:val="252525"/>
        </w:rPr>
        <w:lastRenderedPageBreak/>
        <w:t>are all interconnected, circular economy principles are becoming an integral part of CSR, which emerges as a strategic need for sustainable and responsible business.</w:t>
      </w:r>
    </w:p>
    <w:p w14:paraId="52C4CEAB" w14:textId="77777777" w:rsidR="00A40E52" w:rsidRDefault="00A40E52" w:rsidP="00A40E52">
      <w:pPr>
        <w:pStyle w:val="NormalWeb"/>
        <w:spacing w:before="0" w:beforeAutospacing="0" w:after="0" w:afterAutospacing="0" w:line="360" w:lineRule="auto"/>
        <w:ind w:firstLine="720"/>
        <w:jc w:val="both"/>
        <w:rPr>
          <w:rStyle w:val="Strong"/>
          <w:rFonts w:ascii="Arial" w:hAnsi="Arial" w:cs="Arial"/>
          <w:color w:val="252525"/>
        </w:rPr>
      </w:pPr>
    </w:p>
    <w:p w14:paraId="73531697" w14:textId="509DDA19" w:rsidR="00A40E52" w:rsidRPr="001D2A38" w:rsidRDefault="00A40E52" w:rsidP="00A40E52">
      <w:pPr>
        <w:pStyle w:val="NormalWeb"/>
        <w:spacing w:before="0" w:beforeAutospacing="0" w:after="0" w:afterAutospacing="0" w:line="360" w:lineRule="auto"/>
        <w:ind w:firstLine="720"/>
        <w:jc w:val="both"/>
        <w:rPr>
          <w:rFonts w:ascii="Arial" w:hAnsi="Arial" w:cs="Arial"/>
          <w:color w:val="252525"/>
        </w:rPr>
      </w:pPr>
      <w:r w:rsidRPr="001D2A38">
        <w:rPr>
          <w:rFonts w:ascii="Arial" w:hAnsi="Arial" w:cs="Arial"/>
          <w:color w:val="252525"/>
        </w:rPr>
        <w:t>Marriott International is the epitome of sustainability in the hospitality industry due to its highly detailed CSR policy. The heart of Marriott's sustainability goals lies in a holistic approach that goes beyond traditional business practices, resonating closely with the principles of the circular economy (Ge, 2020). Marriott's CSR policy is based on an all-encompassing approach that includes environmental and social responsibility. This commitment can be seen through several initiatives to minimize the ecological footprint of its many activities. Sanvitale (2020) adds that Marriott's sustainability strategy is based on one of the key pillars: circular economy principles, meaning a closed-loop system. This method aims to reduce waste, efficiently utilize resources, and continually reuse materials in the firm's operations.</w:t>
      </w:r>
    </w:p>
    <w:p w14:paraId="55968894" w14:textId="77777777" w:rsidR="00A40E52" w:rsidRPr="001D2A38" w:rsidRDefault="00A40E52" w:rsidP="00A40E52">
      <w:pPr>
        <w:pStyle w:val="NormalWeb"/>
        <w:spacing w:before="0" w:beforeAutospacing="0" w:after="0" w:afterAutospacing="0" w:line="360" w:lineRule="auto"/>
        <w:ind w:firstLine="720"/>
        <w:jc w:val="both"/>
        <w:rPr>
          <w:rFonts w:ascii="Arial" w:hAnsi="Arial" w:cs="Arial"/>
          <w:color w:val="252525"/>
        </w:rPr>
      </w:pPr>
      <w:r w:rsidRPr="001D2A38">
        <w:rPr>
          <w:rFonts w:ascii="Arial" w:hAnsi="Arial" w:cs="Arial"/>
          <w:color w:val="252525"/>
        </w:rPr>
        <w:t>However, the inclusion of circular economy principles into Marriott's CSR framework can be seen very clearly in its emphasis on resource efficiency. Marriott actively participates in establishing a closed-loop system by implementing technologies that are very energy efficient and reducing waste through their properties (Ishaq, 2022). This not only conforms to the ideals of circularity but also shows that reducing the environmental footprint of its operations is an important objective. In addition, responsible sourcing is an integral part of Marriott's circular economy implementation (Jones &amp; Comfort, 2020, p. 14). Through working with suppliers who practice sustainable and ethical values, Marriott assures that the products and materials used in the hotels are based on circular principles. This approach facilitates the responsible use of resources and promotes a more widespread movement within the industry towards sustainable sourcing practices. The alignment with the principles of circular economy confirms that the company is committed to maintaining a closed-loop system in its operations. Marriott's dedication proves that companies can succeed economically even as they focus on environmental stewardship, becoming a grand champion of sustainability in the hospitality industry.</w:t>
      </w:r>
    </w:p>
    <w:p w14:paraId="27FCCAB5" w14:textId="77777777" w:rsidR="00A40E52" w:rsidRDefault="00A40E52" w:rsidP="00A40E52">
      <w:pPr>
        <w:pStyle w:val="NormalWeb"/>
        <w:spacing w:before="0" w:beforeAutospacing="0" w:after="0" w:afterAutospacing="0" w:line="360" w:lineRule="auto"/>
        <w:ind w:firstLine="720"/>
        <w:jc w:val="both"/>
        <w:rPr>
          <w:rStyle w:val="Strong"/>
          <w:rFonts w:ascii="Arial" w:hAnsi="Arial" w:cs="Arial"/>
          <w:color w:val="252525"/>
        </w:rPr>
      </w:pPr>
    </w:p>
    <w:p w14:paraId="79354B52" w14:textId="63394AF0" w:rsidR="00A40E52" w:rsidRPr="001D2A38" w:rsidRDefault="00A40E52" w:rsidP="00A40E52">
      <w:pPr>
        <w:pStyle w:val="NormalWeb"/>
        <w:spacing w:before="0" w:beforeAutospacing="0" w:after="0" w:afterAutospacing="0" w:line="360" w:lineRule="auto"/>
        <w:ind w:firstLine="720"/>
        <w:jc w:val="both"/>
        <w:rPr>
          <w:rFonts w:ascii="Arial" w:hAnsi="Arial" w:cs="Arial"/>
          <w:color w:val="252525"/>
        </w:rPr>
      </w:pPr>
      <w:r w:rsidRPr="001D2A38">
        <w:rPr>
          <w:rFonts w:ascii="Arial" w:hAnsi="Arial" w:cs="Arial"/>
          <w:color w:val="252525"/>
        </w:rPr>
        <w:lastRenderedPageBreak/>
        <w:t>Marriott International's presence is revealed in its strategic thrust towards the optimal use of resources, waste minimization, and energy efficiency across all its many properties. The firm's commitment to reducing its environmental footprint is demonstrated by considering various measures that promote the responsible management of resources. As a way of resource optimization, Marriott applies many energy-efficient technologies throughout its properties, as presented by Al-Rawashdeh et al. (2023, p. 75). The company utilizes new-generation technologies such as innovative lighting systems and intelligent climate control solutions that help reduce energy consumption. This shows a resolve to responsible environmental management and follows the trend in many other industries towards environmentally sustainable practices.</w:t>
      </w:r>
    </w:p>
    <w:p w14:paraId="0C977BF5" w14:textId="77777777" w:rsidR="00A40E52" w:rsidRPr="001D2A38" w:rsidRDefault="00A40E52" w:rsidP="00A40E52">
      <w:pPr>
        <w:pStyle w:val="NormalWeb"/>
        <w:spacing w:before="0" w:beforeAutospacing="0" w:after="0" w:afterAutospacing="0" w:line="360" w:lineRule="auto"/>
        <w:ind w:firstLine="720"/>
        <w:jc w:val="both"/>
        <w:rPr>
          <w:rFonts w:ascii="Arial" w:hAnsi="Arial" w:cs="Arial"/>
          <w:color w:val="252525"/>
        </w:rPr>
      </w:pPr>
      <w:r w:rsidRPr="001D2A38">
        <w:rPr>
          <w:rFonts w:ascii="Arial" w:hAnsi="Arial" w:cs="Arial"/>
          <w:color w:val="252525"/>
        </w:rPr>
        <w:t>Marriott's other pillar of sustainability is its waste reduction initiatives. The company proactively finds ways to minimize waste production throughout its processes. This entails strategic waste segregation, recycling programs, and the reduction of single-use plastics, showing a comprehensive approach to waste management. Through waste reduction, Marriott supports the circular economy model, which aims to keep materials in use as long as possible. Also, Marriott focuses on water conservation (Wickham et al., 2020, p. 78). Acknowledging the significance of sustainable water management, the company integrates various technologies and practices that minimize water consumption in its properties. This dedication does not stop with operational effectiveness. Instead, it plays a significant role in broader water conservation purposes and is also in line with global activities to deal with water scarcity and sustainability.</w:t>
      </w:r>
    </w:p>
    <w:p w14:paraId="1F8CFDD2" w14:textId="77777777" w:rsidR="00A40E52" w:rsidRDefault="00A40E52" w:rsidP="00A40E52">
      <w:pPr>
        <w:pStyle w:val="NormalWeb"/>
        <w:spacing w:before="0" w:beforeAutospacing="0" w:after="0" w:afterAutospacing="0" w:line="360" w:lineRule="auto"/>
        <w:ind w:firstLine="720"/>
        <w:jc w:val="both"/>
        <w:rPr>
          <w:rStyle w:val="Strong"/>
          <w:rFonts w:ascii="Arial" w:hAnsi="Arial" w:cs="Arial"/>
          <w:color w:val="252525"/>
        </w:rPr>
      </w:pPr>
    </w:p>
    <w:p w14:paraId="509B8933" w14:textId="27F93C5A" w:rsidR="00A40E52" w:rsidRPr="001D2A38" w:rsidRDefault="00A40E52" w:rsidP="00A40E52">
      <w:pPr>
        <w:pStyle w:val="NormalWeb"/>
        <w:spacing w:before="0" w:beforeAutospacing="0" w:after="0" w:afterAutospacing="0" w:line="360" w:lineRule="auto"/>
        <w:ind w:firstLine="720"/>
        <w:jc w:val="both"/>
        <w:rPr>
          <w:rFonts w:ascii="Arial" w:hAnsi="Arial" w:cs="Arial"/>
          <w:color w:val="252525"/>
        </w:rPr>
      </w:pPr>
      <w:r w:rsidRPr="001D2A38">
        <w:rPr>
          <w:rFonts w:ascii="Arial" w:hAnsi="Arial" w:cs="Arial"/>
          <w:color w:val="252525"/>
        </w:rPr>
        <w:t xml:space="preserve">Sustainable sourcing is a crucial driver of Marriott International's circular economy practices at the organization's heart. Recognizing the importance of supply chain sustainability, Marriott focuses on buying materials that are not only sustainable but also ethical (Moret, 2020). This commitment goes beyond the legal requirements of industry standards to a profound desire to see procurement practices in sync with the circular economy philosophy. Marriott works very closely with suppliers that have the same environmental commitment. The circular approach allows the products and materials used in its many hotels to comply with the principles of a circular economy, as argued by </w:t>
      </w:r>
      <w:r w:rsidRPr="00B905E4">
        <w:rPr>
          <w:rFonts w:ascii="Arial" w:hAnsi="Arial" w:cs="Arial"/>
          <w:color w:val="252525"/>
        </w:rPr>
        <w:t>Rodríguez</w:t>
      </w:r>
      <w:r w:rsidRPr="001D2A38">
        <w:rPr>
          <w:rFonts w:ascii="Arial" w:hAnsi="Arial" w:cs="Arial"/>
          <w:color w:val="252525"/>
        </w:rPr>
        <w:t xml:space="preserve"> et al. (2020, p. 43). These values include minimizing the many adverse effects </w:t>
      </w:r>
      <w:r w:rsidRPr="001D2A38">
        <w:rPr>
          <w:rFonts w:ascii="Arial" w:hAnsi="Arial" w:cs="Arial"/>
          <w:color w:val="252525"/>
        </w:rPr>
        <w:lastRenderedPageBreak/>
        <w:t>of production on nature, increasing resource productivity, and focusing on materials' durability and recycling capability. Marriott's commitment to working with sustainable suppliers promotes the overall objective of sound resource management (Pavlova, 2023). This also includes the responsible use of resources, minimization of environmental damage in the extraction and production cycle, and adherence to ethical labor standards. Not only does the focus on responsible sourcing reflect Marriott's corporate principles, but it also positions the company as a conscientious representative in the hospitality sector.</w:t>
      </w:r>
    </w:p>
    <w:p w14:paraId="2C942104" w14:textId="77777777" w:rsidR="00A40E52" w:rsidRDefault="00A40E52" w:rsidP="00A40E52">
      <w:pPr>
        <w:pStyle w:val="NormalWeb"/>
        <w:spacing w:before="0" w:beforeAutospacing="0" w:after="0" w:afterAutospacing="0" w:line="360" w:lineRule="auto"/>
        <w:ind w:firstLine="720"/>
        <w:jc w:val="both"/>
        <w:rPr>
          <w:rStyle w:val="Strong"/>
          <w:rFonts w:ascii="Arial" w:hAnsi="Arial" w:cs="Arial"/>
          <w:color w:val="252525"/>
        </w:rPr>
      </w:pPr>
    </w:p>
    <w:p w14:paraId="50E34610" w14:textId="7EF232CF" w:rsidR="00A40E52" w:rsidRPr="001D2A38" w:rsidRDefault="00A40E52" w:rsidP="00A40E52">
      <w:pPr>
        <w:pStyle w:val="NormalWeb"/>
        <w:spacing w:before="0" w:beforeAutospacing="0" w:after="0" w:afterAutospacing="0" w:line="360" w:lineRule="auto"/>
        <w:ind w:firstLine="720"/>
        <w:jc w:val="both"/>
        <w:rPr>
          <w:rFonts w:ascii="Arial" w:hAnsi="Arial" w:cs="Arial"/>
          <w:color w:val="252525"/>
        </w:rPr>
      </w:pPr>
      <w:r w:rsidRPr="001D2A38">
        <w:rPr>
          <w:rFonts w:ascii="Arial" w:hAnsi="Arial" w:cs="Arial"/>
          <w:color w:val="252525"/>
        </w:rPr>
        <w:t xml:space="preserve">The robust waste management strategies adopted across Marriott International's operations reflect environmental stewardship. The company's actions, including the single-use plastics reduction, composting program implementation, and recycling campaign launch, reflect the commitment to the principles of circular economy </w:t>
      </w:r>
      <w:proofErr w:type="gramStart"/>
      <w:r w:rsidRPr="001D2A38">
        <w:rPr>
          <w:rFonts w:ascii="Arial" w:hAnsi="Arial" w:cs="Arial"/>
          <w:color w:val="252525"/>
        </w:rPr>
        <w:t>similar to</w:t>
      </w:r>
      <w:proofErr w:type="gramEnd"/>
      <w:r w:rsidRPr="001D2A38">
        <w:rPr>
          <w:rFonts w:ascii="Arial" w:hAnsi="Arial" w:cs="Arial"/>
          <w:color w:val="252525"/>
        </w:rPr>
        <w:t xml:space="preserve"> the ones presented by Borg et al. (2022, p. 134). With these initiatives, Marriott provides an extended lifecycle for the materials, limiting the environmental effects associated with resource mining and waste. Decreased single-use plastics imply an intentional attempt to combat plastic pollution while composting. Also, recycling programs help create a circular economy, reducing the amount of garbage sent to landfills, as Fletcher et al. (2023) argued. The proactive approach by Marriott is not only compliant with the principles of the circular economy but also a benchmark within the hospitality industry for responsible waste management.</w:t>
      </w:r>
    </w:p>
    <w:p w14:paraId="6939449B" w14:textId="77777777" w:rsidR="00A40E52" w:rsidRDefault="00A40E52" w:rsidP="00A40E52">
      <w:pPr>
        <w:pStyle w:val="NormalWeb"/>
        <w:spacing w:before="0" w:beforeAutospacing="0" w:after="0" w:afterAutospacing="0" w:line="360" w:lineRule="auto"/>
        <w:ind w:firstLine="720"/>
        <w:jc w:val="both"/>
        <w:rPr>
          <w:rStyle w:val="Strong"/>
          <w:rFonts w:ascii="Arial" w:hAnsi="Arial" w:cs="Arial"/>
          <w:color w:val="252525"/>
        </w:rPr>
      </w:pPr>
    </w:p>
    <w:p w14:paraId="3A3530D3" w14:textId="49C36CFF" w:rsidR="00A40E52" w:rsidRPr="001D2A38" w:rsidRDefault="00A40E52" w:rsidP="00A40E52">
      <w:pPr>
        <w:pStyle w:val="NormalWeb"/>
        <w:spacing w:before="0" w:beforeAutospacing="0" w:after="0" w:afterAutospacing="0" w:line="360" w:lineRule="auto"/>
        <w:ind w:firstLine="720"/>
        <w:jc w:val="both"/>
        <w:rPr>
          <w:rFonts w:ascii="Arial" w:hAnsi="Arial" w:cs="Arial"/>
          <w:color w:val="252525"/>
        </w:rPr>
      </w:pPr>
      <w:r w:rsidRPr="001D2A38">
        <w:rPr>
          <w:rFonts w:ascii="Arial" w:hAnsi="Arial" w:cs="Arial"/>
          <w:color w:val="252525"/>
        </w:rPr>
        <w:t xml:space="preserve">The CSR policy of Marriott International goes beyond the internal functions and reflects an attitude toward the community. By making smart investments in projects that focus on education, health, and economic development, Marriott plays an active role in positively contributing to the well-being of the local communities (Ovchinnikova, 2023). This assistance expansion is consistent with the social component of the circular economy, which implies that economic, environmental, and social factors are all interdependent. Through building community resilience and investing in areas important for sustainable development, Marriott improves its corporate reputation and shows a broader approach to circular economy principles (Landau, 2020, p. 563). The company's </w:t>
      </w:r>
      <w:r w:rsidRPr="001D2A38">
        <w:rPr>
          <w:rFonts w:ascii="Arial" w:hAnsi="Arial" w:cs="Arial"/>
          <w:color w:val="252525"/>
        </w:rPr>
        <w:lastRenderedPageBreak/>
        <w:t>active involvement in community well-being supports the idea that corporate responsibility is devoted to business activities and influences positive social impacts within a broader framework of sustainable and circular businesses.</w:t>
      </w:r>
    </w:p>
    <w:p w14:paraId="776C3C24" w14:textId="77777777" w:rsidR="00A40E52" w:rsidRDefault="00A40E52" w:rsidP="00A40E52">
      <w:pPr>
        <w:pStyle w:val="NormalWeb"/>
        <w:spacing w:before="0" w:beforeAutospacing="0" w:after="0" w:afterAutospacing="0" w:line="360" w:lineRule="auto"/>
        <w:ind w:firstLine="720"/>
        <w:jc w:val="both"/>
        <w:rPr>
          <w:rStyle w:val="Strong"/>
          <w:rFonts w:ascii="Arial" w:hAnsi="Arial" w:cs="Arial"/>
          <w:color w:val="252525"/>
        </w:rPr>
      </w:pPr>
    </w:p>
    <w:p w14:paraId="59C058AC" w14:textId="5509E392" w:rsidR="00A40E52" w:rsidRPr="001D2A38" w:rsidRDefault="00A40E52" w:rsidP="00A40E52">
      <w:pPr>
        <w:pStyle w:val="NormalWeb"/>
        <w:spacing w:before="0" w:beforeAutospacing="0" w:after="0" w:afterAutospacing="0" w:line="360" w:lineRule="auto"/>
        <w:ind w:firstLine="720"/>
        <w:jc w:val="both"/>
        <w:rPr>
          <w:rFonts w:ascii="Arial" w:hAnsi="Arial" w:cs="Arial"/>
          <w:color w:val="252525"/>
        </w:rPr>
      </w:pPr>
      <w:r w:rsidRPr="001D2A38">
        <w:rPr>
          <w:rFonts w:ascii="Arial" w:hAnsi="Arial" w:cs="Arial"/>
          <w:color w:val="252525"/>
        </w:rPr>
        <w:t>To understand the importance of Marriott International's circular economy efforts, it is indispensable to analyze how other leaders in the industry incorporate these principles into their CSR policies. Two noteworthy cases, IKEA and Unilever, demonstrate the power of circular practices to revolutionize a wide range of industries.</w:t>
      </w:r>
    </w:p>
    <w:p w14:paraId="1A287EA2" w14:textId="77777777" w:rsidR="00A40E52" w:rsidRDefault="00A40E52" w:rsidP="00A40E52">
      <w:pPr>
        <w:pStyle w:val="NormalWeb"/>
        <w:spacing w:before="0" w:beforeAutospacing="0" w:after="0" w:afterAutospacing="0" w:line="360" w:lineRule="auto"/>
        <w:ind w:firstLine="720"/>
        <w:jc w:val="both"/>
        <w:rPr>
          <w:rStyle w:val="Strong"/>
          <w:rFonts w:ascii="Arial" w:hAnsi="Arial" w:cs="Arial"/>
          <w:color w:val="252525"/>
        </w:rPr>
      </w:pPr>
    </w:p>
    <w:p w14:paraId="5665683C" w14:textId="0E4C24B2" w:rsidR="00A40E52" w:rsidRPr="001D2A38" w:rsidRDefault="00A40E52" w:rsidP="00A40E52">
      <w:pPr>
        <w:pStyle w:val="NormalWeb"/>
        <w:spacing w:before="0" w:beforeAutospacing="0" w:after="0" w:afterAutospacing="0" w:line="360" w:lineRule="auto"/>
        <w:ind w:firstLine="720"/>
        <w:jc w:val="both"/>
        <w:rPr>
          <w:rFonts w:ascii="Arial" w:hAnsi="Arial" w:cs="Arial"/>
          <w:color w:val="252525"/>
        </w:rPr>
      </w:pPr>
      <w:r w:rsidRPr="001D2A38">
        <w:rPr>
          <w:rFonts w:ascii="Arial" w:hAnsi="Arial" w:cs="Arial"/>
          <w:color w:val="252525"/>
        </w:rPr>
        <w:t xml:space="preserve">As a major furniture company worldwide, </w:t>
      </w:r>
      <w:r>
        <w:rPr>
          <w:rFonts w:ascii="Arial" w:hAnsi="Arial" w:cs="Arial"/>
          <w:color w:val="252525"/>
        </w:rPr>
        <w:t xml:space="preserve">Ingvar Kamprad, </w:t>
      </w:r>
      <w:proofErr w:type="spellStart"/>
      <w:r>
        <w:rPr>
          <w:rFonts w:ascii="Arial" w:hAnsi="Arial" w:cs="Arial"/>
          <w:color w:val="252525"/>
        </w:rPr>
        <w:t>Elmtaryd</w:t>
      </w:r>
      <w:proofErr w:type="spellEnd"/>
      <w:r>
        <w:rPr>
          <w:rFonts w:ascii="Arial" w:hAnsi="Arial" w:cs="Arial"/>
          <w:color w:val="252525"/>
        </w:rPr>
        <w:t xml:space="preserve"> (</w:t>
      </w:r>
      <w:r w:rsidRPr="001D2A38">
        <w:rPr>
          <w:rFonts w:ascii="Arial" w:hAnsi="Arial" w:cs="Arial"/>
          <w:color w:val="252525"/>
        </w:rPr>
        <w:t>IKEA</w:t>
      </w:r>
      <w:r>
        <w:rPr>
          <w:rFonts w:ascii="Arial" w:hAnsi="Arial" w:cs="Arial"/>
          <w:color w:val="252525"/>
        </w:rPr>
        <w:t>)</w:t>
      </w:r>
      <w:r w:rsidRPr="001D2A38">
        <w:rPr>
          <w:rFonts w:ascii="Arial" w:hAnsi="Arial" w:cs="Arial"/>
          <w:color w:val="252525"/>
        </w:rPr>
        <w:t xml:space="preserve"> has become the leader in adopting a circular economy. To become fully circular and climate-positive by 2030, IKEA undertakes various initiatives, such as furniture take-back programs focusing on product reuse and recycling (</w:t>
      </w:r>
      <w:proofErr w:type="spellStart"/>
      <w:r w:rsidRPr="001D2A38">
        <w:rPr>
          <w:rFonts w:ascii="Arial" w:hAnsi="Arial" w:cs="Arial"/>
          <w:color w:val="252525"/>
        </w:rPr>
        <w:t>Bouhia</w:t>
      </w:r>
      <w:proofErr w:type="spellEnd"/>
      <w:r w:rsidRPr="001D2A38">
        <w:rPr>
          <w:rFonts w:ascii="Arial" w:hAnsi="Arial" w:cs="Arial"/>
          <w:color w:val="252525"/>
        </w:rPr>
        <w:t>, 2022, p. 213). The company develops long-lasting products that promote durability and reduce the frequency of replacements. IKEA's circular approach also goes beyond operational practices; it becomes an integral part of the business model, showing that dedication to circularity can penetrate every aspect of a firm's operations.</w:t>
      </w:r>
    </w:p>
    <w:p w14:paraId="66B439D5" w14:textId="77777777" w:rsidR="00A40E52" w:rsidRDefault="00A40E52" w:rsidP="00A40E52">
      <w:pPr>
        <w:pStyle w:val="NormalWeb"/>
        <w:spacing w:before="0" w:beforeAutospacing="0" w:after="0" w:afterAutospacing="0" w:line="360" w:lineRule="auto"/>
        <w:ind w:firstLine="720"/>
        <w:jc w:val="both"/>
        <w:rPr>
          <w:rStyle w:val="Strong"/>
          <w:rFonts w:ascii="Arial" w:hAnsi="Arial" w:cs="Arial"/>
          <w:color w:val="252525"/>
        </w:rPr>
      </w:pPr>
    </w:p>
    <w:p w14:paraId="7D92A8CB" w14:textId="1E8EC8A6" w:rsidR="00A40E52" w:rsidRPr="001D2A38" w:rsidRDefault="00A40E52" w:rsidP="00A40E52">
      <w:pPr>
        <w:pStyle w:val="NormalWeb"/>
        <w:spacing w:before="0" w:beforeAutospacing="0" w:after="0" w:afterAutospacing="0" w:line="360" w:lineRule="auto"/>
        <w:ind w:firstLine="720"/>
        <w:jc w:val="both"/>
        <w:rPr>
          <w:rFonts w:ascii="Arial" w:hAnsi="Arial" w:cs="Arial"/>
          <w:color w:val="252525"/>
        </w:rPr>
      </w:pPr>
      <w:r w:rsidRPr="001D2A38">
        <w:rPr>
          <w:rFonts w:ascii="Arial" w:hAnsi="Arial" w:cs="Arial"/>
          <w:color w:val="252525"/>
        </w:rPr>
        <w:t>Unilever, a multinational consumer goods corporation, has made many bold circular economy efforts to deal with plastic garbage. By 2025, the company plans to make all its plastic packaging recyclable, reusable, or compostable (Hu &amp; Zeng, 2024, p. 11). Unilever's circular commitment to the ethical sourcing of raw materials covers the entire value chain. The company also aims to minimize its ecological footprint, demonstrating a holistic approach to circularity. Unilever's commitment shows the revolutionary nature of circular practices, as it seeks to reduce waste and wholly change its production and distribution patterns.</w:t>
      </w:r>
    </w:p>
    <w:p w14:paraId="588B63BF" w14:textId="77777777" w:rsidR="00A40E52" w:rsidRDefault="00A40E52" w:rsidP="00A40E52">
      <w:pPr>
        <w:pStyle w:val="NormalWeb"/>
        <w:spacing w:before="0" w:beforeAutospacing="0" w:after="0" w:afterAutospacing="0" w:line="360" w:lineRule="auto"/>
        <w:ind w:firstLine="720"/>
        <w:jc w:val="both"/>
        <w:rPr>
          <w:rFonts w:ascii="Arial" w:hAnsi="Arial" w:cs="Arial"/>
          <w:b/>
          <w:bCs/>
          <w:color w:val="252525"/>
        </w:rPr>
      </w:pPr>
    </w:p>
    <w:p w14:paraId="22E17933" w14:textId="2B1B7CB1" w:rsidR="00A40E52" w:rsidRPr="001D2A38" w:rsidRDefault="00A40E52" w:rsidP="00A40E52">
      <w:pPr>
        <w:pStyle w:val="NormalWeb"/>
        <w:spacing w:before="0" w:beforeAutospacing="0" w:after="0" w:afterAutospacing="0" w:line="360" w:lineRule="auto"/>
        <w:ind w:firstLine="720"/>
        <w:jc w:val="both"/>
        <w:rPr>
          <w:rFonts w:ascii="Arial" w:hAnsi="Arial" w:cs="Arial"/>
          <w:color w:val="252525"/>
        </w:rPr>
      </w:pPr>
      <w:r w:rsidRPr="001D2A38">
        <w:rPr>
          <w:rFonts w:ascii="Arial" w:hAnsi="Arial" w:cs="Arial"/>
          <w:color w:val="252525"/>
        </w:rPr>
        <w:t xml:space="preserve">The circular economy principles adopted by Marriott International within its CSR policy guide sustainability in the hospitality industry. Comparing Marriott with such industry leaders as IKEA and Unilever, it becomes clear that a circular economic approach is feasible in the various industrial spheres. Marriott's focus on resource </w:t>
      </w:r>
      <w:r w:rsidRPr="001D2A38">
        <w:rPr>
          <w:rFonts w:ascii="Arial" w:hAnsi="Arial" w:cs="Arial"/>
          <w:color w:val="252525"/>
        </w:rPr>
        <w:lastRenderedPageBreak/>
        <w:t>efficiency, responsible sourcing, waste reuse, and community involvement is a praiseworthy example in the hospitality industry, demonstrating that economic prosperity can be associated with environmental and social responsibility. The proactive approach adopted by Marriott is a testament to the fact that the principles of the circular economy are necessary for ecological sustainability and beneficial from an economic and social perspective to companies within various sectors.</w:t>
      </w:r>
    </w:p>
    <w:p w14:paraId="3EF34D4E" w14:textId="77777777" w:rsidR="00A40E52" w:rsidRPr="001D2A38" w:rsidRDefault="00A40E52" w:rsidP="00A40E52">
      <w:pPr>
        <w:pStyle w:val="NormalWeb"/>
        <w:spacing w:before="0" w:beforeAutospacing="0" w:after="0" w:afterAutospacing="0" w:line="360" w:lineRule="auto"/>
        <w:jc w:val="both"/>
        <w:rPr>
          <w:rFonts w:ascii="Arial" w:hAnsi="Arial" w:cs="Arial"/>
          <w:color w:val="252525"/>
        </w:rPr>
      </w:pPr>
      <w:r w:rsidRPr="001D2A38">
        <w:rPr>
          <w:rFonts w:ascii="Arial" w:hAnsi="Arial" w:cs="Arial"/>
          <w:color w:val="252525"/>
        </w:rPr>
        <w:t> </w:t>
      </w:r>
    </w:p>
    <w:p w14:paraId="16E97085" w14:textId="77777777" w:rsidR="00A40E52" w:rsidRPr="001D2A38" w:rsidRDefault="00A40E52" w:rsidP="00A40E52">
      <w:pPr>
        <w:spacing w:after="0" w:line="360" w:lineRule="auto"/>
        <w:ind w:firstLine="720"/>
        <w:jc w:val="both"/>
        <w:rPr>
          <w:rFonts w:ascii="Arial" w:hAnsi="Arial" w:cs="Arial"/>
          <w:sz w:val="24"/>
          <w:szCs w:val="24"/>
        </w:rPr>
      </w:pPr>
    </w:p>
    <w:p w14:paraId="148E673A" w14:textId="77777777" w:rsidR="00A40E52" w:rsidRPr="001D2A38" w:rsidRDefault="00A40E52" w:rsidP="00A40E52">
      <w:pPr>
        <w:spacing w:after="0" w:line="360" w:lineRule="auto"/>
        <w:ind w:firstLine="720"/>
        <w:rPr>
          <w:rFonts w:ascii="Arial" w:hAnsi="Arial" w:cs="Arial"/>
          <w:sz w:val="24"/>
          <w:szCs w:val="24"/>
        </w:rPr>
      </w:pPr>
    </w:p>
    <w:p w14:paraId="361AC56F" w14:textId="77777777" w:rsidR="00A40E52" w:rsidRPr="001D2A38" w:rsidRDefault="00A40E52" w:rsidP="00A40E52">
      <w:pPr>
        <w:spacing w:after="0" w:line="360" w:lineRule="auto"/>
        <w:ind w:firstLine="720"/>
        <w:rPr>
          <w:rFonts w:ascii="Arial" w:hAnsi="Arial" w:cs="Arial"/>
          <w:sz w:val="24"/>
          <w:szCs w:val="24"/>
        </w:rPr>
      </w:pPr>
    </w:p>
    <w:p w14:paraId="3C14F0FE" w14:textId="77777777" w:rsidR="00A40E52" w:rsidRPr="001D2A38" w:rsidRDefault="00A40E52" w:rsidP="00A40E52">
      <w:pPr>
        <w:spacing w:after="0" w:line="360" w:lineRule="auto"/>
        <w:ind w:firstLine="720"/>
        <w:rPr>
          <w:rFonts w:ascii="Arial" w:hAnsi="Arial" w:cs="Arial"/>
          <w:sz w:val="24"/>
          <w:szCs w:val="24"/>
        </w:rPr>
      </w:pPr>
    </w:p>
    <w:p w14:paraId="0A6E068F" w14:textId="77777777" w:rsidR="00A40E52" w:rsidRPr="001D2A38" w:rsidRDefault="00A40E52" w:rsidP="00A40E52">
      <w:pPr>
        <w:spacing w:after="0" w:line="360" w:lineRule="auto"/>
        <w:rPr>
          <w:rFonts w:ascii="Arial" w:hAnsi="Arial" w:cs="Arial"/>
          <w:sz w:val="24"/>
          <w:szCs w:val="24"/>
        </w:rPr>
      </w:pPr>
    </w:p>
    <w:p w14:paraId="39FE5DF6" w14:textId="77777777" w:rsidR="00A40E52" w:rsidRPr="001D2A38" w:rsidRDefault="00A40E52" w:rsidP="00A40E52">
      <w:pPr>
        <w:spacing w:after="0" w:line="360" w:lineRule="auto"/>
        <w:rPr>
          <w:rFonts w:ascii="Arial" w:hAnsi="Arial" w:cs="Arial"/>
          <w:b/>
          <w:bCs/>
          <w:sz w:val="24"/>
          <w:szCs w:val="24"/>
        </w:rPr>
      </w:pPr>
      <w:r w:rsidRPr="001D2A38">
        <w:rPr>
          <w:rFonts w:ascii="Arial" w:hAnsi="Arial" w:cs="Arial"/>
          <w:b/>
          <w:bCs/>
          <w:sz w:val="24"/>
          <w:szCs w:val="24"/>
        </w:rPr>
        <w:br w:type="page"/>
      </w:r>
    </w:p>
    <w:p w14:paraId="6E67812E" w14:textId="77777777" w:rsidR="00A40E52" w:rsidRDefault="00A40E52" w:rsidP="00A40E52">
      <w:pPr>
        <w:spacing w:after="0" w:line="360" w:lineRule="auto"/>
        <w:jc w:val="center"/>
        <w:rPr>
          <w:rFonts w:ascii="Arial" w:hAnsi="Arial" w:cs="Arial"/>
          <w:b/>
          <w:bCs/>
          <w:sz w:val="24"/>
          <w:szCs w:val="24"/>
        </w:rPr>
      </w:pPr>
      <w:r w:rsidRPr="001D2A38">
        <w:rPr>
          <w:rFonts w:ascii="Arial" w:hAnsi="Arial" w:cs="Arial"/>
          <w:b/>
          <w:bCs/>
          <w:sz w:val="24"/>
          <w:szCs w:val="24"/>
        </w:rPr>
        <w:lastRenderedPageBreak/>
        <w:t>Reference</w:t>
      </w:r>
      <w:r>
        <w:rPr>
          <w:rFonts w:ascii="Arial" w:hAnsi="Arial" w:cs="Arial"/>
          <w:b/>
          <w:bCs/>
          <w:sz w:val="24"/>
          <w:szCs w:val="24"/>
        </w:rPr>
        <w:t>s</w:t>
      </w:r>
    </w:p>
    <w:p w14:paraId="6E30B562" w14:textId="77777777" w:rsidR="00A40E52" w:rsidRPr="001D2A38" w:rsidRDefault="00A40E52" w:rsidP="00A40E52">
      <w:pPr>
        <w:spacing w:after="0" w:line="360" w:lineRule="auto"/>
        <w:jc w:val="center"/>
        <w:rPr>
          <w:rFonts w:ascii="Arial" w:hAnsi="Arial" w:cs="Arial"/>
          <w:b/>
          <w:bCs/>
          <w:sz w:val="24"/>
          <w:szCs w:val="24"/>
        </w:rPr>
      </w:pPr>
    </w:p>
    <w:p w14:paraId="13D3A13F" w14:textId="77777777" w:rsidR="00A40E52" w:rsidRDefault="00A40E52" w:rsidP="00A40E52">
      <w:pPr>
        <w:spacing w:after="0" w:line="360" w:lineRule="auto"/>
        <w:ind w:left="720" w:hanging="720"/>
        <w:rPr>
          <w:rFonts w:ascii="Arial" w:hAnsi="Arial" w:cs="Arial"/>
          <w:color w:val="222222"/>
          <w:sz w:val="24"/>
          <w:szCs w:val="24"/>
          <w:shd w:val="clear" w:color="auto" w:fill="FFFFFF"/>
        </w:rPr>
      </w:pPr>
      <w:r w:rsidRPr="001D2A38">
        <w:rPr>
          <w:rFonts w:ascii="Arial" w:hAnsi="Arial" w:cs="Arial"/>
          <w:color w:val="222222"/>
          <w:sz w:val="24"/>
          <w:szCs w:val="24"/>
          <w:shd w:val="clear" w:color="auto" w:fill="FFFFFF"/>
        </w:rPr>
        <w:t>Al-Rawashdeh, H., Al-</w:t>
      </w:r>
      <w:proofErr w:type="spellStart"/>
      <w:r w:rsidRPr="001D2A38">
        <w:rPr>
          <w:rFonts w:ascii="Arial" w:hAnsi="Arial" w:cs="Arial"/>
          <w:color w:val="222222"/>
          <w:sz w:val="24"/>
          <w:szCs w:val="24"/>
          <w:shd w:val="clear" w:color="auto" w:fill="FFFFFF"/>
        </w:rPr>
        <w:t>Khashman</w:t>
      </w:r>
      <w:proofErr w:type="spellEnd"/>
      <w:r w:rsidRPr="001D2A38">
        <w:rPr>
          <w:rFonts w:ascii="Arial" w:hAnsi="Arial" w:cs="Arial"/>
          <w:color w:val="222222"/>
          <w:sz w:val="24"/>
          <w:szCs w:val="24"/>
          <w:shd w:val="clear" w:color="auto" w:fill="FFFFFF"/>
        </w:rPr>
        <w:t xml:space="preserve">, O.A., Al </w:t>
      </w:r>
      <w:proofErr w:type="spellStart"/>
      <w:r w:rsidRPr="001D2A38">
        <w:rPr>
          <w:rFonts w:ascii="Arial" w:hAnsi="Arial" w:cs="Arial"/>
          <w:color w:val="222222"/>
          <w:sz w:val="24"/>
          <w:szCs w:val="24"/>
          <w:shd w:val="clear" w:color="auto" w:fill="FFFFFF"/>
        </w:rPr>
        <w:t>Bdour</w:t>
      </w:r>
      <w:proofErr w:type="spellEnd"/>
      <w:r w:rsidRPr="001D2A38">
        <w:rPr>
          <w:rFonts w:ascii="Arial" w:hAnsi="Arial" w:cs="Arial"/>
          <w:color w:val="222222"/>
          <w:sz w:val="24"/>
          <w:szCs w:val="24"/>
          <w:shd w:val="clear" w:color="auto" w:fill="FFFFFF"/>
        </w:rPr>
        <w:t xml:space="preserve">, J.T., Gomaa, M.R., Rezk, H., Marshall, A., </w:t>
      </w:r>
      <w:proofErr w:type="spellStart"/>
      <w:r w:rsidRPr="001D2A38">
        <w:rPr>
          <w:rFonts w:ascii="Arial" w:hAnsi="Arial" w:cs="Arial"/>
          <w:color w:val="222222"/>
          <w:sz w:val="24"/>
          <w:szCs w:val="24"/>
          <w:shd w:val="clear" w:color="auto" w:fill="FFFFFF"/>
        </w:rPr>
        <w:t>Arrfou</w:t>
      </w:r>
      <w:proofErr w:type="spellEnd"/>
      <w:r w:rsidRPr="001D2A38">
        <w:rPr>
          <w:rFonts w:ascii="Arial" w:hAnsi="Arial" w:cs="Arial"/>
          <w:color w:val="222222"/>
          <w:sz w:val="24"/>
          <w:szCs w:val="24"/>
          <w:shd w:val="clear" w:color="auto" w:fill="FFFFFF"/>
        </w:rPr>
        <w:t xml:space="preserve">, L.M. and </w:t>
      </w:r>
      <w:proofErr w:type="spellStart"/>
      <w:r w:rsidRPr="001D2A38">
        <w:rPr>
          <w:rFonts w:ascii="Arial" w:hAnsi="Arial" w:cs="Arial"/>
          <w:color w:val="222222"/>
          <w:sz w:val="24"/>
          <w:szCs w:val="24"/>
          <w:shd w:val="clear" w:color="auto" w:fill="FFFFFF"/>
        </w:rPr>
        <w:t>Louzazni</w:t>
      </w:r>
      <w:proofErr w:type="spellEnd"/>
      <w:r w:rsidRPr="001D2A38">
        <w:rPr>
          <w:rFonts w:ascii="Arial" w:hAnsi="Arial" w:cs="Arial"/>
          <w:color w:val="222222"/>
          <w:sz w:val="24"/>
          <w:szCs w:val="24"/>
          <w:shd w:val="clear" w:color="auto" w:fill="FFFFFF"/>
        </w:rPr>
        <w:t>, M., 2023. Performance Analysis of a Hybrid Renewable-Energy System for Green Buildings to Improve Efficiency and Reduce GHG Emissions with Multiple Scenarios. </w:t>
      </w:r>
      <w:r w:rsidRPr="001D2A38">
        <w:rPr>
          <w:rFonts w:ascii="Arial" w:hAnsi="Arial" w:cs="Arial"/>
          <w:i/>
          <w:iCs/>
          <w:color w:val="222222"/>
          <w:sz w:val="24"/>
          <w:szCs w:val="24"/>
          <w:shd w:val="clear" w:color="auto" w:fill="FFFFFF"/>
        </w:rPr>
        <w:t>Sustainability</w:t>
      </w:r>
      <w:r w:rsidRPr="001D2A38">
        <w:rPr>
          <w:rFonts w:ascii="Arial" w:hAnsi="Arial" w:cs="Arial"/>
          <w:color w:val="222222"/>
          <w:sz w:val="24"/>
          <w:szCs w:val="24"/>
          <w:shd w:val="clear" w:color="auto" w:fill="FFFFFF"/>
        </w:rPr>
        <w:t>, </w:t>
      </w:r>
      <w:r w:rsidRPr="001D2A38">
        <w:rPr>
          <w:rFonts w:ascii="Arial" w:hAnsi="Arial" w:cs="Arial"/>
          <w:i/>
          <w:iCs/>
          <w:color w:val="222222"/>
          <w:sz w:val="24"/>
          <w:szCs w:val="24"/>
          <w:shd w:val="clear" w:color="auto" w:fill="FFFFFF"/>
        </w:rPr>
        <w:t>15</w:t>
      </w:r>
      <w:r w:rsidRPr="001D2A38">
        <w:rPr>
          <w:rFonts w:ascii="Arial" w:hAnsi="Arial" w:cs="Arial"/>
          <w:color w:val="222222"/>
          <w:sz w:val="24"/>
          <w:szCs w:val="24"/>
          <w:shd w:val="clear" w:color="auto" w:fill="FFFFFF"/>
        </w:rPr>
        <w:t>(9), p.7529.</w:t>
      </w:r>
      <w:r w:rsidRPr="00692BB4">
        <w:t xml:space="preserve"> </w:t>
      </w:r>
      <w:hyperlink r:id="rId7" w:history="1">
        <w:r w:rsidRPr="00442E56">
          <w:rPr>
            <w:rStyle w:val="Hyperlink"/>
            <w:rFonts w:ascii="Arial" w:hAnsi="Arial" w:cs="Arial"/>
            <w:sz w:val="24"/>
            <w:szCs w:val="24"/>
            <w:shd w:val="clear" w:color="auto" w:fill="FFFFFF"/>
          </w:rPr>
          <w:t>https://www.mdpi.com/2071-1050/15/9/7529</w:t>
        </w:r>
      </w:hyperlink>
    </w:p>
    <w:p w14:paraId="38DDB824" w14:textId="77777777" w:rsidR="00A40E52" w:rsidRDefault="00A40E52" w:rsidP="00A40E52">
      <w:pPr>
        <w:spacing w:after="0" w:line="360" w:lineRule="auto"/>
        <w:ind w:left="720" w:hanging="720"/>
        <w:rPr>
          <w:rFonts w:ascii="Arial" w:hAnsi="Arial" w:cs="Arial"/>
          <w:color w:val="222222"/>
          <w:sz w:val="24"/>
          <w:szCs w:val="24"/>
          <w:shd w:val="clear" w:color="auto" w:fill="FFFFFF"/>
        </w:rPr>
      </w:pPr>
      <w:r w:rsidRPr="001D2A38">
        <w:rPr>
          <w:rFonts w:ascii="Arial" w:hAnsi="Arial" w:cs="Arial"/>
          <w:color w:val="222222"/>
          <w:sz w:val="24"/>
          <w:szCs w:val="24"/>
          <w:shd w:val="clear" w:color="auto" w:fill="FFFFFF"/>
        </w:rPr>
        <w:t>Borg, K., Lennox, A., Kaufman, S., Tull, F., Prime, R., Rogers, L. and Dunstan, E., 2022. Curbing plastic consumption: A review of single-use plastic behavior change interventions. </w:t>
      </w:r>
      <w:r w:rsidRPr="001D2A38">
        <w:rPr>
          <w:rFonts w:ascii="Arial" w:hAnsi="Arial" w:cs="Arial"/>
          <w:i/>
          <w:iCs/>
          <w:color w:val="222222"/>
          <w:sz w:val="24"/>
          <w:szCs w:val="24"/>
          <w:shd w:val="clear" w:color="auto" w:fill="FFFFFF"/>
        </w:rPr>
        <w:t>Journal of Cleaner Production</w:t>
      </w:r>
      <w:r w:rsidRPr="001D2A38">
        <w:rPr>
          <w:rFonts w:ascii="Arial" w:hAnsi="Arial" w:cs="Arial"/>
          <w:color w:val="222222"/>
          <w:sz w:val="24"/>
          <w:szCs w:val="24"/>
          <w:shd w:val="clear" w:color="auto" w:fill="FFFFFF"/>
        </w:rPr>
        <w:t>, </w:t>
      </w:r>
      <w:r w:rsidRPr="001D2A38">
        <w:rPr>
          <w:rFonts w:ascii="Arial" w:hAnsi="Arial" w:cs="Arial"/>
          <w:i/>
          <w:iCs/>
          <w:color w:val="222222"/>
          <w:sz w:val="24"/>
          <w:szCs w:val="24"/>
          <w:shd w:val="clear" w:color="auto" w:fill="FFFFFF"/>
        </w:rPr>
        <w:t>344</w:t>
      </w:r>
      <w:r w:rsidRPr="001D2A38">
        <w:rPr>
          <w:rFonts w:ascii="Arial" w:hAnsi="Arial" w:cs="Arial"/>
          <w:color w:val="222222"/>
          <w:sz w:val="24"/>
          <w:szCs w:val="24"/>
          <w:shd w:val="clear" w:color="auto" w:fill="FFFFFF"/>
        </w:rPr>
        <w:t>, p.131077.</w:t>
      </w:r>
      <w:r w:rsidRPr="00692BB4">
        <w:t xml:space="preserve"> </w:t>
      </w:r>
      <w:hyperlink r:id="rId8" w:history="1">
        <w:r w:rsidRPr="00442E56">
          <w:rPr>
            <w:rStyle w:val="Hyperlink"/>
            <w:rFonts w:ascii="Arial" w:hAnsi="Arial" w:cs="Arial"/>
            <w:sz w:val="24"/>
            <w:szCs w:val="24"/>
            <w:shd w:val="clear" w:color="auto" w:fill="FFFFFF"/>
          </w:rPr>
          <w:t>https://www.sciencedirect.com/science/article/pii/S0959652622007107</w:t>
        </w:r>
      </w:hyperlink>
    </w:p>
    <w:p w14:paraId="2CEE1725" w14:textId="77777777" w:rsidR="00A40E52" w:rsidRDefault="00A40E52" w:rsidP="00A40E52">
      <w:pPr>
        <w:spacing w:after="0" w:line="360" w:lineRule="auto"/>
        <w:ind w:left="720" w:hanging="720"/>
        <w:rPr>
          <w:rFonts w:ascii="Arial" w:hAnsi="Arial" w:cs="Arial"/>
          <w:color w:val="222222"/>
          <w:sz w:val="24"/>
          <w:szCs w:val="24"/>
          <w:shd w:val="clear" w:color="auto" w:fill="FFFFFF"/>
        </w:rPr>
      </w:pPr>
      <w:proofErr w:type="spellStart"/>
      <w:r w:rsidRPr="001D2A38">
        <w:rPr>
          <w:rFonts w:ascii="Arial" w:hAnsi="Arial" w:cs="Arial"/>
          <w:color w:val="222222"/>
          <w:sz w:val="24"/>
          <w:szCs w:val="24"/>
          <w:shd w:val="clear" w:color="auto" w:fill="FFFFFF"/>
        </w:rPr>
        <w:t>Bouhia</w:t>
      </w:r>
      <w:proofErr w:type="spellEnd"/>
      <w:r w:rsidRPr="001D2A38">
        <w:rPr>
          <w:rFonts w:ascii="Arial" w:hAnsi="Arial" w:cs="Arial"/>
          <w:color w:val="222222"/>
          <w:sz w:val="24"/>
          <w:szCs w:val="24"/>
          <w:shd w:val="clear" w:color="auto" w:fill="FFFFFF"/>
        </w:rPr>
        <w:t>, G., 2022. Applying the circular economy concept to a sustainable business model for large retailers: the case of IKEA. </w:t>
      </w:r>
      <w:r w:rsidRPr="001D2A38">
        <w:rPr>
          <w:rFonts w:ascii="Arial" w:hAnsi="Arial" w:cs="Arial"/>
          <w:i/>
          <w:iCs/>
          <w:color w:val="222222"/>
          <w:sz w:val="24"/>
          <w:szCs w:val="24"/>
          <w:shd w:val="clear" w:color="auto" w:fill="FFFFFF"/>
        </w:rPr>
        <w:t>International Journal of Competitiveness</w:t>
      </w:r>
      <w:r w:rsidRPr="001D2A38">
        <w:rPr>
          <w:rFonts w:ascii="Arial" w:hAnsi="Arial" w:cs="Arial"/>
          <w:color w:val="222222"/>
          <w:sz w:val="24"/>
          <w:szCs w:val="24"/>
          <w:shd w:val="clear" w:color="auto" w:fill="FFFFFF"/>
        </w:rPr>
        <w:t>, </w:t>
      </w:r>
      <w:r w:rsidRPr="001D2A38">
        <w:rPr>
          <w:rFonts w:ascii="Arial" w:hAnsi="Arial" w:cs="Arial"/>
          <w:i/>
          <w:iCs/>
          <w:color w:val="222222"/>
          <w:sz w:val="24"/>
          <w:szCs w:val="24"/>
          <w:shd w:val="clear" w:color="auto" w:fill="FFFFFF"/>
        </w:rPr>
        <w:t>2</w:t>
      </w:r>
      <w:r w:rsidRPr="001D2A38">
        <w:rPr>
          <w:rFonts w:ascii="Arial" w:hAnsi="Arial" w:cs="Arial"/>
          <w:color w:val="222222"/>
          <w:sz w:val="24"/>
          <w:szCs w:val="24"/>
          <w:shd w:val="clear" w:color="auto" w:fill="FFFFFF"/>
        </w:rPr>
        <w:t>(3), pp.212-233.</w:t>
      </w:r>
      <w:r w:rsidRPr="00692BB4">
        <w:t xml:space="preserve"> </w:t>
      </w:r>
      <w:hyperlink r:id="rId9" w:history="1">
        <w:r w:rsidRPr="00442E56">
          <w:rPr>
            <w:rStyle w:val="Hyperlink"/>
            <w:rFonts w:ascii="Arial" w:hAnsi="Arial" w:cs="Arial"/>
            <w:sz w:val="24"/>
            <w:szCs w:val="24"/>
            <w:shd w:val="clear" w:color="auto" w:fill="FFFFFF"/>
          </w:rPr>
          <w:t>https://www.inderscienceonline.com/doi/abs/10.1504/IJC.2022.127400</w:t>
        </w:r>
      </w:hyperlink>
    </w:p>
    <w:p w14:paraId="44FAA6A8" w14:textId="77777777" w:rsidR="00A40E52" w:rsidRDefault="00A40E52" w:rsidP="00A40E52">
      <w:pPr>
        <w:spacing w:after="0" w:line="360" w:lineRule="auto"/>
        <w:ind w:left="720" w:hanging="720"/>
        <w:rPr>
          <w:rFonts w:ascii="Arial" w:hAnsi="Arial" w:cs="Arial"/>
          <w:color w:val="222222"/>
          <w:sz w:val="24"/>
          <w:szCs w:val="24"/>
          <w:shd w:val="clear" w:color="auto" w:fill="FFFFFF"/>
        </w:rPr>
      </w:pPr>
      <w:r w:rsidRPr="001D2A38">
        <w:rPr>
          <w:rFonts w:ascii="Arial" w:hAnsi="Arial" w:cs="Arial"/>
          <w:color w:val="222222"/>
          <w:sz w:val="24"/>
          <w:szCs w:val="24"/>
          <w:shd w:val="clear" w:color="auto" w:fill="FFFFFF"/>
        </w:rPr>
        <w:t xml:space="preserve">Dey, P.K., Malesios, C., De, D., </w:t>
      </w:r>
      <w:proofErr w:type="spellStart"/>
      <w:r w:rsidRPr="001D2A38">
        <w:rPr>
          <w:rFonts w:ascii="Arial" w:hAnsi="Arial" w:cs="Arial"/>
          <w:color w:val="222222"/>
          <w:sz w:val="24"/>
          <w:szCs w:val="24"/>
          <w:shd w:val="clear" w:color="auto" w:fill="FFFFFF"/>
        </w:rPr>
        <w:t>Budhwar</w:t>
      </w:r>
      <w:proofErr w:type="spellEnd"/>
      <w:r w:rsidRPr="001D2A38">
        <w:rPr>
          <w:rFonts w:ascii="Arial" w:hAnsi="Arial" w:cs="Arial"/>
          <w:color w:val="222222"/>
          <w:sz w:val="24"/>
          <w:szCs w:val="24"/>
          <w:shd w:val="clear" w:color="auto" w:fill="FFFFFF"/>
        </w:rPr>
        <w:t xml:space="preserve">, P., Chowdhury, S. and </w:t>
      </w:r>
      <w:proofErr w:type="spellStart"/>
      <w:r w:rsidRPr="001D2A38">
        <w:rPr>
          <w:rFonts w:ascii="Arial" w:hAnsi="Arial" w:cs="Arial"/>
          <w:color w:val="222222"/>
          <w:sz w:val="24"/>
          <w:szCs w:val="24"/>
          <w:shd w:val="clear" w:color="auto" w:fill="FFFFFF"/>
        </w:rPr>
        <w:t>Cheffi</w:t>
      </w:r>
      <w:proofErr w:type="spellEnd"/>
      <w:r w:rsidRPr="001D2A38">
        <w:rPr>
          <w:rFonts w:ascii="Arial" w:hAnsi="Arial" w:cs="Arial"/>
          <w:color w:val="222222"/>
          <w:sz w:val="24"/>
          <w:szCs w:val="24"/>
          <w:shd w:val="clear" w:color="auto" w:fill="FFFFFF"/>
        </w:rPr>
        <w:t>, W., 2022. Circular economy to enhance sustainability of small and medium sized enterprises. In </w:t>
      </w:r>
      <w:r w:rsidRPr="001D2A38">
        <w:rPr>
          <w:rFonts w:ascii="Arial" w:hAnsi="Arial" w:cs="Arial"/>
          <w:i/>
          <w:iCs/>
          <w:color w:val="222222"/>
          <w:sz w:val="24"/>
          <w:szCs w:val="24"/>
          <w:shd w:val="clear" w:color="auto" w:fill="FFFFFF"/>
        </w:rPr>
        <w:t>Supply chain sustainability in small and medium sized enterprises</w:t>
      </w:r>
      <w:r w:rsidRPr="001D2A38">
        <w:rPr>
          <w:rFonts w:ascii="Arial" w:hAnsi="Arial" w:cs="Arial"/>
          <w:color w:val="222222"/>
          <w:sz w:val="24"/>
          <w:szCs w:val="24"/>
          <w:shd w:val="clear" w:color="auto" w:fill="FFFFFF"/>
        </w:rPr>
        <w:t> (pp. 10-45). Routledge.</w:t>
      </w:r>
      <w:r w:rsidRPr="00692BB4">
        <w:t xml:space="preserve"> </w:t>
      </w:r>
      <w:hyperlink r:id="rId10" w:history="1">
        <w:r w:rsidRPr="00442E56">
          <w:rPr>
            <w:rStyle w:val="Hyperlink"/>
            <w:rFonts w:ascii="Arial" w:hAnsi="Arial" w:cs="Arial"/>
            <w:sz w:val="24"/>
            <w:szCs w:val="24"/>
            <w:shd w:val="clear" w:color="auto" w:fill="FFFFFF"/>
          </w:rPr>
          <w:t>https://www.taylorfrancis.com/chapters/edit/10.4324/9781003018551-2/circular-economy-enhance-sustainability-small-medium-sized-enterprises-prasanta-kumar-dey-chrisovaladis-malesios-debashree-de-pawan-budhwar-soumyadeb-chowdhury-walid-cheffi</w:t>
        </w:r>
      </w:hyperlink>
    </w:p>
    <w:p w14:paraId="5ED8480E" w14:textId="77777777" w:rsidR="00A40E52" w:rsidRDefault="00A40E52" w:rsidP="00A40E52">
      <w:pPr>
        <w:spacing w:after="0" w:line="360" w:lineRule="auto"/>
        <w:ind w:left="720" w:hanging="720"/>
        <w:rPr>
          <w:rFonts w:ascii="Arial" w:hAnsi="Arial" w:cs="Arial"/>
          <w:color w:val="222222"/>
          <w:sz w:val="24"/>
          <w:szCs w:val="24"/>
          <w:shd w:val="clear" w:color="auto" w:fill="FFFFFF"/>
        </w:rPr>
      </w:pPr>
      <w:r w:rsidRPr="001D2A38">
        <w:rPr>
          <w:rFonts w:ascii="Arial" w:hAnsi="Arial" w:cs="Arial"/>
          <w:color w:val="222222"/>
          <w:sz w:val="24"/>
          <w:szCs w:val="24"/>
          <w:shd w:val="clear" w:color="auto" w:fill="FFFFFF"/>
        </w:rPr>
        <w:t>Fortunati, S., Martiniello, L. and Morea, D., 2020. The strategic role of the corporate social responsibility and circular economy in the cosmetic industry. </w:t>
      </w:r>
      <w:r w:rsidRPr="001D2A38">
        <w:rPr>
          <w:rFonts w:ascii="Arial" w:hAnsi="Arial" w:cs="Arial"/>
          <w:i/>
          <w:iCs/>
          <w:color w:val="222222"/>
          <w:sz w:val="24"/>
          <w:szCs w:val="24"/>
          <w:shd w:val="clear" w:color="auto" w:fill="FFFFFF"/>
        </w:rPr>
        <w:t>Sustainability</w:t>
      </w:r>
      <w:r w:rsidRPr="001D2A38">
        <w:rPr>
          <w:rFonts w:ascii="Arial" w:hAnsi="Arial" w:cs="Arial"/>
          <w:color w:val="222222"/>
          <w:sz w:val="24"/>
          <w:szCs w:val="24"/>
          <w:shd w:val="clear" w:color="auto" w:fill="FFFFFF"/>
        </w:rPr>
        <w:t>, </w:t>
      </w:r>
      <w:r w:rsidRPr="001D2A38">
        <w:rPr>
          <w:rFonts w:ascii="Arial" w:hAnsi="Arial" w:cs="Arial"/>
          <w:i/>
          <w:iCs/>
          <w:color w:val="222222"/>
          <w:sz w:val="24"/>
          <w:szCs w:val="24"/>
          <w:shd w:val="clear" w:color="auto" w:fill="FFFFFF"/>
        </w:rPr>
        <w:t>12</w:t>
      </w:r>
      <w:r w:rsidRPr="001D2A38">
        <w:rPr>
          <w:rFonts w:ascii="Arial" w:hAnsi="Arial" w:cs="Arial"/>
          <w:color w:val="222222"/>
          <w:sz w:val="24"/>
          <w:szCs w:val="24"/>
          <w:shd w:val="clear" w:color="auto" w:fill="FFFFFF"/>
        </w:rPr>
        <w:t>(12), p.5120.</w:t>
      </w:r>
      <w:r w:rsidRPr="00692BB4">
        <w:t xml:space="preserve"> </w:t>
      </w:r>
      <w:hyperlink r:id="rId11" w:history="1">
        <w:r w:rsidRPr="00442E56">
          <w:rPr>
            <w:rStyle w:val="Hyperlink"/>
            <w:rFonts w:ascii="Arial" w:hAnsi="Arial" w:cs="Arial"/>
            <w:sz w:val="24"/>
            <w:szCs w:val="24"/>
            <w:shd w:val="clear" w:color="auto" w:fill="FFFFFF"/>
          </w:rPr>
          <w:t>https://www.mdpi.com/2071-1050/12/12/5120</w:t>
        </w:r>
      </w:hyperlink>
    </w:p>
    <w:p w14:paraId="2A5136CD" w14:textId="77777777" w:rsidR="00A40E52" w:rsidRDefault="00A40E52" w:rsidP="00A40E52">
      <w:pPr>
        <w:spacing w:after="0" w:line="360" w:lineRule="auto"/>
        <w:ind w:left="720" w:hanging="720"/>
        <w:rPr>
          <w:rFonts w:ascii="Arial" w:hAnsi="Arial" w:cs="Arial"/>
          <w:color w:val="222222"/>
          <w:sz w:val="24"/>
          <w:szCs w:val="24"/>
          <w:shd w:val="clear" w:color="auto" w:fill="FFFFFF"/>
        </w:rPr>
      </w:pPr>
      <w:r w:rsidRPr="001D2A38">
        <w:rPr>
          <w:rFonts w:ascii="Arial" w:hAnsi="Arial" w:cs="Arial"/>
          <w:color w:val="222222"/>
          <w:sz w:val="24"/>
          <w:szCs w:val="24"/>
          <w:shd w:val="clear" w:color="auto" w:fill="FFFFFF"/>
        </w:rPr>
        <w:t>Ge, X., 2020. </w:t>
      </w:r>
      <w:r w:rsidRPr="001D2A38">
        <w:rPr>
          <w:rFonts w:ascii="Arial" w:hAnsi="Arial" w:cs="Arial"/>
          <w:i/>
          <w:iCs/>
          <w:color w:val="222222"/>
          <w:sz w:val="24"/>
          <w:szCs w:val="24"/>
          <w:shd w:val="clear" w:color="auto" w:fill="FFFFFF"/>
        </w:rPr>
        <w:t>Exploring factors of corporate social responsibility in luxury hotels: The case of Marriott Hotel</w:t>
      </w:r>
      <w:r w:rsidRPr="001D2A38">
        <w:rPr>
          <w:rFonts w:ascii="Arial" w:hAnsi="Arial" w:cs="Arial"/>
          <w:color w:val="222222"/>
          <w:sz w:val="24"/>
          <w:szCs w:val="24"/>
          <w:shd w:val="clear" w:color="auto" w:fill="FFFFFF"/>
        </w:rPr>
        <w:t> (Doctoral dissertation).</w:t>
      </w:r>
      <w:r w:rsidRPr="00692BB4">
        <w:t xml:space="preserve"> </w:t>
      </w:r>
      <w:hyperlink r:id="rId12" w:history="1">
        <w:r w:rsidRPr="00442E56">
          <w:rPr>
            <w:rStyle w:val="Hyperlink"/>
            <w:rFonts w:ascii="Arial" w:hAnsi="Arial" w:cs="Arial"/>
            <w:sz w:val="24"/>
            <w:szCs w:val="24"/>
            <w:shd w:val="clear" w:color="auto" w:fill="FFFFFF"/>
          </w:rPr>
          <w:t>https://wkuwire.org/handle/20.500.12540/403</w:t>
        </w:r>
      </w:hyperlink>
    </w:p>
    <w:p w14:paraId="08B017AA" w14:textId="77777777" w:rsidR="00A40E52" w:rsidRDefault="00A40E52" w:rsidP="00A40E52">
      <w:pPr>
        <w:spacing w:after="0" w:line="360" w:lineRule="auto"/>
        <w:ind w:left="720" w:hanging="720"/>
        <w:rPr>
          <w:rFonts w:ascii="Arial" w:hAnsi="Arial" w:cs="Arial"/>
          <w:color w:val="222222"/>
          <w:sz w:val="24"/>
          <w:szCs w:val="24"/>
          <w:shd w:val="clear" w:color="auto" w:fill="FFFFFF"/>
        </w:rPr>
      </w:pPr>
      <w:r w:rsidRPr="001D2A38">
        <w:rPr>
          <w:rFonts w:ascii="Arial" w:hAnsi="Arial" w:cs="Arial"/>
          <w:color w:val="222222"/>
          <w:sz w:val="24"/>
          <w:szCs w:val="24"/>
          <w:shd w:val="clear" w:color="auto" w:fill="FFFFFF"/>
        </w:rPr>
        <w:lastRenderedPageBreak/>
        <w:t>Hu, Y. and Zeng, Y., 2024. Achieving Sustainable Operations: Challenges, Countermeasures, and the Case of Unilever. In </w:t>
      </w:r>
      <w:r w:rsidRPr="001D2A38">
        <w:rPr>
          <w:rFonts w:ascii="Arial" w:hAnsi="Arial" w:cs="Arial"/>
          <w:i/>
          <w:iCs/>
          <w:color w:val="222222"/>
          <w:sz w:val="24"/>
          <w:szCs w:val="24"/>
          <w:shd w:val="clear" w:color="auto" w:fill="FFFFFF"/>
        </w:rPr>
        <w:t>SHS Web of Conferences</w:t>
      </w:r>
      <w:r w:rsidRPr="001D2A38">
        <w:rPr>
          <w:rFonts w:ascii="Arial" w:hAnsi="Arial" w:cs="Arial"/>
          <w:color w:val="222222"/>
          <w:sz w:val="24"/>
          <w:szCs w:val="24"/>
          <w:shd w:val="clear" w:color="auto" w:fill="FFFFFF"/>
        </w:rPr>
        <w:t> (Vol. 181, p. 01036). EDP Sciences.</w:t>
      </w:r>
      <w:r w:rsidRPr="00692BB4">
        <w:t xml:space="preserve"> </w:t>
      </w:r>
      <w:hyperlink r:id="rId13" w:history="1">
        <w:r w:rsidRPr="00442E56">
          <w:rPr>
            <w:rStyle w:val="Hyperlink"/>
            <w:rFonts w:ascii="Arial" w:hAnsi="Arial" w:cs="Arial"/>
            <w:sz w:val="24"/>
            <w:szCs w:val="24"/>
            <w:shd w:val="clear" w:color="auto" w:fill="FFFFFF"/>
          </w:rPr>
          <w:t>https://www.shs-conferences.org/articles/shsconf/abs/2024/01/shsconf_icdeba2023_01036/shsconf_icdeba2023_01036.html</w:t>
        </w:r>
      </w:hyperlink>
    </w:p>
    <w:p w14:paraId="66888948" w14:textId="77777777" w:rsidR="00A40E52" w:rsidRDefault="00A40E52" w:rsidP="00A40E52">
      <w:pPr>
        <w:spacing w:after="0" w:line="360" w:lineRule="auto"/>
        <w:ind w:left="720" w:hanging="720"/>
        <w:rPr>
          <w:rFonts w:ascii="Arial" w:hAnsi="Arial" w:cs="Arial"/>
          <w:color w:val="222222"/>
          <w:sz w:val="24"/>
          <w:szCs w:val="24"/>
          <w:shd w:val="clear" w:color="auto" w:fill="FFFFFF"/>
        </w:rPr>
      </w:pPr>
      <w:r w:rsidRPr="001D2A38">
        <w:rPr>
          <w:rFonts w:ascii="Arial" w:hAnsi="Arial" w:cs="Arial"/>
          <w:color w:val="222222"/>
          <w:sz w:val="24"/>
          <w:szCs w:val="24"/>
          <w:shd w:val="clear" w:color="auto" w:fill="FFFFFF"/>
        </w:rPr>
        <w:t>Ishaq, A., 2022. Creating A Zero Waste Roofing Industry.</w:t>
      </w:r>
      <w:r w:rsidRPr="00692BB4">
        <w:t xml:space="preserve"> </w:t>
      </w:r>
      <w:hyperlink r:id="rId14" w:history="1">
        <w:r w:rsidRPr="00442E56">
          <w:rPr>
            <w:rStyle w:val="Hyperlink"/>
            <w:rFonts w:ascii="Arial" w:hAnsi="Arial" w:cs="Arial"/>
            <w:sz w:val="24"/>
            <w:szCs w:val="24"/>
            <w:shd w:val="clear" w:color="auto" w:fill="FFFFFF"/>
          </w:rPr>
          <w:t>https://dspace.sunyconnect.suny.edu/bitstream/handle/1951/83122/ETM%20670-%20Final%20Master's%20Project%20Report-%20Ali%20Ishaq.pdf?sequence=1</w:t>
        </w:r>
      </w:hyperlink>
    </w:p>
    <w:p w14:paraId="1F0775A9" w14:textId="77777777" w:rsidR="00A40E52" w:rsidRDefault="00A40E52" w:rsidP="00A40E52">
      <w:pPr>
        <w:spacing w:after="0" w:line="360" w:lineRule="auto"/>
        <w:ind w:left="720" w:hanging="720"/>
        <w:rPr>
          <w:rFonts w:ascii="Arial" w:hAnsi="Arial" w:cs="Arial"/>
          <w:color w:val="222222"/>
          <w:sz w:val="24"/>
          <w:szCs w:val="24"/>
          <w:shd w:val="clear" w:color="auto" w:fill="FFFFFF"/>
        </w:rPr>
      </w:pPr>
      <w:r w:rsidRPr="001D2A38">
        <w:rPr>
          <w:rFonts w:ascii="Arial" w:hAnsi="Arial" w:cs="Arial"/>
          <w:color w:val="222222"/>
          <w:sz w:val="24"/>
          <w:szCs w:val="24"/>
          <w:shd w:val="clear" w:color="auto" w:fill="FFFFFF"/>
        </w:rPr>
        <w:t>Jones, P. and Comfort, D., 2020. A Circular Case: The Circular Economy and the Service Industry. </w:t>
      </w:r>
      <w:r w:rsidRPr="001D2A38">
        <w:rPr>
          <w:rFonts w:ascii="Arial" w:hAnsi="Arial" w:cs="Arial"/>
          <w:i/>
          <w:iCs/>
          <w:color w:val="222222"/>
          <w:sz w:val="24"/>
          <w:szCs w:val="24"/>
          <w:shd w:val="clear" w:color="auto" w:fill="FFFFFF"/>
        </w:rPr>
        <w:t>International Journal of Management Cases</w:t>
      </w:r>
      <w:r w:rsidRPr="001D2A38">
        <w:rPr>
          <w:rFonts w:ascii="Arial" w:hAnsi="Arial" w:cs="Arial"/>
          <w:color w:val="222222"/>
          <w:sz w:val="24"/>
          <w:szCs w:val="24"/>
          <w:shd w:val="clear" w:color="auto" w:fill="FFFFFF"/>
        </w:rPr>
        <w:t>, </w:t>
      </w:r>
      <w:r w:rsidRPr="001D2A38">
        <w:rPr>
          <w:rFonts w:ascii="Arial" w:hAnsi="Arial" w:cs="Arial"/>
          <w:i/>
          <w:iCs/>
          <w:color w:val="222222"/>
          <w:sz w:val="24"/>
          <w:szCs w:val="24"/>
          <w:shd w:val="clear" w:color="auto" w:fill="FFFFFF"/>
        </w:rPr>
        <w:t>22</w:t>
      </w:r>
      <w:r w:rsidRPr="001D2A38">
        <w:rPr>
          <w:rFonts w:ascii="Arial" w:hAnsi="Arial" w:cs="Arial"/>
          <w:color w:val="222222"/>
          <w:sz w:val="24"/>
          <w:szCs w:val="24"/>
          <w:shd w:val="clear" w:color="auto" w:fill="FFFFFF"/>
        </w:rPr>
        <w:t>(3), pp.13-23.</w:t>
      </w:r>
      <w:r w:rsidRPr="00692BB4">
        <w:t xml:space="preserve"> </w:t>
      </w:r>
      <w:hyperlink r:id="rId15" w:history="1">
        <w:r w:rsidRPr="00442E56">
          <w:rPr>
            <w:rStyle w:val="Hyperlink"/>
            <w:rFonts w:ascii="Arial" w:hAnsi="Arial" w:cs="Arial"/>
            <w:sz w:val="24"/>
            <w:szCs w:val="24"/>
            <w:shd w:val="clear" w:color="auto" w:fill="FFFFFF"/>
          </w:rPr>
          <w:t>https://eprints.glos.ac.uk/8614/</w:t>
        </w:r>
      </w:hyperlink>
    </w:p>
    <w:p w14:paraId="7C399A73" w14:textId="77777777" w:rsidR="00A40E52" w:rsidRDefault="00A40E52" w:rsidP="00A40E52">
      <w:pPr>
        <w:spacing w:after="0" w:line="360" w:lineRule="auto"/>
        <w:ind w:left="720" w:hanging="720"/>
        <w:rPr>
          <w:rFonts w:ascii="Arial" w:hAnsi="Arial" w:cs="Arial"/>
          <w:color w:val="222222"/>
          <w:sz w:val="24"/>
          <w:szCs w:val="24"/>
          <w:shd w:val="clear" w:color="auto" w:fill="FFFFFF"/>
        </w:rPr>
      </w:pPr>
      <w:r w:rsidRPr="001D2A38">
        <w:rPr>
          <w:rFonts w:ascii="Arial" w:hAnsi="Arial" w:cs="Arial"/>
          <w:color w:val="222222"/>
          <w:sz w:val="24"/>
          <w:szCs w:val="24"/>
          <w:shd w:val="clear" w:color="auto" w:fill="FFFFFF"/>
        </w:rPr>
        <w:t xml:space="preserve">Landau, T., 2020. Action and progress on sustainability challenges: case examples from Marriott, Booking and </w:t>
      </w:r>
      <w:proofErr w:type="spellStart"/>
      <w:r w:rsidRPr="001D2A38">
        <w:rPr>
          <w:rFonts w:ascii="Arial" w:hAnsi="Arial" w:cs="Arial"/>
          <w:color w:val="222222"/>
          <w:sz w:val="24"/>
          <w:szCs w:val="24"/>
          <w:shd w:val="clear" w:color="auto" w:fill="FFFFFF"/>
        </w:rPr>
        <w:t>Soneva</w:t>
      </w:r>
      <w:proofErr w:type="spellEnd"/>
      <w:r w:rsidRPr="001D2A38">
        <w:rPr>
          <w:rFonts w:ascii="Arial" w:hAnsi="Arial" w:cs="Arial"/>
          <w:color w:val="222222"/>
          <w:sz w:val="24"/>
          <w:szCs w:val="24"/>
          <w:shd w:val="clear" w:color="auto" w:fill="FFFFFF"/>
        </w:rPr>
        <w:t>. </w:t>
      </w:r>
      <w:r w:rsidRPr="001D2A38">
        <w:rPr>
          <w:rFonts w:ascii="Arial" w:hAnsi="Arial" w:cs="Arial"/>
          <w:i/>
          <w:iCs/>
          <w:color w:val="222222"/>
          <w:sz w:val="24"/>
          <w:szCs w:val="24"/>
          <w:shd w:val="clear" w:color="auto" w:fill="FFFFFF"/>
        </w:rPr>
        <w:t>Worldwide Hospitality and Tourism Themes</w:t>
      </w:r>
      <w:r w:rsidRPr="001D2A38">
        <w:rPr>
          <w:rFonts w:ascii="Arial" w:hAnsi="Arial" w:cs="Arial"/>
          <w:color w:val="222222"/>
          <w:sz w:val="24"/>
          <w:szCs w:val="24"/>
          <w:shd w:val="clear" w:color="auto" w:fill="FFFFFF"/>
        </w:rPr>
        <w:t>, </w:t>
      </w:r>
      <w:r w:rsidRPr="001D2A38">
        <w:rPr>
          <w:rFonts w:ascii="Arial" w:hAnsi="Arial" w:cs="Arial"/>
          <w:i/>
          <w:iCs/>
          <w:color w:val="222222"/>
          <w:sz w:val="24"/>
          <w:szCs w:val="24"/>
          <w:shd w:val="clear" w:color="auto" w:fill="FFFFFF"/>
        </w:rPr>
        <w:t>12</w:t>
      </w:r>
      <w:r w:rsidRPr="001D2A38">
        <w:rPr>
          <w:rFonts w:ascii="Arial" w:hAnsi="Arial" w:cs="Arial"/>
          <w:color w:val="222222"/>
          <w:sz w:val="24"/>
          <w:szCs w:val="24"/>
          <w:shd w:val="clear" w:color="auto" w:fill="FFFFFF"/>
        </w:rPr>
        <w:t>(5), pp.563-573.</w:t>
      </w:r>
      <w:r w:rsidRPr="00692BB4">
        <w:t xml:space="preserve"> </w:t>
      </w:r>
      <w:hyperlink r:id="rId16" w:history="1">
        <w:r w:rsidRPr="00442E56">
          <w:rPr>
            <w:rStyle w:val="Hyperlink"/>
            <w:rFonts w:ascii="Arial" w:hAnsi="Arial" w:cs="Arial"/>
            <w:sz w:val="24"/>
            <w:szCs w:val="24"/>
            <w:shd w:val="clear" w:color="auto" w:fill="FFFFFF"/>
          </w:rPr>
          <w:t>https://www.emerald.com/insight/content/doi/10.1108/WHATT-06-2020-0042/full/html</w:t>
        </w:r>
      </w:hyperlink>
    </w:p>
    <w:p w14:paraId="48E7279C" w14:textId="77777777" w:rsidR="00A40E52" w:rsidRDefault="00A40E52" w:rsidP="00A40E52">
      <w:pPr>
        <w:spacing w:after="0" w:line="360" w:lineRule="auto"/>
        <w:ind w:left="720" w:hanging="720"/>
        <w:rPr>
          <w:rFonts w:ascii="Arial" w:hAnsi="Arial" w:cs="Arial"/>
          <w:color w:val="222222"/>
          <w:sz w:val="24"/>
          <w:szCs w:val="24"/>
          <w:shd w:val="clear" w:color="auto" w:fill="FFFFFF"/>
        </w:rPr>
      </w:pPr>
      <w:r w:rsidRPr="001D2A38">
        <w:rPr>
          <w:rFonts w:ascii="Arial" w:hAnsi="Arial" w:cs="Arial"/>
          <w:color w:val="222222"/>
          <w:sz w:val="24"/>
          <w:szCs w:val="24"/>
          <w:shd w:val="clear" w:color="auto" w:fill="FFFFFF"/>
        </w:rPr>
        <w:t>Mancini, L., Eslava, N.A., Traverso, M. and Mathieux, F., 2020. Responsible and sustainable sourcing of battery raw materials. </w:t>
      </w:r>
      <w:r w:rsidRPr="001D2A38">
        <w:rPr>
          <w:rFonts w:ascii="Arial" w:hAnsi="Arial" w:cs="Arial"/>
          <w:i/>
          <w:iCs/>
          <w:color w:val="222222"/>
          <w:sz w:val="24"/>
          <w:szCs w:val="24"/>
          <w:shd w:val="clear" w:color="auto" w:fill="FFFFFF"/>
        </w:rPr>
        <w:t>Publications Office of the European Union: Luxembourg</w:t>
      </w:r>
      <w:r w:rsidRPr="001D2A38">
        <w:rPr>
          <w:rFonts w:ascii="Arial" w:hAnsi="Arial" w:cs="Arial"/>
          <w:color w:val="222222"/>
          <w:sz w:val="24"/>
          <w:szCs w:val="24"/>
          <w:shd w:val="clear" w:color="auto" w:fill="FFFFFF"/>
        </w:rPr>
        <w:t>.</w:t>
      </w:r>
      <w:r w:rsidRPr="00692BB4">
        <w:t xml:space="preserve"> </w:t>
      </w:r>
      <w:hyperlink r:id="rId17" w:history="1">
        <w:r w:rsidRPr="00442E56">
          <w:rPr>
            <w:rStyle w:val="Hyperlink"/>
            <w:rFonts w:ascii="Arial" w:hAnsi="Arial" w:cs="Arial"/>
            <w:sz w:val="24"/>
            <w:szCs w:val="24"/>
            <w:shd w:val="clear" w:color="auto" w:fill="FFFFFF"/>
          </w:rPr>
          <w:t>https://publications.jrc.ec.europa.eu/repository/bitstream/JRC120422/surebatt_report_final_26_06_2020_(1).pdf</w:t>
        </w:r>
      </w:hyperlink>
    </w:p>
    <w:p w14:paraId="66E772FF" w14:textId="77777777" w:rsidR="00A40E52" w:rsidRDefault="00A40E52" w:rsidP="00A40E52">
      <w:pPr>
        <w:spacing w:after="0" w:line="360" w:lineRule="auto"/>
        <w:ind w:left="720" w:hanging="720"/>
        <w:rPr>
          <w:rFonts w:ascii="Arial" w:hAnsi="Arial" w:cs="Arial"/>
          <w:color w:val="222222"/>
          <w:sz w:val="24"/>
          <w:szCs w:val="24"/>
          <w:shd w:val="clear" w:color="auto" w:fill="FFFFFF"/>
        </w:rPr>
      </w:pPr>
      <w:r w:rsidRPr="001D2A38">
        <w:rPr>
          <w:rFonts w:ascii="Arial" w:hAnsi="Arial" w:cs="Arial"/>
          <w:color w:val="222222"/>
          <w:sz w:val="24"/>
          <w:szCs w:val="24"/>
          <w:shd w:val="clear" w:color="auto" w:fill="FFFFFF"/>
        </w:rPr>
        <w:t>Morea, D., Fortunati, S. and Martiniello, L., 2021. Circular economy and corporate social responsibility: Towards an integrated strategic approach in the multinational cosmetics industry. </w:t>
      </w:r>
      <w:r w:rsidRPr="001D2A38">
        <w:rPr>
          <w:rFonts w:ascii="Arial" w:hAnsi="Arial" w:cs="Arial"/>
          <w:i/>
          <w:iCs/>
          <w:color w:val="222222"/>
          <w:sz w:val="24"/>
          <w:szCs w:val="24"/>
          <w:shd w:val="clear" w:color="auto" w:fill="FFFFFF"/>
        </w:rPr>
        <w:t>Journal of Cleaner Production</w:t>
      </w:r>
      <w:r w:rsidRPr="001D2A38">
        <w:rPr>
          <w:rFonts w:ascii="Arial" w:hAnsi="Arial" w:cs="Arial"/>
          <w:color w:val="222222"/>
          <w:sz w:val="24"/>
          <w:szCs w:val="24"/>
          <w:shd w:val="clear" w:color="auto" w:fill="FFFFFF"/>
        </w:rPr>
        <w:t>, </w:t>
      </w:r>
      <w:r w:rsidRPr="001D2A38">
        <w:rPr>
          <w:rFonts w:ascii="Arial" w:hAnsi="Arial" w:cs="Arial"/>
          <w:i/>
          <w:iCs/>
          <w:color w:val="222222"/>
          <w:sz w:val="24"/>
          <w:szCs w:val="24"/>
          <w:shd w:val="clear" w:color="auto" w:fill="FFFFFF"/>
        </w:rPr>
        <w:t>315</w:t>
      </w:r>
      <w:r w:rsidRPr="001D2A38">
        <w:rPr>
          <w:rFonts w:ascii="Arial" w:hAnsi="Arial" w:cs="Arial"/>
          <w:color w:val="222222"/>
          <w:sz w:val="24"/>
          <w:szCs w:val="24"/>
          <w:shd w:val="clear" w:color="auto" w:fill="FFFFFF"/>
        </w:rPr>
        <w:t>, p.128232.</w:t>
      </w:r>
      <w:r w:rsidRPr="00692BB4">
        <w:t xml:space="preserve"> </w:t>
      </w:r>
      <w:hyperlink r:id="rId18" w:history="1">
        <w:r w:rsidRPr="00442E56">
          <w:rPr>
            <w:rStyle w:val="Hyperlink"/>
            <w:rFonts w:ascii="Arial" w:hAnsi="Arial" w:cs="Arial"/>
            <w:sz w:val="24"/>
            <w:szCs w:val="24"/>
            <w:shd w:val="clear" w:color="auto" w:fill="FFFFFF"/>
          </w:rPr>
          <w:t>https://www.sciencedirect.com/science/article/pii/S0959652621024495</w:t>
        </w:r>
      </w:hyperlink>
    </w:p>
    <w:p w14:paraId="58338CFB" w14:textId="77777777" w:rsidR="00A40E52" w:rsidRDefault="00A40E52" w:rsidP="00A40E52">
      <w:pPr>
        <w:spacing w:after="0" w:line="360" w:lineRule="auto"/>
        <w:ind w:left="720" w:hanging="720"/>
        <w:rPr>
          <w:rFonts w:ascii="Arial" w:hAnsi="Arial" w:cs="Arial"/>
          <w:color w:val="222222"/>
          <w:sz w:val="24"/>
          <w:szCs w:val="24"/>
          <w:shd w:val="clear" w:color="auto" w:fill="FFFFFF"/>
        </w:rPr>
      </w:pPr>
      <w:r w:rsidRPr="001D2A38">
        <w:rPr>
          <w:rFonts w:ascii="Arial" w:hAnsi="Arial" w:cs="Arial"/>
          <w:color w:val="222222"/>
          <w:sz w:val="24"/>
          <w:szCs w:val="24"/>
          <w:shd w:val="clear" w:color="auto" w:fill="FFFFFF"/>
        </w:rPr>
        <w:t>Moret, N.J., 2020. The sustainable business model of a hotel–the case of the W Barcelona.</w:t>
      </w:r>
      <w:r w:rsidRPr="00692BB4">
        <w:t xml:space="preserve"> </w:t>
      </w:r>
      <w:hyperlink r:id="rId19" w:history="1">
        <w:r w:rsidRPr="00442E56">
          <w:rPr>
            <w:rStyle w:val="Hyperlink"/>
            <w:rFonts w:ascii="Arial" w:hAnsi="Arial" w:cs="Arial"/>
            <w:sz w:val="24"/>
            <w:szCs w:val="24"/>
            <w:shd w:val="clear" w:color="auto" w:fill="FFFFFF"/>
          </w:rPr>
          <w:t>https://www.recercat.cat/handle/2072/373877</w:t>
        </w:r>
      </w:hyperlink>
    </w:p>
    <w:p w14:paraId="4CB46C0C" w14:textId="77777777" w:rsidR="00A40E52" w:rsidRDefault="00A40E52" w:rsidP="00A40E52">
      <w:pPr>
        <w:spacing w:after="0" w:line="360" w:lineRule="auto"/>
        <w:ind w:left="720" w:hanging="720"/>
        <w:rPr>
          <w:rFonts w:ascii="Arial" w:hAnsi="Arial" w:cs="Arial"/>
          <w:color w:val="222222"/>
          <w:sz w:val="24"/>
          <w:szCs w:val="24"/>
          <w:shd w:val="clear" w:color="auto" w:fill="FFFFFF"/>
        </w:rPr>
      </w:pPr>
      <w:proofErr w:type="spellStart"/>
      <w:r w:rsidRPr="001D2A38">
        <w:rPr>
          <w:rFonts w:ascii="Arial" w:hAnsi="Arial" w:cs="Arial"/>
          <w:color w:val="222222"/>
          <w:sz w:val="24"/>
          <w:szCs w:val="24"/>
          <w:shd w:val="clear" w:color="auto" w:fill="FFFFFF"/>
        </w:rPr>
        <w:t>Morseletto</w:t>
      </w:r>
      <w:proofErr w:type="spellEnd"/>
      <w:r w:rsidRPr="001D2A38">
        <w:rPr>
          <w:rFonts w:ascii="Arial" w:hAnsi="Arial" w:cs="Arial"/>
          <w:color w:val="222222"/>
          <w:sz w:val="24"/>
          <w:szCs w:val="24"/>
          <w:shd w:val="clear" w:color="auto" w:fill="FFFFFF"/>
        </w:rPr>
        <w:t>, P., 2020. Targets for a circular economy. </w:t>
      </w:r>
      <w:r w:rsidRPr="001D2A38">
        <w:rPr>
          <w:rFonts w:ascii="Arial" w:hAnsi="Arial" w:cs="Arial"/>
          <w:i/>
          <w:iCs/>
          <w:color w:val="222222"/>
          <w:sz w:val="24"/>
          <w:szCs w:val="24"/>
          <w:shd w:val="clear" w:color="auto" w:fill="FFFFFF"/>
        </w:rPr>
        <w:t>Resources, Conservation and Recycling</w:t>
      </w:r>
      <w:r w:rsidRPr="001D2A38">
        <w:rPr>
          <w:rFonts w:ascii="Arial" w:hAnsi="Arial" w:cs="Arial"/>
          <w:color w:val="222222"/>
          <w:sz w:val="24"/>
          <w:szCs w:val="24"/>
          <w:shd w:val="clear" w:color="auto" w:fill="FFFFFF"/>
        </w:rPr>
        <w:t>, </w:t>
      </w:r>
      <w:r w:rsidRPr="001D2A38">
        <w:rPr>
          <w:rFonts w:ascii="Arial" w:hAnsi="Arial" w:cs="Arial"/>
          <w:i/>
          <w:iCs/>
          <w:color w:val="222222"/>
          <w:sz w:val="24"/>
          <w:szCs w:val="24"/>
          <w:shd w:val="clear" w:color="auto" w:fill="FFFFFF"/>
        </w:rPr>
        <w:t>153</w:t>
      </w:r>
      <w:r w:rsidRPr="001D2A38">
        <w:rPr>
          <w:rFonts w:ascii="Arial" w:hAnsi="Arial" w:cs="Arial"/>
          <w:color w:val="222222"/>
          <w:sz w:val="24"/>
          <w:szCs w:val="24"/>
          <w:shd w:val="clear" w:color="auto" w:fill="FFFFFF"/>
        </w:rPr>
        <w:t>, p.104553.</w:t>
      </w:r>
      <w:r w:rsidRPr="00692BB4">
        <w:t xml:space="preserve"> </w:t>
      </w:r>
      <w:hyperlink r:id="rId20" w:history="1">
        <w:r w:rsidRPr="00442E56">
          <w:rPr>
            <w:rStyle w:val="Hyperlink"/>
            <w:rFonts w:ascii="Arial" w:hAnsi="Arial" w:cs="Arial"/>
            <w:sz w:val="24"/>
            <w:szCs w:val="24"/>
            <w:shd w:val="clear" w:color="auto" w:fill="FFFFFF"/>
          </w:rPr>
          <w:t>https://www.sciencedirect.com/science/article/pii/S0921344919304598</w:t>
        </w:r>
      </w:hyperlink>
    </w:p>
    <w:p w14:paraId="40A1F3A8" w14:textId="77777777" w:rsidR="00A40E52" w:rsidRDefault="00A40E52" w:rsidP="00A40E52">
      <w:pPr>
        <w:spacing w:after="0" w:line="360" w:lineRule="auto"/>
        <w:ind w:left="720" w:hanging="720"/>
        <w:rPr>
          <w:rFonts w:ascii="Arial" w:hAnsi="Arial" w:cs="Arial"/>
          <w:color w:val="222222"/>
          <w:sz w:val="24"/>
          <w:szCs w:val="24"/>
          <w:shd w:val="clear" w:color="auto" w:fill="FFFFFF"/>
        </w:rPr>
      </w:pPr>
      <w:r w:rsidRPr="001D2A38">
        <w:rPr>
          <w:rFonts w:ascii="Arial" w:hAnsi="Arial" w:cs="Arial"/>
          <w:color w:val="222222"/>
          <w:sz w:val="24"/>
          <w:szCs w:val="24"/>
          <w:shd w:val="clear" w:color="auto" w:fill="FFFFFF"/>
        </w:rPr>
        <w:lastRenderedPageBreak/>
        <w:t>Ovchinnikova, A., 2023. Analysis of Regenerative Practices in the Hotel Industry in Finland.</w:t>
      </w:r>
      <w:r w:rsidRPr="00692BB4">
        <w:t xml:space="preserve"> </w:t>
      </w:r>
      <w:hyperlink r:id="rId21" w:history="1">
        <w:r w:rsidRPr="00442E56">
          <w:rPr>
            <w:rStyle w:val="Hyperlink"/>
            <w:rFonts w:ascii="Arial" w:hAnsi="Arial" w:cs="Arial"/>
            <w:sz w:val="24"/>
            <w:szCs w:val="24"/>
            <w:shd w:val="clear" w:color="auto" w:fill="FFFFFF"/>
          </w:rPr>
          <w:t>https://www.theseus.fi/bitstream/handle/10024/811108/Ovchinnikova_Alina.pdf?sequence=2</w:t>
        </w:r>
      </w:hyperlink>
    </w:p>
    <w:p w14:paraId="200D5212" w14:textId="77777777" w:rsidR="00A40E52" w:rsidRDefault="00A40E52" w:rsidP="00A40E52">
      <w:pPr>
        <w:spacing w:after="0" w:line="360" w:lineRule="auto"/>
        <w:ind w:left="720" w:hanging="720"/>
        <w:rPr>
          <w:rFonts w:ascii="Arial" w:hAnsi="Arial" w:cs="Arial"/>
          <w:color w:val="222222"/>
          <w:sz w:val="24"/>
          <w:szCs w:val="24"/>
          <w:shd w:val="clear" w:color="auto" w:fill="FFFFFF"/>
        </w:rPr>
      </w:pPr>
      <w:r w:rsidRPr="001D2A38">
        <w:rPr>
          <w:rFonts w:ascii="Arial" w:hAnsi="Arial" w:cs="Arial"/>
          <w:color w:val="222222"/>
          <w:sz w:val="24"/>
          <w:szCs w:val="24"/>
          <w:shd w:val="clear" w:color="auto" w:fill="FFFFFF"/>
        </w:rPr>
        <w:t>Pavlova, V., 2023. Encouraging Employee Participation in Environmental Sustainability Practices in Luxury Hotel Company.</w:t>
      </w:r>
      <w:r w:rsidRPr="00692BB4">
        <w:t xml:space="preserve"> </w:t>
      </w:r>
      <w:hyperlink r:id="rId22" w:history="1">
        <w:r w:rsidRPr="00442E56">
          <w:rPr>
            <w:rStyle w:val="Hyperlink"/>
            <w:rFonts w:ascii="Arial" w:hAnsi="Arial" w:cs="Arial"/>
            <w:sz w:val="24"/>
            <w:szCs w:val="24"/>
            <w:shd w:val="clear" w:color="auto" w:fill="FFFFFF"/>
          </w:rPr>
          <w:t>https://www.theseus.fi/handle/10024/817315</w:t>
        </w:r>
      </w:hyperlink>
    </w:p>
    <w:p w14:paraId="3A122E71" w14:textId="77777777" w:rsidR="00A40E52" w:rsidRDefault="00A40E52" w:rsidP="00A40E52">
      <w:pPr>
        <w:spacing w:after="0" w:line="360" w:lineRule="auto"/>
        <w:ind w:left="720" w:hanging="720"/>
        <w:rPr>
          <w:rFonts w:ascii="Arial" w:hAnsi="Arial" w:cs="Arial"/>
          <w:sz w:val="24"/>
          <w:szCs w:val="24"/>
        </w:rPr>
      </w:pPr>
      <w:r w:rsidRPr="001D2A38">
        <w:rPr>
          <w:rFonts w:ascii="Arial" w:hAnsi="Arial" w:cs="Arial"/>
          <w:color w:val="222222"/>
          <w:sz w:val="24"/>
          <w:szCs w:val="24"/>
          <w:shd w:val="clear" w:color="auto" w:fill="FFFFFF"/>
        </w:rPr>
        <w:t>Rodríguez, C., Florido, C. and Jacob, M., 2020. Circular economy contributions to the tourism sector: A critical literature review. </w:t>
      </w:r>
      <w:r w:rsidRPr="001D2A38">
        <w:rPr>
          <w:rFonts w:ascii="Arial" w:hAnsi="Arial" w:cs="Arial"/>
          <w:i/>
          <w:iCs/>
          <w:color w:val="222222"/>
          <w:sz w:val="24"/>
          <w:szCs w:val="24"/>
          <w:shd w:val="clear" w:color="auto" w:fill="FFFFFF"/>
        </w:rPr>
        <w:t>Sustainability</w:t>
      </w:r>
      <w:r w:rsidRPr="001D2A38">
        <w:rPr>
          <w:rFonts w:ascii="Arial" w:hAnsi="Arial" w:cs="Arial"/>
          <w:color w:val="222222"/>
          <w:sz w:val="24"/>
          <w:szCs w:val="24"/>
          <w:shd w:val="clear" w:color="auto" w:fill="FFFFFF"/>
        </w:rPr>
        <w:t>, </w:t>
      </w:r>
      <w:r w:rsidRPr="001D2A38">
        <w:rPr>
          <w:rFonts w:ascii="Arial" w:hAnsi="Arial" w:cs="Arial"/>
          <w:i/>
          <w:iCs/>
          <w:color w:val="222222"/>
          <w:sz w:val="24"/>
          <w:szCs w:val="24"/>
          <w:shd w:val="clear" w:color="auto" w:fill="FFFFFF"/>
        </w:rPr>
        <w:t>12</w:t>
      </w:r>
      <w:r w:rsidRPr="001D2A38">
        <w:rPr>
          <w:rFonts w:ascii="Arial" w:hAnsi="Arial" w:cs="Arial"/>
          <w:color w:val="222222"/>
          <w:sz w:val="24"/>
          <w:szCs w:val="24"/>
          <w:shd w:val="clear" w:color="auto" w:fill="FFFFFF"/>
        </w:rPr>
        <w:t>(11), p.4338.</w:t>
      </w:r>
      <w:r w:rsidRPr="00692BB4">
        <w:t xml:space="preserve"> </w:t>
      </w:r>
      <w:hyperlink r:id="rId23" w:history="1">
        <w:r w:rsidRPr="00442E56">
          <w:rPr>
            <w:rStyle w:val="Hyperlink"/>
            <w:rFonts w:ascii="Arial" w:hAnsi="Arial" w:cs="Arial"/>
            <w:sz w:val="24"/>
            <w:szCs w:val="24"/>
          </w:rPr>
          <w:t>https://www.mdpi.com/2071-1050/12/11/4338</w:t>
        </w:r>
      </w:hyperlink>
    </w:p>
    <w:p w14:paraId="668C7DD7" w14:textId="77777777" w:rsidR="00A40E52" w:rsidRDefault="00A40E52" w:rsidP="00A40E52">
      <w:pPr>
        <w:spacing w:after="0" w:line="360" w:lineRule="auto"/>
        <w:ind w:left="720" w:hanging="720"/>
        <w:rPr>
          <w:rFonts w:ascii="Arial" w:hAnsi="Arial" w:cs="Arial"/>
          <w:color w:val="222222"/>
          <w:sz w:val="24"/>
          <w:szCs w:val="24"/>
          <w:shd w:val="clear" w:color="auto" w:fill="FFFFFF"/>
        </w:rPr>
      </w:pPr>
      <w:r w:rsidRPr="001D2A38">
        <w:rPr>
          <w:rFonts w:ascii="Arial" w:hAnsi="Arial" w:cs="Arial"/>
          <w:color w:val="222222"/>
          <w:sz w:val="24"/>
          <w:szCs w:val="24"/>
          <w:shd w:val="clear" w:color="auto" w:fill="FFFFFF"/>
        </w:rPr>
        <w:t>Sanvitale, A.L., 2020. Corporate Social Responsibility in the Hotel Industry: A Study of Marriott International and Odyssey Hotel Group.</w:t>
      </w:r>
      <w:r w:rsidRPr="00692BB4">
        <w:t xml:space="preserve"> </w:t>
      </w:r>
      <w:hyperlink r:id="rId24" w:history="1">
        <w:r w:rsidRPr="00442E56">
          <w:rPr>
            <w:rStyle w:val="Hyperlink"/>
            <w:rFonts w:ascii="Arial" w:hAnsi="Arial" w:cs="Arial"/>
            <w:sz w:val="24"/>
            <w:szCs w:val="24"/>
            <w:shd w:val="clear" w:color="auto" w:fill="FFFFFF"/>
          </w:rPr>
          <w:t>http://arno.uvt.nl/show.cgi?fid=151914</w:t>
        </w:r>
      </w:hyperlink>
    </w:p>
    <w:p w14:paraId="36C48450" w14:textId="77777777" w:rsidR="00A40E52" w:rsidRDefault="00A40E52" w:rsidP="00A40E52">
      <w:pPr>
        <w:spacing w:after="0" w:line="360" w:lineRule="auto"/>
        <w:ind w:left="720" w:hanging="720"/>
        <w:rPr>
          <w:rFonts w:ascii="Arial" w:hAnsi="Arial" w:cs="Arial"/>
          <w:color w:val="222222"/>
          <w:sz w:val="24"/>
          <w:szCs w:val="24"/>
          <w:shd w:val="clear" w:color="auto" w:fill="FFFFFF"/>
        </w:rPr>
      </w:pPr>
      <w:r w:rsidRPr="001D2A38">
        <w:rPr>
          <w:rFonts w:ascii="Arial" w:hAnsi="Arial" w:cs="Arial"/>
          <w:color w:val="222222"/>
          <w:sz w:val="24"/>
          <w:szCs w:val="24"/>
          <w:shd w:val="clear" w:color="auto" w:fill="FFFFFF"/>
        </w:rPr>
        <w:t xml:space="preserve">Schröder, P., </w:t>
      </w:r>
      <w:proofErr w:type="spellStart"/>
      <w:r w:rsidRPr="001D2A38">
        <w:rPr>
          <w:rFonts w:ascii="Arial" w:hAnsi="Arial" w:cs="Arial"/>
          <w:color w:val="222222"/>
          <w:sz w:val="24"/>
          <w:szCs w:val="24"/>
          <w:shd w:val="clear" w:color="auto" w:fill="FFFFFF"/>
        </w:rPr>
        <w:t>Lemille</w:t>
      </w:r>
      <w:proofErr w:type="spellEnd"/>
      <w:r w:rsidRPr="001D2A38">
        <w:rPr>
          <w:rFonts w:ascii="Arial" w:hAnsi="Arial" w:cs="Arial"/>
          <w:color w:val="222222"/>
          <w:sz w:val="24"/>
          <w:szCs w:val="24"/>
          <w:shd w:val="clear" w:color="auto" w:fill="FFFFFF"/>
        </w:rPr>
        <w:t>, A. and Desmond, P., 2020. Making the circular economy work for human development. </w:t>
      </w:r>
      <w:r w:rsidRPr="001D2A38">
        <w:rPr>
          <w:rFonts w:ascii="Arial" w:hAnsi="Arial" w:cs="Arial"/>
          <w:i/>
          <w:iCs/>
          <w:color w:val="222222"/>
          <w:sz w:val="24"/>
          <w:szCs w:val="24"/>
          <w:shd w:val="clear" w:color="auto" w:fill="FFFFFF"/>
        </w:rPr>
        <w:t>Resources, Conservation and Recycling</w:t>
      </w:r>
      <w:r w:rsidRPr="001D2A38">
        <w:rPr>
          <w:rFonts w:ascii="Arial" w:hAnsi="Arial" w:cs="Arial"/>
          <w:color w:val="222222"/>
          <w:sz w:val="24"/>
          <w:szCs w:val="24"/>
          <w:shd w:val="clear" w:color="auto" w:fill="FFFFFF"/>
        </w:rPr>
        <w:t>, </w:t>
      </w:r>
      <w:r w:rsidRPr="001D2A38">
        <w:rPr>
          <w:rFonts w:ascii="Arial" w:hAnsi="Arial" w:cs="Arial"/>
          <w:i/>
          <w:iCs/>
          <w:color w:val="222222"/>
          <w:sz w:val="24"/>
          <w:szCs w:val="24"/>
          <w:shd w:val="clear" w:color="auto" w:fill="FFFFFF"/>
        </w:rPr>
        <w:t>156</w:t>
      </w:r>
      <w:r w:rsidRPr="001D2A38">
        <w:rPr>
          <w:rFonts w:ascii="Arial" w:hAnsi="Arial" w:cs="Arial"/>
          <w:color w:val="222222"/>
          <w:sz w:val="24"/>
          <w:szCs w:val="24"/>
          <w:shd w:val="clear" w:color="auto" w:fill="FFFFFF"/>
        </w:rPr>
        <w:t>, p.104686.</w:t>
      </w:r>
      <w:r w:rsidRPr="00692BB4">
        <w:t xml:space="preserve"> </w:t>
      </w:r>
      <w:hyperlink r:id="rId25" w:history="1">
        <w:r w:rsidRPr="00442E56">
          <w:rPr>
            <w:rStyle w:val="Hyperlink"/>
            <w:rFonts w:ascii="Arial" w:hAnsi="Arial" w:cs="Arial"/>
            <w:sz w:val="24"/>
            <w:szCs w:val="24"/>
            <w:shd w:val="clear" w:color="auto" w:fill="FFFFFF"/>
          </w:rPr>
          <w:t>https://www.sciencedirect.com/science/article/pii/S0921344920300082</w:t>
        </w:r>
      </w:hyperlink>
    </w:p>
    <w:p w14:paraId="2C14B76C" w14:textId="77777777" w:rsidR="00A40E52" w:rsidRDefault="00A40E52" w:rsidP="00A40E52">
      <w:pPr>
        <w:spacing w:after="0" w:line="360" w:lineRule="auto"/>
        <w:ind w:left="720" w:hanging="720"/>
        <w:rPr>
          <w:rFonts w:ascii="Arial" w:hAnsi="Arial" w:cs="Arial"/>
          <w:color w:val="222222"/>
          <w:sz w:val="24"/>
          <w:szCs w:val="24"/>
          <w:shd w:val="clear" w:color="auto" w:fill="FFFFFF"/>
        </w:rPr>
      </w:pPr>
      <w:r w:rsidRPr="001D2A38">
        <w:rPr>
          <w:rFonts w:ascii="Arial" w:hAnsi="Arial" w:cs="Arial"/>
          <w:color w:val="222222"/>
          <w:sz w:val="24"/>
          <w:szCs w:val="24"/>
          <w:shd w:val="clear" w:color="auto" w:fill="FFFFFF"/>
        </w:rPr>
        <w:t>Tomić, T. and Schneider, D.R., 2020. Circular economy in waste management–Socio-economic effect of changes in waste management system structure. </w:t>
      </w:r>
      <w:r w:rsidRPr="001D2A38">
        <w:rPr>
          <w:rFonts w:ascii="Arial" w:hAnsi="Arial" w:cs="Arial"/>
          <w:i/>
          <w:iCs/>
          <w:color w:val="222222"/>
          <w:sz w:val="24"/>
          <w:szCs w:val="24"/>
          <w:shd w:val="clear" w:color="auto" w:fill="FFFFFF"/>
        </w:rPr>
        <w:t>Journal of environmental management</w:t>
      </w:r>
      <w:r w:rsidRPr="001D2A38">
        <w:rPr>
          <w:rFonts w:ascii="Arial" w:hAnsi="Arial" w:cs="Arial"/>
          <w:color w:val="222222"/>
          <w:sz w:val="24"/>
          <w:szCs w:val="24"/>
          <w:shd w:val="clear" w:color="auto" w:fill="FFFFFF"/>
        </w:rPr>
        <w:t>, </w:t>
      </w:r>
      <w:r w:rsidRPr="001D2A38">
        <w:rPr>
          <w:rFonts w:ascii="Arial" w:hAnsi="Arial" w:cs="Arial"/>
          <w:i/>
          <w:iCs/>
          <w:color w:val="222222"/>
          <w:sz w:val="24"/>
          <w:szCs w:val="24"/>
          <w:shd w:val="clear" w:color="auto" w:fill="FFFFFF"/>
        </w:rPr>
        <w:t>267</w:t>
      </w:r>
      <w:r w:rsidRPr="001D2A38">
        <w:rPr>
          <w:rFonts w:ascii="Arial" w:hAnsi="Arial" w:cs="Arial"/>
          <w:color w:val="222222"/>
          <w:sz w:val="24"/>
          <w:szCs w:val="24"/>
          <w:shd w:val="clear" w:color="auto" w:fill="FFFFFF"/>
        </w:rPr>
        <w:t>, p.110564.</w:t>
      </w:r>
      <w:r w:rsidRPr="00692BB4">
        <w:t xml:space="preserve"> </w:t>
      </w:r>
      <w:hyperlink r:id="rId26" w:history="1">
        <w:r w:rsidRPr="00442E56">
          <w:rPr>
            <w:rStyle w:val="Hyperlink"/>
            <w:rFonts w:ascii="Arial" w:hAnsi="Arial" w:cs="Arial"/>
            <w:sz w:val="24"/>
            <w:szCs w:val="24"/>
            <w:shd w:val="clear" w:color="auto" w:fill="FFFFFF"/>
          </w:rPr>
          <w:t>https://www.sciencedirect.com/science/article/pii/S0301479720304977</w:t>
        </w:r>
      </w:hyperlink>
    </w:p>
    <w:p w14:paraId="31CD7337" w14:textId="77777777" w:rsidR="00A40E52" w:rsidRDefault="00A40E52" w:rsidP="00A40E52">
      <w:pPr>
        <w:spacing w:after="0" w:line="360" w:lineRule="auto"/>
        <w:ind w:left="720" w:hanging="720"/>
        <w:rPr>
          <w:rFonts w:ascii="Arial" w:hAnsi="Arial" w:cs="Arial"/>
          <w:color w:val="222222"/>
          <w:sz w:val="24"/>
          <w:szCs w:val="24"/>
          <w:shd w:val="clear" w:color="auto" w:fill="FFFFFF"/>
        </w:rPr>
      </w:pPr>
      <w:r w:rsidRPr="001D2A38">
        <w:rPr>
          <w:rFonts w:ascii="Arial" w:hAnsi="Arial" w:cs="Arial"/>
          <w:color w:val="222222"/>
          <w:sz w:val="24"/>
          <w:szCs w:val="24"/>
          <w:shd w:val="clear" w:color="auto" w:fill="FFFFFF"/>
        </w:rPr>
        <w:t>Wickham, M., French, L. and Wong, T., 2020. Marriott's strategic sustainability priorities in the Chinese hotel industry. </w:t>
      </w:r>
      <w:r w:rsidRPr="001D2A38">
        <w:rPr>
          <w:rFonts w:ascii="Arial" w:hAnsi="Arial" w:cs="Arial"/>
          <w:i/>
          <w:iCs/>
          <w:color w:val="222222"/>
          <w:sz w:val="24"/>
          <w:szCs w:val="24"/>
          <w:shd w:val="clear" w:color="auto" w:fill="FFFFFF"/>
        </w:rPr>
        <w:t>International Journal of Sustainable Strategic Management</w:t>
      </w:r>
      <w:r w:rsidRPr="001D2A38">
        <w:rPr>
          <w:rFonts w:ascii="Arial" w:hAnsi="Arial" w:cs="Arial"/>
          <w:color w:val="222222"/>
          <w:sz w:val="24"/>
          <w:szCs w:val="24"/>
          <w:shd w:val="clear" w:color="auto" w:fill="FFFFFF"/>
        </w:rPr>
        <w:t>, </w:t>
      </w:r>
      <w:r w:rsidRPr="001D2A38">
        <w:rPr>
          <w:rFonts w:ascii="Arial" w:hAnsi="Arial" w:cs="Arial"/>
          <w:i/>
          <w:iCs/>
          <w:color w:val="222222"/>
          <w:sz w:val="24"/>
          <w:szCs w:val="24"/>
          <w:shd w:val="clear" w:color="auto" w:fill="FFFFFF"/>
        </w:rPr>
        <w:t>8</w:t>
      </w:r>
      <w:r w:rsidRPr="001D2A38">
        <w:rPr>
          <w:rFonts w:ascii="Arial" w:hAnsi="Arial" w:cs="Arial"/>
          <w:color w:val="222222"/>
          <w:sz w:val="24"/>
          <w:szCs w:val="24"/>
          <w:shd w:val="clear" w:color="auto" w:fill="FFFFFF"/>
        </w:rPr>
        <w:t>(1), pp.77-97.</w:t>
      </w:r>
      <w:r w:rsidRPr="00692BB4">
        <w:t xml:space="preserve"> </w:t>
      </w:r>
      <w:hyperlink r:id="rId27" w:history="1">
        <w:r w:rsidRPr="00442E56">
          <w:rPr>
            <w:rStyle w:val="Hyperlink"/>
            <w:rFonts w:ascii="Arial" w:hAnsi="Arial" w:cs="Arial"/>
            <w:sz w:val="24"/>
            <w:szCs w:val="24"/>
            <w:shd w:val="clear" w:color="auto" w:fill="FFFFFF"/>
          </w:rPr>
          <w:t>https://www.inderscienceonline.com/doi/abs/10.1504/IJSSM.2020.105634</w:t>
        </w:r>
      </w:hyperlink>
    </w:p>
    <w:p w14:paraId="541A9364" w14:textId="73ED13A7" w:rsidR="005D6E6C" w:rsidRPr="001D2A38" w:rsidRDefault="005D6E6C" w:rsidP="00A40E52">
      <w:pPr>
        <w:pStyle w:val="NormalWeb"/>
        <w:spacing w:before="0" w:beforeAutospacing="0" w:after="0" w:afterAutospacing="0" w:line="360" w:lineRule="auto"/>
        <w:ind w:firstLine="720"/>
        <w:jc w:val="both"/>
        <w:rPr>
          <w:rFonts w:ascii="Arial" w:hAnsi="Arial" w:cs="Arial"/>
        </w:rPr>
      </w:pPr>
    </w:p>
    <w:sectPr w:rsidR="005D6E6C" w:rsidRPr="001D2A38">
      <w:headerReference w:type="default" r:id="rId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DBDC9F" w14:textId="77777777" w:rsidR="00795100" w:rsidRDefault="00795100" w:rsidP="005D6E6C">
      <w:pPr>
        <w:spacing w:after="0" w:line="240" w:lineRule="auto"/>
      </w:pPr>
      <w:r>
        <w:separator/>
      </w:r>
    </w:p>
  </w:endnote>
  <w:endnote w:type="continuationSeparator" w:id="0">
    <w:p w14:paraId="16B76908" w14:textId="77777777" w:rsidR="00795100" w:rsidRDefault="00795100" w:rsidP="005D6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3FE8EB" w14:textId="77777777" w:rsidR="00795100" w:rsidRDefault="00795100" w:rsidP="005D6E6C">
      <w:pPr>
        <w:spacing w:after="0" w:line="240" w:lineRule="auto"/>
      </w:pPr>
      <w:r>
        <w:separator/>
      </w:r>
    </w:p>
  </w:footnote>
  <w:footnote w:type="continuationSeparator" w:id="0">
    <w:p w14:paraId="31250538" w14:textId="77777777" w:rsidR="00795100" w:rsidRDefault="00795100" w:rsidP="005D6E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29925797"/>
      <w:docPartObj>
        <w:docPartGallery w:val="Page Numbers (Top of Page)"/>
        <w:docPartUnique/>
      </w:docPartObj>
    </w:sdtPr>
    <w:sdtEndPr>
      <w:rPr>
        <w:noProof/>
      </w:rPr>
    </w:sdtEndPr>
    <w:sdtContent>
      <w:p w14:paraId="4EDA484D" w14:textId="711C6BED" w:rsidR="005D6E6C" w:rsidRPr="005D6E6C" w:rsidRDefault="005D6E6C">
        <w:pPr>
          <w:pStyle w:val="Header"/>
          <w:jc w:val="right"/>
          <w:rPr>
            <w:rFonts w:ascii="Times New Roman" w:hAnsi="Times New Roman" w:cs="Times New Roman"/>
            <w:sz w:val="24"/>
            <w:szCs w:val="24"/>
          </w:rPr>
        </w:pPr>
        <w:r w:rsidRPr="005D6E6C">
          <w:rPr>
            <w:rFonts w:ascii="Times New Roman" w:hAnsi="Times New Roman" w:cs="Times New Roman"/>
            <w:sz w:val="24"/>
            <w:szCs w:val="24"/>
          </w:rPr>
          <w:t xml:space="preserve">Embracing Sustainability Case of Marriott </w:t>
        </w:r>
        <w:r w:rsidRPr="005D6E6C">
          <w:rPr>
            <w:rFonts w:ascii="Times New Roman" w:hAnsi="Times New Roman" w:cs="Times New Roman"/>
            <w:sz w:val="24"/>
            <w:szCs w:val="24"/>
          </w:rPr>
          <w:fldChar w:fldCharType="begin"/>
        </w:r>
        <w:r w:rsidRPr="005D6E6C">
          <w:rPr>
            <w:rFonts w:ascii="Times New Roman" w:hAnsi="Times New Roman" w:cs="Times New Roman"/>
            <w:sz w:val="24"/>
            <w:szCs w:val="24"/>
          </w:rPr>
          <w:instrText xml:space="preserve"> PAGE   \* MERGEFORMAT </w:instrText>
        </w:r>
        <w:r w:rsidRPr="005D6E6C">
          <w:rPr>
            <w:rFonts w:ascii="Times New Roman" w:hAnsi="Times New Roman" w:cs="Times New Roman"/>
            <w:sz w:val="24"/>
            <w:szCs w:val="24"/>
          </w:rPr>
          <w:fldChar w:fldCharType="separate"/>
        </w:r>
        <w:r w:rsidRPr="005D6E6C">
          <w:rPr>
            <w:rFonts w:ascii="Times New Roman" w:hAnsi="Times New Roman" w:cs="Times New Roman"/>
            <w:noProof/>
            <w:sz w:val="24"/>
            <w:szCs w:val="24"/>
          </w:rPr>
          <w:t>2</w:t>
        </w:r>
        <w:r w:rsidRPr="005D6E6C">
          <w:rPr>
            <w:rFonts w:ascii="Times New Roman" w:hAnsi="Times New Roman" w:cs="Times New Roman"/>
            <w:noProof/>
            <w:sz w:val="24"/>
            <w:szCs w:val="24"/>
          </w:rPr>
          <w:fldChar w:fldCharType="end"/>
        </w:r>
      </w:p>
    </w:sdtContent>
  </w:sdt>
  <w:p w14:paraId="7A735A8E" w14:textId="77777777" w:rsidR="005D6E6C" w:rsidRDefault="005D6E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63D1F"/>
    <w:multiLevelType w:val="hybridMultilevel"/>
    <w:tmpl w:val="3552D17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55317249"/>
    <w:multiLevelType w:val="hybridMultilevel"/>
    <w:tmpl w:val="851CFA46"/>
    <w:lvl w:ilvl="0" w:tplc="4C64159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B8B4764"/>
    <w:multiLevelType w:val="hybridMultilevel"/>
    <w:tmpl w:val="D626E85E"/>
    <w:lvl w:ilvl="0" w:tplc="188C3CBE">
      <w:start w:val="1"/>
      <w:numFmt w:val="lowerRoman"/>
      <w:lvlText w:val="%1."/>
      <w:lvlJc w:val="left"/>
      <w:pPr>
        <w:ind w:left="1080" w:hanging="720"/>
      </w:pPr>
      <w:rPr>
        <w:rFonts w:ascii="Roboto" w:eastAsia="Times New Roman" w:hAnsi="Roboto" w:cs="Times New Roman" w:hint="default"/>
        <w:color w:val="2A2A2A"/>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31591290">
    <w:abstractNumId w:val="2"/>
  </w:num>
  <w:num w:numId="2" w16cid:durableId="1209953207">
    <w:abstractNumId w:val="1"/>
  </w:num>
  <w:num w:numId="3" w16cid:durableId="12468375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C1NDQ3MDI2tDA0szRW0lEKTi0uzszPAykwqgUAXQHWZCwAAAA="/>
  </w:docVars>
  <w:rsids>
    <w:rsidRoot w:val="00BD1DF5"/>
    <w:rsid w:val="00005410"/>
    <w:rsid w:val="0002305C"/>
    <w:rsid w:val="00061B64"/>
    <w:rsid w:val="001D2A38"/>
    <w:rsid w:val="0029236E"/>
    <w:rsid w:val="002C1DB7"/>
    <w:rsid w:val="004640D2"/>
    <w:rsid w:val="00540BC1"/>
    <w:rsid w:val="00597BCD"/>
    <w:rsid w:val="005A3A21"/>
    <w:rsid w:val="005D6E6C"/>
    <w:rsid w:val="00675348"/>
    <w:rsid w:val="006C191A"/>
    <w:rsid w:val="0070096A"/>
    <w:rsid w:val="007277A3"/>
    <w:rsid w:val="00795100"/>
    <w:rsid w:val="00912D92"/>
    <w:rsid w:val="00936E7B"/>
    <w:rsid w:val="00981BDE"/>
    <w:rsid w:val="00A40E52"/>
    <w:rsid w:val="00A5361B"/>
    <w:rsid w:val="00B74976"/>
    <w:rsid w:val="00BD1DF5"/>
    <w:rsid w:val="00DA3743"/>
    <w:rsid w:val="00DA78F7"/>
    <w:rsid w:val="00DC26CF"/>
    <w:rsid w:val="00F40FA1"/>
    <w:rsid w:val="00F7440D"/>
    <w:rsid w:val="00FA7F8E"/>
    <w:rsid w:val="00FB50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6E1098"/>
  <w15:chartTrackingRefBased/>
  <w15:docId w15:val="{6F8830DB-CC9D-4C5C-AE6E-871CC156E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D1DF5"/>
    <w:rPr>
      <w:color w:val="0000FF"/>
      <w:u w:val="single"/>
    </w:rPr>
  </w:style>
  <w:style w:type="paragraph" w:styleId="ListParagraph">
    <w:name w:val="List Paragraph"/>
    <w:basedOn w:val="Normal"/>
    <w:uiPriority w:val="34"/>
    <w:qFormat/>
    <w:rsid w:val="00BD1DF5"/>
    <w:pPr>
      <w:ind w:left="720"/>
      <w:contextualSpacing/>
    </w:pPr>
  </w:style>
  <w:style w:type="paragraph" w:styleId="Header">
    <w:name w:val="header"/>
    <w:basedOn w:val="Normal"/>
    <w:link w:val="HeaderChar"/>
    <w:uiPriority w:val="99"/>
    <w:unhideWhenUsed/>
    <w:rsid w:val="005D6E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6E6C"/>
  </w:style>
  <w:style w:type="paragraph" w:styleId="Footer">
    <w:name w:val="footer"/>
    <w:basedOn w:val="Normal"/>
    <w:link w:val="FooterChar"/>
    <w:uiPriority w:val="99"/>
    <w:unhideWhenUsed/>
    <w:rsid w:val="005D6E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6E6C"/>
  </w:style>
  <w:style w:type="paragraph" w:styleId="NormalWeb">
    <w:name w:val="Normal (Web)"/>
    <w:basedOn w:val="Normal"/>
    <w:uiPriority w:val="99"/>
    <w:unhideWhenUsed/>
    <w:rsid w:val="00675348"/>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7534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4767280">
      <w:bodyDiv w:val="1"/>
      <w:marLeft w:val="0"/>
      <w:marRight w:val="0"/>
      <w:marTop w:val="0"/>
      <w:marBottom w:val="0"/>
      <w:divBdr>
        <w:top w:val="none" w:sz="0" w:space="0" w:color="auto"/>
        <w:left w:val="none" w:sz="0" w:space="0" w:color="auto"/>
        <w:bottom w:val="none" w:sz="0" w:space="0" w:color="auto"/>
        <w:right w:val="none" w:sz="0" w:space="0" w:color="auto"/>
      </w:divBdr>
    </w:div>
    <w:div w:id="1674524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0959652622007107" TargetMode="External"/><Relationship Id="rId13" Type="http://schemas.openxmlformats.org/officeDocument/2006/relationships/hyperlink" Target="https://www.shs-conferences.org/articles/shsconf/abs/2024/01/shsconf_icdeba2023_01036/shsconf_icdeba2023_01036.html" TargetMode="External"/><Relationship Id="rId18" Type="http://schemas.openxmlformats.org/officeDocument/2006/relationships/hyperlink" Target="https://www.sciencedirect.com/science/article/pii/S0959652621024495" TargetMode="External"/><Relationship Id="rId26" Type="http://schemas.openxmlformats.org/officeDocument/2006/relationships/hyperlink" Target="https://www.sciencedirect.com/science/article/pii/S0301479720304977" TargetMode="External"/><Relationship Id="rId3" Type="http://schemas.openxmlformats.org/officeDocument/2006/relationships/settings" Target="settings.xml"/><Relationship Id="rId21" Type="http://schemas.openxmlformats.org/officeDocument/2006/relationships/hyperlink" Target="https://www.theseus.fi/bitstream/handle/10024/811108/Ovchinnikova_Alina.pdf?sequence=2" TargetMode="External"/><Relationship Id="rId7" Type="http://schemas.openxmlformats.org/officeDocument/2006/relationships/hyperlink" Target="https://www.mdpi.com/2071-1050/15/9/7529" TargetMode="External"/><Relationship Id="rId12" Type="http://schemas.openxmlformats.org/officeDocument/2006/relationships/hyperlink" Target="https://wkuwire.org/handle/20.500.12540/403" TargetMode="External"/><Relationship Id="rId17" Type="http://schemas.openxmlformats.org/officeDocument/2006/relationships/hyperlink" Target="https://publications.jrc.ec.europa.eu/repository/bitstream/JRC120422/surebatt_report_final_26_06_2020_(1).pdf" TargetMode="External"/><Relationship Id="rId25" Type="http://schemas.openxmlformats.org/officeDocument/2006/relationships/hyperlink" Target="https://www.sciencedirect.com/science/article/pii/S0921344920300082" TargetMode="External"/><Relationship Id="rId2" Type="http://schemas.openxmlformats.org/officeDocument/2006/relationships/styles" Target="styles.xml"/><Relationship Id="rId16" Type="http://schemas.openxmlformats.org/officeDocument/2006/relationships/hyperlink" Target="https://www.emerald.com/insight/content/doi/10.1108/WHATT-06-2020-0042/full/html" TargetMode="External"/><Relationship Id="rId20" Type="http://schemas.openxmlformats.org/officeDocument/2006/relationships/hyperlink" Target="https://www.sciencedirect.com/science/article/pii/S0921344919304598"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dpi.com/2071-1050/12/12/5120" TargetMode="External"/><Relationship Id="rId24" Type="http://schemas.openxmlformats.org/officeDocument/2006/relationships/hyperlink" Target="http://arno.uvt.nl/show.cgi?fid=151914" TargetMode="External"/><Relationship Id="rId5" Type="http://schemas.openxmlformats.org/officeDocument/2006/relationships/footnotes" Target="footnotes.xml"/><Relationship Id="rId15" Type="http://schemas.openxmlformats.org/officeDocument/2006/relationships/hyperlink" Target="https://eprints.glos.ac.uk/8614/" TargetMode="External"/><Relationship Id="rId23" Type="http://schemas.openxmlformats.org/officeDocument/2006/relationships/hyperlink" Target="https://www.mdpi.com/2071-1050/12/11/4338" TargetMode="External"/><Relationship Id="rId28" Type="http://schemas.openxmlformats.org/officeDocument/2006/relationships/header" Target="header1.xml"/><Relationship Id="rId10" Type="http://schemas.openxmlformats.org/officeDocument/2006/relationships/hyperlink" Target="https://www.taylorfrancis.com/chapters/edit/10.4324/9781003018551-2/circular-economy-enhance-sustainability-small-medium-sized-enterprises-prasanta-kumar-dey-chrisovaladis-malesios-debashree-de-pawan-budhwar-soumyadeb-chowdhury-walid-cheffi" TargetMode="External"/><Relationship Id="rId19" Type="http://schemas.openxmlformats.org/officeDocument/2006/relationships/hyperlink" Target="https://www.recercat.cat/handle/2072/373877" TargetMode="External"/><Relationship Id="rId4" Type="http://schemas.openxmlformats.org/officeDocument/2006/relationships/webSettings" Target="webSettings.xml"/><Relationship Id="rId9" Type="http://schemas.openxmlformats.org/officeDocument/2006/relationships/hyperlink" Target="https://www.inderscienceonline.com/doi/abs/10.1504/IJC.2022.127400" TargetMode="External"/><Relationship Id="rId14" Type="http://schemas.openxmlformats.org/officeDocument/2006/relationships/hyperlink" Target="https://dspace.sunyconnect.suny.edu/bitstream/handle/1951/83122/ETM%20670-%20Final%20Master's%20Project%20Report-%20Ali%20Ishaq.pdf?sequence=1" TargetMode="External"/><Relationship Id="rId22" Type="http://schemas.openxmlformats.org/officeDocument/2006/relationships/hyperlink" Target="https://www.theseus.fi/handle/10024/817315" TargetMode="External"/><Relationship Id="rId27" Type="http://schemas.openxmlformats.org/officeDocument/2006/relationships/hyperlink" Target="https://www.inderscienceonline.com/doi/abs/10.1504/IJSSM.2020.105634"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3306</Words>
  <Characters>18845</Characters>
  <Application>Microsoft Office Word</Application>
  <DocSecurity>0</DocSecurity>
  <Lines>157</Lines>
  <Paragraphs>44</Paragraphs>
  <ScaleCrop>false</ScaleCrop>
  <Company/>
  <LinksUpToDate>false</LinksUpToDate>
  <CharactersWithSpaces>22107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Nuri Begum</dc:creator>
  <cp:keywords/>
  <dc:description/>
  <cp:lastModifiedBy>Nuri Begum</cp:lastModifiedBy>
  <cp:revision>2</cp:revision>
  <dcterms:created xsi:type="dcterms:W3CDTF">2024-02-01T00:51:00Z</dcterms:created>
  <dcterms:modified xsi:type="dcterms:W3CDTF">2024-02-01T00:51:00Z</dcterms:modified>
</cp:coreProperties>
</file>