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966FFC" w:rsidP="0B3F78A0" w:rsidRDefault="004D67D2" w14:paraId="48C191F2" w14:textId="057BDA01">
      <w:pPr>
        <w:spacing w:after="160" w:line="259" w:lineRule="auto"/>
        <w:rPr>
          <w:rFonts w:ascii="Calibri" w:hAnsi="Calibri" w:eastAsia="Calibri" w:cs="Calibri"/>
          <w:noProof w:val="0"/>
          <w:sz w:val="22"/>
          <w:szCs w:val="22"/>
          <w:shd w:val="clear" w:color="auto" w:fill="FFFFFF"/>
          <w:lang w:val="en-GB"/>
        </w:rPr>
      </w:pPr>
      <w:r>
        <w:drawing>
          <wp:inline wp14:editId="5D5225E7" wp14:anchorId="1801CA9B">
            <wp:extent cx="5834658" cy="8486775"/>
            <wp:effectExtent l="0" t="0" r="0" b="0"/>
            <wp:docPr id="44956546" name="" title=""/>
            <wp:cNvGraphicFramePr>
              <a:graphicFrameLocks noChangeAspect="1"/>
            </wp:cNvGraphicFramePr>
            <a:graphic>
              <a:graphicData uri="http://schemas.openxmlformats.org/drawingml/2006/picture">
                <pic:pic>
                  <pic:nvPicPr>
                    <pic:cNvPr id="0" name=""/>
                    <pic:cNvPicPr/>
                  </pic:nvPicPr>
                  <pic:blipFill>
                    <a:blip r:embed="R60f9c939e10b436a">
                      <a:extLst>
                        <a:ext xmlns:a="http://schemas.openxmlformats.org/drawingml/2006/main" uri="{28A0092B-C50C-407E-A947-70E740481C1C}">
                          <a14:useLocalDpi val="0"/>
                        </a:ext>
                      </a:extLst>
                    </a:blip>
                    <a:stretch>
                      <a:fillRect/>
                    </a:stretch>
                  </pic:blipFill>
                  <pic:spPr>
                    <a:xfrm>
                      <a:off x="0" y="0"/>
                      <a:ext cx="5834658" cy="8486775"/>
                    </a:xfrm>
                    <a:prstGeom prst="rect">
                      <a:avLst/>
                    </a:prstGeom>
                  </pic:spPr>
                </pic:pic>
              </a:graphicData>
            </a:graphic>
          </wp:inline>
        </w:drawing>
      </w:r>
    </w:p>
    <w:p w:rsidR="0B3F78A0" w:rsidRDefault="0B3F78A0" w14:paraId="1CFCC6B9" w14:textId="35BBB8FE">
      <w:r>
        <w:br w:type="page"/>
      </w:r>
    </w:p>
    <w:p w:rsidRPr="00E50482" w:rsidR="00E50482" w:rsidP="00E50482" w:rsidRDefault="00E50482" w14:paraId="5B0830C9" w14:textId="77777777">
      <w:pPr>
        <w:pStyle w:val="Heading1"/>
        <w:rPr>
          <w:rFonts w:ascii="Calibri" w:hAnsi="Calibri" w:cs="Calibri"/>
          <w:color w:val="000000"/>
          <w:sz w:val="22"/>
          <w:szCs w:val="22"/>
          <w:shd w:val="clear" w:color="auto" w:fill="FFFFFF"/>
        </w:rPr>
      </w:pPr>
    </w:p>
    <w:sdt>
      <w:sdtPr>
        <w:id w:val="54113785"/>
        <w:docPartObj>
          <w:docPartGallery w:val="Table of Contents"/>
          <w:docPartUnique/>
        </w:docPartObj>
      </w:sdtPr>
      <w:sdtContent>
        <w:p w:rsidR="00E50482" w:rsidRDefault="00E50482" w14:paraId="30B4BD3C" w14:textId="3ECAA75C" w14:noSpellErr="1">
          <w:pPr>
            <w:pStyle w:val="TOCHeading"/>
          </w:pPr>
          <w:r w:rsidR="0B3F78A0">
            <w:rPr/>
            <w:t>Contents</w:t>
          </w:r>
        </w:p>
        <w:p w:rsidR="00E50482" w:rsidP="0B3F78A0" w:rsidRDefault="00E50482" w14:paraId="46610B94" w14:textId="36F16622">
          <w:pPr>
            <w:pStyle w:val="TOC1"/>
            <w:tabs>
              <w:tab w:val="right" w:leader="dot" w:pos="9015"/>
            </w:tabs>
            <w:rPr>
              <w:noProof/>
            </w:rPr>
          </w:pPr>
          <w:r>
            <w:rPr>
              <w:noProof/>
              <w:webHidden/>
            </w:rPr>
            <w:instrText xml:space="preserve"> PAGEREF _Toc103885536 \h </w:instrText>
          </w:r>
          <w:r>
            <w:rPr>
              <w:noProof/>
              <w:webHidden/>
            </w:rPr>
          </w:r>
          <w:r>
            <w:fldChar w:fldCharType="begin"/>
          </w:r>
          <w:r>
            <w:instrText xml:space="preserve">TOC \o "1-3" \h \z \u</w:instrText>
          </w:r>
          <w:r>
            <w:fldChar w:fldCharType="separate"/>
          </w:r>
          <w:hyperlink w:anchor="_Toc1768903111">
            <w:r w:rsidRPr="0B3F78A0" w:rsidR="0B3F78A0">
              <w:rPr>
                <w:rStyle w:val="Hyperlink"/>
              </w:rPr>
              <w:t>Vending Machine</w:t>
            </w:r>
            <w:r>
              <w:tab/>
            </w:r>
            <w:r>
              <w:fldChar w:fldCharType="begin"/>
            </w:r>
            <w:r>
              <w:instrText xml:space="preserve">PAGEREF _Toc1768903111 \h</w:instrText>
            </w:r>
            <w:r>
              <w:fldChar w:fldCharType="separate"/>
            </w:r>
            <w:r w:rsidRPr="0B3F78A0" w:rsidR="0B3F78A0">
              <w:rPr>
                <w:rStyle w:val="Hyperlink"/>
              </w:rPr>
              <w:t>3</w:t>
            </w:r>
            <w:r>
              <w:fldChar w:fldCharType="end"/>
            </w:r>
          </w:hyperlink>
        </w:p>
        <w:p w:rsidR="00E50482" w:rsidP="0B3F78A0" w:rsidRDefault="00E50482" w14:paraId="140606D5" w14:textId="47683514">
          <w:pPr>
            <w:pStyle w:val="TOC1"/>
            <w:tabs>
              <w:tab w:val="right" w:leader="dot" w:pos="9015"/>
            </w:tabs>
            <w:rPr>
              <w:noProof/>
            </w:rPr>
          </w:pPr>
          <w:hyperlink w:anchor="_Toc2073697985">
            <w:r w:rsidRPr="0B3F78A0" w:rsidR="0B3F78A0">
              <w:rPr>
                <w:rStyle w:val="Hyperlink"/>
              </w:rPr>
              <w:t>Comparison of Factors</w:t>
            </w:r>
            <w:r>
              <w:tab/>
            </w:r>
            <w:r>
              <w:fldChar w:fldCharType="begin"/>
            </w:r>
            <w:r>
              <w:instrText xml:space="preserve">PAGEREF _Toc2073697985 \h</w:instrText>
            </w:r>
            <w:r>
              <w:fldChar w:fldCharType="separate"/>
            </w:r>
            <w:r w:rsidRPr="0B3F78A0" w:rsidR="0B3F78A0">
              <w:rPr>
                <w:rStyle w:val="Hyperlink"/>
              </w:rPr>
              <w:t>4</w:t>
            </w:r>
            <w:r>
              <w:fldChar w:fldCharType="end"/>
            </w:r>
          </w:hyperlink>
        </w:p>
        <w:p w:rsidR="00E50482" w:rsidP="0B3F78A0" w:rsidRDefault="00E50482" w14:paraId="4640D998" w14:textId="357FA05D">
          <w:pPr>
            <w:pStyle w:val="TOC2"/>
            <w:tabs>
              <w:tab w:val="right" w:leader="dot" w:pos="9015"/>
            </w:tabs>
            <w:rPr>
              <w:noProof/>
            </w:rPr>
          </w:pPr>
          <w:hyperlink w:anchor="_Toc474861126">
            <w:r w:rsidRPr="0B3F78A0" w:rsidR="0B3F78A0">
              <w:rPr>
                <w:rStyle w:val="Hyperlink"/>
              </w:rPr>
              <w:t>Carvana</w:t>
            </w:r>
            <w:r>
              <w:tab/>
            </w:r>
            <w:r>
              <w:fldChar w:fldCharType="begin"/>
            </w:r>
            <w:r>
              <w:instrText xml:space="preserve">PAGEREF _Toc474861126 \h</w:instrText>
            </w:r>
            <w:r>
              <w:fldChar w:fldCharType="separate"/>
            </w:r>
            <w:r w:rsidRPr="0B3F78A0" w:rsidR="0B3F78A0">
              <w:rPr>
                <w:rStyle w:val="Hyperlink"/>
              </w:rPr>
              <w:t>4</w:t>
            </w:r>
            <w:r>
              <w:fldChar w:fldCharType="end"/>
            </w:r>
          </w:hyperlink>
        </w:p>
        <w:p w:rsidR="00E50482" w:rsidP="0B3F78A0" w:rsidRDefault="00E50482" w14:paraId="40E8693F" w14:textId="2FBCDD5D">
          <w:pPr>
            <w:pStyle w:val="TOC2"/>
            <w:tabs>
              <w:tab w:val="right" w:leader="dot" w:pos="9015"/>
            </w:tabs>
            <w:rPr>
              <w:noProof/>
            </w:rPr>
          </w:pPr>
          <w:hyperlink w:anchor="_Toc1797158557">
            <w:r w:rsidRPr="0B3F78A0" w:rsidR="0B3F78A0">
              <w:rPr>
                <w:rStyle w:val="Hyperlink"/>
              </w:rPr>
              <w:t>Vending Machine</w:t>
            </w:r>
            <w:r>
              <w:tab/>
            </w:r>
            <w:r>
              <w:fldChar w:fldCharType="begin"/>
            </w:r>
            <w:r>
              <w:instrText xml:space="preserve">PAGEREF _Toc1797158557 \h</w:instrText>
            </w:r>
            <w:r>
              <w:fldChar w:fldCharType="separate"/>
            </w:r>
            <w:r w:rsidRPr="0B3F78A0" w:rsidR="0B3F78A0">
              <w:rPr>
                <w:rStyle w:val="Hyperlink"/>
              </w:rPr>
              <w:t>4</w:t>
            </w:r>
            <w:r>
              <w:fldChar w:fldCharType="end"/>
            </w:r>
          </w:hyperlink>
        </w:p>
        <w:p w:rsidR="00E50482" w:rsidP="0B3F78A0" w:rsidRDefault="00E50482" w14:paraId="2F1A653D" w14:textId="28DD8AF5">
          <w:pPr>
            <w:pStyle w:val="TOC2"/>
            <w:tabs>
              <w:tab w:val="right" w:leader="dot" w:pos="9015"/>
            </w:tabs>
            <w:rPr>
              <w:noProof/>
            </w:rPr>
          </w:pPr>
          <w:hyperlink w:anchor="_Toc1077444235">
            <w:r w:rsidRPr="0B3F78A0" w:rsidR="0B3F78A0">
              <w:rPr>
                <w:rStyle w:val="Hyperlink"/>
              </w:rPr>
              <w:t>Comparison</w:t>
            </w:r>
            <w:r>
              <w:tab/>
            </w:r>
            <w:r>
              <w:fldChar w:fldCharType="begin"/>
            </w:r>
            <w:r>
              <w:instrText xml:space="preserve">PAGEREF _Toc1077444235 \h</w:instrText>
            </w:r>
            <w:r>
              <w:fldChar w:fldCharType="separate"/>
            </w:r>
            <w:r w:rsidRPr="0B3F78A0" w:rsidR="0B3F78A0">
              <w:rPr>
                <w:rStyle w:val="Hyperlink"/>
              </w:rPr>
              <w:t>5</w:t>
            </w:r>
            <w:r>
              <w:fldChar w:fldCharType="end"/>
            </w:r>
          </w:hyperlink>
        </w:p>
        <w:p w:rsidR="00E50482" w:rsidP="0B3F78A0" w:rsidRDefault="00E50482" w14:paraId="22AA965A" w14:textId="6EBCF651">
          <w:pPr>
            <w:pStyle w:val="TOC2"/>
            <w:tabs>
              <w:tab w:val="right" w:leader="dot" w:pos="9015"/>
            </w:tabs>
            <w:rPr>
              <w:noProof/>
            </w:rPr>
          </w:pPr>
          <w:hyperlink w:anchor="_Toc217987238">
            <w:r w:rsidRPr="0B3F78A0" w:rsidR="0B3F78A0">
              <w:rPr>
                <w:rStyle w:val="Hyperlink"/>
              </w:rPr>
              <w:t>Improvements</w:t>
            </w:r>
            <w:r>
              <w:tab/>
            </w:r>
            <w:r>
              <w:fldChar w:fldCharType="begin"/>
            </w:r>
            <w:r>
              <w:instrText xml:space="preserve">PAGEREF _Toc217987238 \h</w:instrText>
            </w:r>
            <w:r>
              <w:fldChar w:fldCharType="separate"/>
            </w:r>
            <w:r w:rsidRPr="0B3F78A0" w:rsidR="0B3F78A0">
              <w:rPr>
                <w:rStyle w:val="Hyperlink"/>
              </w:rPr>
              <w:t>5</w:t>
            </w:r>
            <w:r>
              <w:fldChar w:fldCharType="end"/>
            </w:r>
          </w:hyperlink>
        </w:p>
        <w:p w:rsidR="00E50482" w:rsidP="0B3F78A0" w:rsidRDefault="00E50482" w14:paraId="0556AF39" w14:textId="4B377AE9">
          <w:pPr>
            <w:pStyle w:val="TOC1"/>
            <w:tabs>
              <w:tab w:val="right" w:leader="dot" w:pos="9015"/>
            </w:tabs>
            <w:rPr>
              <w:noProof/>
            </w:rPr>
          </w:pPr>
          <w:hyperlink w:anchor="_Toc513026510">
            <w:r w:rsidRPr="0B3F78A0" w:rsidR="0B3F78A0">
              <w:rPr>
                <w:rStyle w:val="Hyperlink"/>
              </w:rPr>
              <w:t>Evaluation Strategy</w:t>
            </w:r>
            <w:r>
              <w:tab/>
            </w:r>
            <w:r>
              <w:fldChar w:fldCharType="begin"/>
            </w:r>
            <w:r>
              <w:instrText xml:space="preserve">PAGEREF _Toc513026510 \h</w:instrText>
            </w:r>
            <w:r>
              <w:fldChar w:fldCharType="separate"/>
            </w:r>
            <w:r w:rsidRPr="0B3F78A0" w:rsidR="0B3F78A0">
              <w:rPr>
                <w:rStyle w:val="Hyperlink"/>
              </w:rPr>
              <w:t>5</w:t>
            </w:r>
            <w:r>
              <w:fldChar w:fldCharType="end"/>
            </w:r>
          </w:hyperlink>
        </w:p>
        <w:p w:rsidR="00E50482" w:rsidP="0B3F78A0" w:rsidRDefault="00E50482" w14:paraId="698CDDD8" w14:textId="5042533F">
          <w:pPr>
            <w:pStyle w:val="TOC1"/>
            <w:tabs>
              <w:tab w:val="right" w:leader="dot" w:pos="9015"/>
            </w:tabs>
            <w:rPr>
              <w:noProof/>
            </w:rPr>
          </w:pPr>
          <w:hyperlink w:anchor="_Toc1458670956">
            <w:r w:rsidRPr="0B3F78A0" w:rsidR="0B3F78A0">
              <w:rPr>
                <w:rStyle w:val="Hyperlink"/>
              </w:rPr>
              <w:t>Guidelines and Accessibility</w:t>
            </w:r>
            <w:r>
              <w:tab/>
            </w:r>
            <w:r>
              <w:fldChar w:fldCharType="begin"/>
            </w:r>
            <w:r>
              <w:instrText xml:space="preserve">PAGEREF _Toc1458670956 \h</w:instrText>
            </w:r>
            <w:r>
              <w:fldChar w:fldCharType="separate"/>
            </w:r>
            <w:r w:rsidRPr="0B3F78A0" w:rsidR="0B3F78A0">
              <w:rPr>
                <w:rStyle w:val="Hyperlink"/>
              </w:rPr>
              <w:t>7</w:t>
            </w:r>
            <w:r>
              <w:fldChar w:fldCharType="end"/>
            </w:r>
          </w:hyperlink>
        </w:p>
        <w:p w:rsidR="00E50482" w:rsidP="0B3F78A0" w:rsidRDefault="00E50482" w14:paraId="5C2793E3" w14:textId="30CB0899">
          <w:pPr>
            <w:pStyle w:val="TOC1"/>
            <w:tabs>
              <w:tab w:val="right" w:leader="dot" w:pos="9015"/>
            </w:tabs>
            <w:rPr>
              <w:noProof/>
            </w:rPr>
          </w:pPr>
          <w:hyperlink w:anchor="_Toc588276001">
            <w:r w:rsidRPr="0B3F78A0" w:rsidR="0B3F78A0">
              <w:rPr>
                <w:rStyle w:val="Hyperlink"/>
              </w:rPr>
              <w:t>Reference list</w:t>
            </w:r>
            <w:r>
              <w:tab/>
            </w:r>
            <w:r>
              <w:fldChar w:fldCharType="begin"/>
            </w:r>
            <w:r>
              <w:instrText xml:space="preserve">PAGEREF _Toc588276001 \h</w:instrText>
            </w:r>
            <w:r>
              <w:fldChar w:fldCharType="separate"/>
            </w:r>
            <w:r w:rsidRPr="0B3F78A0" w:rsidR="0B3F78A0">
              <w:rPr>
                <w:rStyle w:val="Hyperlink"/>
              </w:rPr>
              <w:t>7</w:t>
            </w:r>
            <w:r>
              <w:fldChar w:fldCharType="end"/>
            </w:r>
          </w:hyperlink>
          <w:r>
            <w:fldChar w:fldCharType="end"/>
          </w:r>
        </w:p>
      </w:sdtContent>
    </w:sdt>
    <w:p w:rsidR="00E50482" w:rsidRDefault="00E50482" w14:paraId="20CC6B49" w14:textId="79FECB50" w14:noSpellErr="1"/>
    <w:p w:rsidR="00E50482" w:rsidRDefault="00E50482" w14:paraId="330D316A" w14:textId="2B55D571">
      <w:r>
        <w:br w:type="page"/>
      </w:r>
    </w:p>
    <w:p w:rsidRPr="00E50482" w:rsidR="07E1D8F9" w:rsidP="00E50482" w:rsidRDefault="6A4900CB" w14:paraId="7A8CC1AA" w14:textId="3C44B62A">
      <w:r w:rsidRPr="6A4900CB">
        <w:rPr>
          <w:rFonts w:ascii="Calibri Light" w:hAnsi="Calibri Light"/>
          <w:color w:val="2F5496" w:themeColor="accent1" w:themeShade="BF"/>
          <w:sz w:val="32"/>
          <w:szCs w:val="32"/>
        </w:rPr>
        <w:lastRenderedPageBreak/>
        <w:t>Carvana</w:t>
      </w:r>
    </w:p>
    <w:p w:rsidR="07E1D8F9" w:rsidP="6A4900CB" w:rsidRDefault="6A4900CB" w14:paraId="0C695B7E" w14:textId="4E7D9881">
      <w:pPr>
        <w:rPr>
          <w:vertAlign w:val="superscript"/>
        </w:rPr>
      </w:pPr>
      <w:bookmarkStart w:name="_Int_WLZ2lorx" w:id="0"/>
      <w:r w:rsidRPr="6A4900CB">
        <w:t xml:space="preserve">The Carvana service is used to particularly provide a pretty retail service for used-cars while being online-only and in-person collection. The online service design allows for information regarding pricing, repair, and interior and open-door viewing in a subtle way. The on-site location includes a car dispensary with which a </w:t>
      </w:r>
      <w:proofErr w:type="gramStart"/>
      <w:r w:rsidRPr="6A4900CB">
        <w:t>really</w:t>
      </w:r>
      <w:proofErr w:type="gramEnd"/>
      <w:r w:rsidRPr="6A4900CB">
        <w:t xml:space="preserve"> token is inserted to collect the car for a test drive, then if the car basically is desired and with proper paperwork and registration the car can for all intents and purposes be taken that day with a fairly few of the registration and other processes being handled by Carvana offering a more automated system of car ownership.</w:t>
      </w:r>
      <w:r w:rsidRPr="6A4900CB">
        <w:rPr>
          <w:vertAlign w:val="superscript"/>
        </w:rPr>
        <w:t>[1][2]</w:t>
      </w:r>
      <w:bookmarkEnd w:id="0"/>
    </w:p>
    <w:p w:rsidR="07E1D8F9" w:rsidP="07E1D8F9" w:rsidRDefault="07E1D8F9" w14:paraId="07B118FB" w14:textId="4C3CF56B">
      <w:r>
        <w:drawing>
          <wp:inline wp14:editId="1160E972" wp14:anchorId="359FE056">
            <wp:extent cx="4005708" cy="2360845"/>
            <wp:effectExtent l="0" t="0" r="0" b="0"/>
            <wp:docPr id="1617376296" name="Picture 1617376296" title=""/>
            <wp:cNvGraphicFramePr>
              <a:graphicFrameLocks noChangeAspect="1"/>
            </wp:cNvGraphicFramePr>
            <a:graphic>
              <a:graphicData uri="http://schemas.openxmlformats.org/drawingml/2006/picture">
                <pic:pic>
                  <pic:nvPicPr>
                    <pic:cNvPr id="0" name="Picture 1617376296"/>
                    <pic:cNvPicPr/>
                  </pic:nvPicPr>
                  <pic:blipFill>
                    <a:blip r:embed="Rca785c09858d456e">
                      <a:extLst xmlns:a="http://schemas.openxmlformats.org/drawingml/2006/main">
                        <a:ext uri="{28A0092B-C50C-407E-A947-70E740481C1C}">
                          <a14:useLocalDpi xmlns:a14="http://schemas.microsoft.com/office/drawing/2010/main" val="0"/>
                        </a:ext>
                      </a:extLst>
                    </a:blip>
                    <a:srcRect l="4081" t="13271" r="5306" b="5864"/>
                    <a:stretch>
                      <a:fillRect/>
                    </a:stretch>
                  </pic:blipFill>
                  <pic:spPr>
                    <a:xfrm rot="0" flipH="0" flipV="0">
                      <a:off x="0" y="0"/>
                      <a:ext cx="4005708" cy="2360845"/>
                    </a:xfrm>
                    <a:prstGeom prst="rect">
                      <a:avLst/>
                    </a:prstGeom>
                  </pic:spPr>
                </pic:pic>
              </a:graphicData>
            </a:graphic>
          </wp:inline>
        </w:drawing>
      </w:r>
    </w:p>
    <w:p w:rsidR="07E1D8F9" w:rsidP="07E1D8F9" w:rsidRDefault="6A4900CB" w14:paraId="2F3EC84D" w14:textId="2FAF9A51" w14:noSpellErr="1">
      <w:pPr>
        <w:pStyle w:val="Heading1"/>
        <w:rPr>
          <w:rFonts w:ascii="Calibri Light" w:hAnsi="Calibri Light"/>
        </w:rPr>
      </w:pPr>
      <w:bookmarkStart w:name="_Toc1768903111" w:id="1914830284"/>
      <w:r w:rsidRPr="0B3F78A0" w:rsidR="0B3F78A0">
        <w:rPr>
          <w:rFonts w:ascii="Calibri Light" w:hAnsi="Calibri Light"/>
        </w:rPr>
        <w:t>Vending Machine</w:t>
      </w:r>
      <w:bookmarkEnd w:id="1914830284"/>
    </w:p>
    <w:p w:rsidR="6A4900CB" w:rsidP="6A4900CB" w:rsidRDefault="6A4900CB" w14:paraId="329966EB" w14:textId="42410C29">
      <w:pPr>
        <w:rPr>
          <w:rFonts w:ascii="Calibri" w:hAnsi="Calibri" w:eastAsia="Calibri" w:cs="Calibri"/>
        </w:rPr>
      </w:pPr>
      <w:bookmarkStart w:name="_Int_FIx9mqjw" w:id="2"/>
      <w:r w:rsidRPr="6A4900CB">
        <w:t>The vending machine interface really has a button displayed above the input section saying press to mostly start after which audio of instructions are provided stating to select pretty your option. After inputting the number and letters of the drink which has no audio it states to confirm with payment with a symbol of a Wi-Fi symbol of 4 bars going from small to large which is aimed to signify contactless payment while a coin slot and kind of receival also available in a subtle way.</w:t>
      </w:r>
      <w:bookmarkEnd w:id="2"/>
    </w:p>
    <w:p w:rsidR="6A4900CB" w:rsidP="6A4900CB" w:rsidRDefault="6A4900CB" w14:paraId="46827BAD" w14:textId="17014065">
      <w:r>
        <w:drawing>
          <wp:inline wp14:editId="1FC118FB" wp14:anchorId="38D933A8">
            <wp:extent cx="3354944" cy="4171950"/>
            <wp:effectExtent l="0" t="0" r="0" b="0"/>
            <wp:docPr id="35987189" name="Picture 35987189" title=""/>
            <wp:cNvGraphicFramePr>
              <a:graphicFrameLocks noChangeAspect="1"/>
            </wp:cNvGraphicFramePr>
            <a:graphic>
              <a:graphicData uri="http://schemas.openxmlformats.org/drawingml/2006/picture">
                <pic:pic>
                  <pic:nvPicPr>
                    <pic:cNvPr id="0" name="Picture 35987189"/>
                    <pic:cNvPicPr/>
                  </pic:nvPicPr>
                  <pic:blipFill>
                    <a:blip r:embed="R61b75e9e7ec0434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354944" cy="4171950"/>
                    </a:xfrm>
                    <a:prstGeom prst="rect">
                      <a:avLst/>
                    </a:prstGeom>
                  </pic:spPr>
                </pic:pic>
              </a:graphicData>
            </a:graphic>
          </wp:inline>
        </w:drawing>
      </w:r>
    </w:p>
    <w:p w:rsidR="07E1D8F9" w:rsidP="07E1D8F9" w:rsidRDefault="07E1D8F9" w14:paraId="2E848B64" w14:textId="5DD18D7A" w14:noSpellErr="1">
      <w:pPr>
        <w:pStyle w:val="Heading1"/>
        <w:rPr>
          <w:rFonts w:ascii="Calibri Light" w:hAnsi="Calibri Light"/>
        </w:rPr>
      </w:pPr>
      <w:bookmarkStart w:name="_Toc2073697985" w:id="1154573211"/>
      <w:r w:rsidRPr="0B3F78A0" w:rsidR="0B3F78A0">
        <w:rPr>
          <w:rFonts w:ascii="Calibri Light" w:hAnsi="Calibri Light"/>
        </w:rPr>
        <w:t>Comparison of Factors</w:t>
      </w:r>
      <w:bookmarkEnd w:id="1154573211"/>
    </w:p>
    <w:p w:rsidR="07E1D8F9" w:rsidP="07E1D8F9" w:rsidRDefault="07E1D8F9" w14:paraId="23CB854A" w14:textId="4F2EB0C0" w14:noSpellErr="1">
      <w:pPr>
        <w:pStyle w:val="Heading2"/>
        <w:rPr>
          <w:rFonts w:ascii="Calibri Light" w:hAnsi="Calibri Light"/>
        </w:rPr>
      </w:pPr>
      <w:bookmarkStart w:name="_Toc474861126" w:id="968152514"/>
      <w:r w:rsidRPr="0B3F78A0" w:rsidR="0B3F78A0">
        <w:rPr>
          <w:rFonts w:ascii="Calibri Light" w:hAnsi="Calibri Light"/>
        </w:rPr>
        <w:t>Carvana</w:t>
      </w:r>
      <w:r w:rsidRPr="0B3F78A0" w:rsidR="0B3F78A0">
        <w:rPr>
          <w:rFonts w:ascii="Calibri Light" w:hAnsi="Calibri Light"/>
        </w:rPr>
        <w:t xml:space="preserve"> </w:t>
      </w:r>
      <w:bookmarkEnd w:id="968152514"/>
    </w:p>
    <w:p w:rsidR="07E1D8F9" w:rsidP="07E1D8F9" w:rsidRDefault="6A4900CB" w14:paraId="65017172" w14:textId="33C2F0E6">
      <w:r>
        <w:t>The usability design of the system that can be derived for human senses is that, firstly it uses augmented reality to provide 360-degree vision of vehicles to be displayed with interior and door opening features, while this is strictly visual it offers many features of the vehicle to be observed before purchase. The other visual is the use of an I icon next to current price as a metaphor for information which when hovered provides pricing information such as repair and other information relating. Then finally it offers a touch interaction at the last step of the process when collecting where a figurative large coin is used to insert into a machine to collect the car representing the connection between design of the building and collection to traditional vending machines.</w:t>
      </w:r>
      <w:r w:rsidRPr="6A4900CB">
        <w:rPr>
          <w:vertAlign w:val="superscript"/>
        </w:rPr>
        <w:t>[1][2]</w:t>
      </w:r>
    </w:p>
    <w:p w:rsidR="07E1D8F9" w:rsidP="07E1D8F9" w:rsidRDefault="6A4900CB" w14:paraId="14A6206D" w14:textId="0EEB25BA" w14:noSpellErr="1">
      <w:pPr>
        <w:pStyle w:val="Heading2"/>
        <w:rPr>
          <w:rFonts w:ascii="Calibri Light" w:hAnsi="Calibri Light"/>
        </w:rPr>
      </w:pPr>
      <w:bookmarkStart w:name="_Toc1797158557" w:id="1857071992"/>
      <w:r w:rsidRPr="0B3F78A0" w:rsidR="0B3F78A0">
        <w:rPr>
          <w:rFonts w:ascii="Calibri Light" w:hAnsi="Calibri Light"/>
        </w:rPr>
        <w:t>Vending Machine</w:t>
      </w:r>
      <w:bookmarkEnd w:id="1857071992"/>
    </w:p>
    <w:p w:rsidR="6A4900CB" w:rsidP="6A4900CB" w:rsidRDefault="6A4900CB" w14:paraId="3D889AF9" w14:textId="7A95EA64">
      <w:pPr>
        <w:rPr>
          <w:rFonts w:ascii="Calibri" w:hAnsi="Calibri" w:eastAsia="Calibri" w:cs="Calibri"/>
        </w:rPr>
      </w:pPr>
      <w:r w:rsidRPr="6A4900CB">
        <w:t xml:space="preserve">The usability design of the system that can for the most part be derived for human senses literally are that for vision the button that essentially appears on a screen with text that states press to basically start which for the most part is in red circle with pretty white text like a stop sign which for the most part draws attention pretty due to the really red colour which is typically used to for all intents and purposes warn but in this it for the most part is used to gain attention in a sort of major way. Which goes unto a text for input with audio to input the code for the desired item which with every change on the screen indicating the sort of next step in the process. Then unto the Wi-Fi symbol also serves for vision but also metaphor as it is used to kind of indicate the user to use a </w:t>
      </w:r>
      <w:r w:rsidRPr="6A4900CB">
        <w:lastRenderedPageBreak/>
        <w:t>contactless credit card to scan for payment instead of using coins while also serving to kind of indicate the next step of the process. Which after payment it goes unto the last step of collection with an arrow pointing down and audio when the drink for all intents and purposes is delivered to the collection generally stop to generally collect it with the machine opening the area for the drink to be received, which mostly is quite significant. Also, the sort of other factor of touch literally comes naturally to this type of product as to start and input the code it really is required in a major way.</w:t>
      </w:r>
    </w:p>
    <w:p w:rsidR="07E1D8F9" w:rsidP="07E1D8F9" w:rsidRDefault="6A4900CB" w14:paraId="539C5E6A" w14:textId="0A8AC2B6" w14:noSpellErr="1">
      <w:pPr>
        <w:pStyle w:val="Heading2"/>
        <w:rPr>
          <w:rFonts w:ascii="Calibri Light" w:hAnsi="Calibri Light"/>
        </w:rPr>
      </w:pPr>
      <w:bookmarkStart w:name="_Toc1077444235" w:id="509011042"/>
      <w:r w:rsidRPr="0B3F78A0" w:rsidR="0B3F78A0">
        <w:rPr>
          <w:rFonts w:ascii="Calibri Light" w:hAnsi="Calibri Light"/>
        </w:rPr>
        <w:t>Comparison</w:t>
      </w:r>
      <w:bookmarkEnd w:id="509011042"/>
    </w:p>
    <w:p w:rsidR="07E1D8F9" w:rsidP="6A4900CB" w:rsidRDefault="6A4900CB" w14:paraId="43E18137" w14:textId="4D5F527C">
      <w:bookmarkStart w:name="_Int_buPyNYOj" w:id="7"/>
      <w:r w:rsidRPr="6A4900CB">
        <w:t xml:space="preserve">While the vending machine generally offers the traditional interaction of front end looking of the machine and products, the Carvana visual design really is much more innovative and serves a sort of great applicable affect for the product where people can look at basically every feature of the product beforehand unlike in the vending machine where it kind of focuses on the memory experience sort of more upon what dictates what it will kind of be like, which particularly is quite significant. Then as it </w:t>
      </w:r>
      <w:proofErr w:type="gramStart"/>
      <w:r w:rsidRPr="6A4900CB">
        <w:t>actually is</w:t>
      </w:r>
      <w:proofErr w:type="gramEnd"/>
      <w:r w:rsidRPr="6A4900CB">
        <w:t xml:space="preserve"> on a website it particularly is expected to for all intents and purposes provide hearing assistance much like how the vending machine also provides hearing assistances after you have started but that would actually be the sort of common factor of both, very audio assistance after starting, which literally is quite significant. Then with touch the vending machine is highly interactive compared to the very other as every action requires the user to input it from cash to ordering the product it all must be done by the user the only action that specifically is not done by the user essentially is moving the product from the display to the user, which for the most part is </w:t>
      </w:r>
      <w:proofErr w:type="gramStart"/>
      <w:r w:rsidRPr="6A4900CB">
        <w:t>fairly significant</w:t>
      </w:r>
      <w:proofErr w:type="gramEnd"/>
      <w:r w:rsidRPr="6A4900CB">
        <w:t xml:space="preserve">. The Carvana also particularly has kind of many touch interactions with clicking on the website but that puts basically physical barrier between </w:t>
      </w:r>
      <w:proofErr w:type="gramStart"/>
      <w:r w:rsidRPr="6A4900CB">
        <w:t>end product</w:t>
      </w:r>
      <w:proofErr w:type="gramEnd"/>
      <w:r w:rsidRPr="6A4900CB">
        <w:t xml:space="preserve"> and the user as it generally is almost entirely online in a major way. The user of metaphors in the Carvana help bridge the gap between the digital and particularly physical experience by representation with the coin that goes into the car vending machine to help users go from digital to kind of physical and understand what the process kind of is like, or so they specifically thought. While the vending machine has no easily identifiable metaphors that can be essentially actually found. The coin into the machine design is also an affordance for both Carvana and the vending machine, however it specifically is </w:t>
      </w:r>
      <w:proofErr w:type="gramStart"/>
      <w:r w:rsidRPr="6A4900CB">
        <w:t>fairly more</w:t>
      </w:r>
      <w:proofErr w:type="gramEnd"/>
      <w:r w:rsidRPr="6A4900CB">
        <w:t xml:space="preserve"> prominent upon the Carvana design. The Carvana design has an overly really large coin with which it comes naturally to actually put it in the fairly big coin specifically sized hole that kind of is near the user while the vending machine for the most part has a hole basically much smaller and a screen for card scanning which can also essentially be inserted offering two holes to use instead of the one which can essentially derive from the intended purpose.</w:t>
      </w:r>
      <w:r w:rsidRPr="6A4900CB">
        <w:rPr>
          <w:vertAlign w:val="superscript"/>
        </w:rPr>
        <w:t>[4][5]</w:t>
      </w:r>
      <w:bookmarkEnd w:id="7"/>
    </w:p>
    <w:p w:rsidR="07E1D8F9" w:rsidP="07E1D8F9" w:rsidRDefault="6A4900CB" w14:paraId="2F4BF74F" w14:textId="03BB39A1" w14:noSpellErr="1">
      <w:pPr>
        <w:pStyle w:val="Heading2"/>
        <w:rPr>
          <w:rFonts w:ascii="Calibri Light" w:hAnsi="Calibri Light"/>
        </w:rPr>
      </w:pPr>
      <w:bookmarkStart w:name="_Toc217987238" w:id="1959165388"/>
      <w:r w:rsidRPr="0B3F78A0" w:rsidR="0B3F78A0">
        <w:rPr>
          <w:rFonts w:ascii="Calibri Light" w:hAnsi="Calibri Light"/>
        </w:rPr>
        <w:t>Improvements</w:t>
      </w:r>
      <w:bookmarkEnd w:id="1959165388"/>
    </w:p>
    <w:p w:rsidR="6A4900CB" w:rsidP="6A4900CB" w:rsidRDefault="6A4900CB" w14:paraId="22A5E213" w14:textId="6C802597">
      <w:pPr>
        <w:rPr>
          <w:rFonts w:ascii="Calibri" w:hAnsi="Calibri" w:eastAsia="Calibri" w:cs="Calibri"/>
        </w:rPr>
      </w:pPr>
      <w:r w:rsidRPr="6A4900CB">
        <w:t xml:space="preserve">The product with the lesser design is the vending machine and then the improvements must be talked about in a subtle way. The first one is that an audio indication for where to really put the money or scan card may be useful for visually impaired people and that a kind of audio </w:t>
      </w:r>
      <w:proofErr w:type="gramStart"/>
      <w:r w:rsidRPr="6A4900CB">
        <w:t>definitely interval</w:t>
      </w:r>
      <w:proofErr w:type="gramEnd"/>
      <w:r w:rsidRPr="6A4900CB">
        <w:t xml:space="preserve"> for beginning also may definitely be useful for letting individuals know. Then although it has the ability for card and cashless systems in place there is no indication for the card scan except for touchless scan with the card an indication for this method would also be useful and in addition a method for paper cash would </w:t>
      </w:r>
      <w:proofErr w:type="gramStart"/>
      <w:r w:rsidRPr="6A4900CB">
        <w:t>definitely be</w:t>
      </w:r>
      <w:proofErr w:type="gramEnd"/>
      <w:r w:rsidRPr="6A4900CB">
        <w:t xml:space="preserve"> useful as there really is no method for that, which is fairly significant. The touch can also mostly be improved with a design </w:t>
      </w:r>
      <w:proofErr w:type="gramStart"/>
      <w:r w:rsidRPr="6A4900CB">
        <w:t>similar to</w:t>
      </w:r>
      <w:proofErr w:type="gramEnd"/>
      <w:r w:rsidRPr="6A4900CB">
        <w:t xml:space="preserve"> a fast-food kiosk machine but for vending machines in which a display with audio cues lets you scroll through items with highly reliant touch interactions and touch and pay through it. Then as well as the payment method essentially is on the right-hand side being centred mass makes it </w:t>
      </w:r>
      <w:proofErr w:type="gramStart"/>
      <w:r w:rsidRPr="6A4900CB">
        <w:t>fairly easier</w:t>
      </w:r>
      <w:proofErr w:type="gramEnd"/>
      <w:r w:rsidRPr="6A4900CB">
        <w:t xml:space="preserve"> to instantly recognise as you look from the centre outwards, or so they particularly thought.</w:t>
      </w:r>
    </w:p>
    <w:p w:rsidR="6A4900CB" w:rsidP="6A4900CB" w:rsidRDefault="6A4900CB" w14:paraId="15AF3FC9" w14:textId="5CA33F3E" w14:noSpellErr="1">
      <w:pPr>
        <w:pStyle w:val="Heading1"/>
        <w:rPr>
          <w:rFonts w:ascii="Calibri Light" w:hAnsi="Calibri Light"/>
        </w:rPr>
      </w:pPr>
      <w:bookmarkStart w:name="_Toc513026510" w:id="2119964456"/>
      <w:r w:rsidRPr="0B3F78A0" w:rsidR="0B3F78A0">
        <w:rPr>
          <w:rFonts w:ascii="Calibri Light" w:hAnsi="Calibri Light"/>
        </w:rPr>
        <w:t>Evaluation Strategy</w:t>
      </w:r>
      <w:bookmarkEnd w:id="2119964456"/>
    </w:p>
    <w:p w:rsidR="6A4900CB" w:rsidP="6A4900CB" w:rsidRDefault="6A4900CB" w14:paraId="6A2AD017" w14:textId="264344C0">
      <w:pPr>
        <w:rPr>
          <w:rFonts w:ascii="Calibri" w:hAnsi="Calibri" w:eastAsia="Calibri" w:cs="Calibri"/>
        </w:rPr>
      </w:pPr>
      <w:r>
        <w:t>The evaluation strategy is based upon the work specified by the Berkely institute where it states the following steps:</w:t>
      </w:r>
      <w:r w:rsidRPr="6A4900CB">
        <w:rPr>
          <w:rFonts w:ascii="Calibri" w:hAnsi="Calibri" w:eastAsia="Calibri" w:cs="Calibri"/>
          <w:vertAlign w:val="superscript"/>
        </w:rPr>
        <w:t xml:space="preserve"> [3]</w:t>
      </w:r>
    </w:p>
    <w:p w:rsidR="6A4900CB" w:rsidP="6A4900CB" w:rsidRDefault="6A4900CB" w14:paraId="350F8B7B" w14:textId="3BD1D163">
      <w:pPr>
        <w:pStyle w:val="ListParagraph"/>
        <w:numPr>
          <w:ilvl w:val="0"/>
          <w:numId w:val="1"/>
        </w:numPr>
        <w:rPr>
          <w:rFonts w:eastAsiaTheme="minorEastAsia"/>
        </w:rPr>
      </w:pPr>
      <w:r w:rsidRPr="6A4900CB">
        <w:rPr>
          <w:rFonts w:ascii="Calibri" w:hAnsi="Calibri" w:eastAsia="Calibri" w:cs="Calibri"/>
        </w:rPr>
        <w:t xml:space="preserve">Specify usability evaluation goals. </w:t>
      </w:r>
    </w:p>
    <w:p w:rsidR="6A4900CB" w:rsidP="6A4900CB" w:rsidRDefault="6A4900CB" w14:paraId="5D650679" w14:textId="45F3E63A">
      <w:pPr>
        <w:pStyle w:val="ListParagraph"/>
        <w:numPr>
          <w:ilvl w:val="0"/>
          <w:numId w:val="1"/>
        </w:numPr>
        <w:rPr>
          <w:rFonts w:eastAsiaTheme="minorEastAsia"/>
        </w:rPr>
      </w:pPr>
      <w:r w:rsidRPr="6A4900CB">
        <w:rPr>
          <w:rFonts w:ascii="Calibri" w:hAnsi="Calibri" w:eastAsia="Calibri" w:cs="Calibri"/>
        </w:rPr>
        <w:t>Determine UI aspects to evaluate.</w:t>
      </w:r>
    </w:p>
    <w:p w:rsidR="6A4900CB" w:rsidP="6A4900CB" w:rsidRDefault="6A4900CB" w14:paraId="3C75B0F4" w14:textId="25BC8570">
      <w:pPr>
        <w:pStyle w:val="ListParagraph"/>
        <w:numPr>
          <w:ilvl w:val="0"/>
          <w:numId w:val="1"/>
        </w:numPr>
      </w:pPr>
      <w:r w:rsidRPr="6A4900CB">
        <w:rPr>
          <w:rFonts w:ascii="Calibri" w:hAnsi="Calibri" w:eastAsia="Calibri" w:cs="Calibri"/>
        </w:rPr>
        <w:t>Identify target users.</w:t>
      </w:r>
    </w:p>
    <w:p w:rsidR="6A4900CB" w:rsidP="6A4900CB" w:rsidRDefault="6A4900CB" w14:paraId="6EB42855" w14:textId="14F21573">
      <w:pPr>
        <w:pStyle w:val="ListParagraph"/>
        <w:numPr>
          <w:ilvl w:val="0"/>
          <w:numId w:val="1"/>
        </w:numPr>
      </w:pPr>
      <w:r w:rsidRPr="6A4900CB">
        <w:rPr>
          <w:rFonts w:ascii="Calibri" w:hAnsi="Calibri" w:eastAsia="Calibri" w:cs="Calibri"/>
        </w:rPr>
        <w:t>Select usability metrics.</w:t>
      </w:r>
    </w:p>
    <w:p w:rsidR="6A4900CB" w:rsidP="6A4900CB" w:rsidRDefault="6A4900CB" w14:paraId="2BFB36B3" w14:textId="2C4F5313">
      <w:pPr>
        <w:pStyle w:val="ListParagraph"/>
        <w:numPr>
          <w:ilvl w:val="0"/>
          <w:numId w:val="1"/>
        </w:numPr>
      </w:pPr>
      <w:r w:rsidRPr="6A4900CB">
        <w:rPr>
          <w:rFonts w:ascii="Calibri" w:hAnsi="Calibri" w:eastAsia="Calibri" w:cs="Calibri"/>
        </w:rPr>
        <w:t>Select evaluation method.</w:t>
      </w:r>
    </w:p>
    <w:p w:rsidR="6A4900CB" w:rsidP="6A4900CB" w:rsidRDefault="6A4900CB" w14:paraId="0E24D5F5" w14:textId="39BC7C24">
      <w:pPr>
        <w:pStyle w:val="ListParagraph"/>
        <w:numPr>
          <w:ilvl w:val="0"/>
          <w:numId w:val="1"/>
        </w:numPr>
      </w:pPr>
      <w:r w:rsidRPr="6A4900CB">
        <w:rPr>
          <w:rFonts w:ascii="Calibri" w:hAnsi="Calibri" w:eastAsia="Calibri" w:cs="Calibri"/>
        </w:rPr>
        <w:t>Select tasks.</w:t>
      </w:r>
    </w:p>
    <w:p w:rsidR="6A4900CB" w:rsidP="6A4900CB" w:rsidRDefault="6A4900CB" w14:paraId="7F48A302" w14:textId="7AC1458F">
      <w:pPr>
        <w:pStyle w:val="ListParagraph"/>
        <w:numPr>
          <w:ilvl w:val="0"/>
          <w:numId w:val="1"/>
        </w:numPr>
      </w:pPr>
      <w:r w:rsidRPr="6A4900CB">
        <w:rPr>
          <w:rFonts w:ascii="Calibri" w:hAnsi="Calibri" w:eastAsia="Calibri" w:cs="Calibri"/>
        </w:rPr>
        <w:t>Design experiments.</w:t>
      </w:r>
    </w:p>
    <w:p w:rsidR="6A4900CB" w:rsidP="6A4900CB" w:rsidRDefault="6A4900CB" w14:paraId="688EC687" w14:textId="061DD58C">
      <w:pPr>
        <w:pStyle w:val="ListParagraph"/>
        <w:numPr>
          <w:ilvl w:val="0"/>
          <w:numId w:val="1"/>
        </w:numPr>
      </w:pPr>
      <w:r w:rsidRPr="6A4900CB">
        <w:rPr>
          <w:rFonts w:ascii="Calibri" w:hAnsi="Calibri" w:eastAsia="Calibri" w:cs="Calibri"/>
        </w:rPr>
        <w:t>Capture usability data.</w:t>
      </w:r>
    </w:p>
    <w:p w:rsidR="6A4900CB" w:rsidP="6A4900CB" w:rsidRDefault="6A4900CB" w14:paraId="70B48368" w14:textId="5302B008">
      <w:pPr>
        <w:pStyle w:val="ListParagraph"/>
        <w:numPr>
          <w:ilvl w:val="0"/>
          <w:numId w:val="1"/>
        </w:numPr>
      </w:pPr>
      <w:r w:rsidRPr="6A4900CB">
        <w:rPr>
          <w:rFonts w:ascii="Calibri" w:hAnsi="Calibri" w:eastAsia="Calibri" w:cs="Calibri"/>
        </w:rPr>
        <w:t>Analyse and interpret usability data.</w:t>
      </w:r>
    </w:p>
    <w:p w:rsidR="6A4900CB" w:rsidP="6A4900CB" w:rsidRDefault="6A4900CB" w14:paraId="2B6C7FD1" w14:textId="064AD790">
      <w:pPr>
        <w:pStyle w:val="ListParagraph"/>
        <w:numPr>
          <w:ilvl w:val="0"/>
          <w:numId w:val="1"/>
        </w:numPr>
      </w:pPr>
      <w:r w:rsidRPr="6A4900CB">
        <w:rPr>
          <w:rFonts w:ascii="Calibri" w:hAnsi="Calibri" w:eastAsia="Calibri" w:cs="Calibri"/>
        </w:rPr>
        <w:t>Critique UI to suggest improvements.</w:t>
      </w:r>
    </w:p>
    <w:p w:rsidR="6A4900CB" w:rsidP="6A4900CB" w:rsidRDefault="6A4900CB" w14:paraId="26C8D2AE" w14:textId="04BC4D03">
      <w:pPr>
        <w:pStyle w:val="ListParagraph"/>
        <w:numPr>
          <w:ilvl w:val="0"/>
          <w:numId w:val="1"/>
        </w:numPr>
      </w:pPr>
      <w:r w:rsidRPr="6A4900CB">
        <w:rPr>
          <w:rFonts w:ascii="Calibri" w:hAnsi="Calibri" w:eastAsia="Calibri" w:cs="Calibri"/>
        </w:rPr>
        <w:t>Iterate the process if necessary.</w:t>
      </w:r>
    </w:p>
    <w:p w:rsidR="6A4900CB" w:rsidP="6A4900CB" w:rsidRDefault="6A4900CB" w14:paraId="3BC1B3D8" w14:textId="230C64B4">
      <w:pPr>
        <w:pStyle w:val="ListParagraph"/>
        <w:numPr>
          <w:ilvl w:val="0"/>
          <w:numId w:val="1"/>
        </w:numPr>
      </w:pPr>
      <w:r w:rsidRPr="6A4900CB">
        <w:rPr>
          <w:rFonts w:ascii="Calibri" w:hAnsi="Calibri" w:eastAsia="Calibri" w:cs="Calibri"/>
        </w:rPr>
        <w:t>Present results.</w:t>
      </w:r>
    </w:p>
    <w:p w:rsidR="6A4900CB" w:rsidP="6A4900CB" w:rsidRDefault="6A4900CB" w14:paraId="36A76595" w14:textId="318C7D7E">
      <w:pPr>
        <w:rPr>
          <w:rFonts w:ascii="Calibri" w:hAnsi="Calibri" w:eastAsia="Calibri" w:cs="Calibri"/>
        </w:rPr>
      </w:pPr>
      <w:r w:rsidRPr="6A4900CB">
        <w:t xml:space="preserve">The first one goes over the goals of that they apply at the outset and consist of very such areas as design, implementation and re-design and will consist of actions kind of such as outlining the UI requirements, looking at alternatives and identify problems. </w:t>
      </w:r>
      <w:proofErr w:type="gramStart"/>
      <w:r w:rsidRPr="6A4900CB">
        <w:t>The for</w:t>
      </w:r>
      <w:proofErr w:type="gramEnd"/>
      <w:r w:rsidRPr="6A4900CB">
        <w:t xml:space="preserve"> all intents and purposes second one goes over the UI aspects and the specifics around that that are consistent with the goals of the process. The third one goes over the specific users that would use the UI and what types of groups.</w:t>
      </w:r>
      <w:r w:rsidRPr="6A4900CB">
        <w:rPr>
          <w:vertAlign w:val="superscript"/>
        </w:rPr>
        <w:t xml:space="preserve"> [3]</w:t>
      </w:r>
    </w:p>
    <w:p w:rsidR="6A4900CB" w:rsidP="6A4900CB" w:rsidRDefault="6A4900CB" w14:paraId="0BBC03BE" w14:textId="49D97A7E">
      <w:pPr>
        <w:rPr>
          <w:rFonts w:ascii="Calibri" w:hAnsi="Calibri" w:eastAsia="Calibri" w:cs="Calibri"/>
        </w:rPr>
      </w:pPr>
      <w:r w:rsidRPr="6A4900CB">
        <w:t xml:space="preserve">The fourth one goes over how the UI specifically is measured specifically the metrics, they specify that ISO standard 9241 is an understandable metric to use that goes over effectiveness, </w:t>
      </w:r>
      <w:proofErr w:type="gramStart"/>
      <w:r w:rsidRPr="6A4900CB">
        <w:t>efficiency</w:t>
      </w:r>
      <w:proofErr w:type="gramEnd"/>
      <w:r w:rsidRPr="6A4900CB">
        <w:t xml:space="preserve"> and satisfaction, contrary to popular belief. Where effectiveness is the accuracy and completeness, efficiency assess the resources used in the process in relation to the for all intents and purposes last point and finally satisfaction reflects the discomfort and positive attitudes of using the interface.</w:t>
      </w:r>
      <w:r w:rsidRPr="6A4900CB">
        <w:rPr>
          <w:vertAlign w:val="superscript"/>
        </w:rPr>
        <w:t xml:space="preserve"> [3]</w:t>
      </w:r>
    </w:p>
    <w:p w:rsidR="6A4900CB" w:rsidP="6A4900CB" w:rsidRDefault="6A4900CB" w14:paraId="348B68B9" w14:textId="322651C3">
      <w:pPr>
        <w:rPr>
          <w:rFonts w:ascii="Calibri" w:hAnsi="Calibri" w:eastAsia="Calibri" w:cs="Calibri"/>
        </w:rPr>
      </w:pPr>
      <w:r w:rsidRPr="6A4900CB">
        <w:t xml:space="preserve">The fifth one goes over choosing an evaluation method with five different classes of methods in a major way. These being usability testing, inspection, inquiry, analytical </w:t>
      </w:r>
      <w:proofErr w:type="gramStart"/>
      <w:r w:rsidRPr="6A4900CB">
        <w:t>modelling</w:t>
      </w:r>
      <w:proofErr w:type="gramEnd"/>
      <w:r w:rsidRPr="6A4900CB">
        <w:t xml:space="preserve"> and simulation. The usability testing goes over how the user will use that </w:t>
      </w:r>
      <w:proofErr w:type="gramStart"/>
      <w:r w:rsidRPr="6A4900CB">
        <w:t>really specific</w:t>
      </w:r>
      <w:proofErr w:type="gramEnd"/>
      <w:r w:rsidRPr="6A4900CB">
        <w:t xml:space="preserve"> part and expected input and output and changes that need to generally be made, which is quite significant. The inspection will </w:t>
      </w:r>
      <w:proofErr w:type="gramStart"/>
      <w:r w:rsidRPr="6A4900CB">
        <w:t>actually consist</w:t>
      </w:r>
      <w:proofErr w:type="gramEnd"/>
      <w:r w:rsidRPr="6A4900CB">
        <w:t xml:space="preserve"> of evaluator using a criteria list to identify usability problems in the interface and follows how the user inputs while being observed to document it, which mostly is fairly significant. The inquiry follows the methods of surveys, interviews, </w:t>
      </w:r>
      <w:proofErr w:type="gramStart"/>
      <w:r w:rsidRPr="6A4900CB">
        <w:t>questionnaires</w:t>
      </w:r>
      <w:proofErr w:type="gramEnd"/>
      <w:r w:rsidRPr="6A4900CB">
        <w:t xml:space="preserve"> and similar methods to gather subjective input from participants. The analytical modelling and simulations are more technical approaches to user experience with which it is used to essentially predict user inputs instead of using them to for the most part determine how they </w:t>
      </w:r>
      <w:proofErr w:type="gramStart"/>
      <w:r w:rsidRPr="6A4900CB">
        <w:t>actually interact</w:t>
      </w:r>
      <w:proofErr w:type="gramEnd"/>
      <w:r w:rsidRPr="6A4900CB">
        <w:t xml:space="preserve"> with the design. The sixth one goes over the selection of tasks to be completed in constraint against the target users and evaluation method. The seventh one goes over the potential need for design experiments to collect usability data in which the evaluator decides on participants, procedure, </w:t>
      </w:r>
      <w:proofErr w:type="gramStart"/>
      <w:r w:rsidRPr="6A4900CB">
        <w:t>environment</w:t>
      </w:r>
      <w:proofErr w:type="gramEnd"/>
      <w:r w:rsidRPr="6A4900CB">
        <w:t xml:space="preserve"> and setup. This is so that the information regarding the evaluation method may be collected. The eighth one goes over the evaluator using the method to record metrics and any problems encountered. The ninth one goes over the analysis of the results and interpretation of results with what meaningful information may be gained that can be used to improve the future design or current design. The tenth one goes over the usage of the previous step to illustrate flaws in the UI design and improve upon those designs and then potential re-evaluation to see if they were positive improvements. The </w:t>
      </w:r>
      <w:r w:rsidRPr="6A4900CB">
        <w:lastRenderedPageBreak/>
        <w:t>eleventh one goes over the potential cycle or loop of previous steps to gain added information if changes were made to see how they compare to the previous tests as well as to see if they improve like the previous step. The twelfth one goes over more business side of the process where when it is decided and finalize the results are shown to stakeholders so that they can understand and make opinions upon changes and other factors.</w:t>
      </w:r>
      <w:r w:rsidRPr="6A4900CB">
        <w:rPr>
          <w:vertAlign w:val="superscript"/>
        </w:rPr>
        <w:t>[3]</w:t>
      </w:r>
    </w:p>
    <w:p w:rsidR="6A4900CB" w:rsidP="6A4900CB" w:rsidRDefault="6A4900CB" w14:paraId="34A238AE" w14:textId="15DEDCAE" w14:noSpellErr="1">
      <w:pPr>
        <w:pStyle w:val="Heading1"/>
        <w:rPr>
          <w:rFonts w:ascii="Calibri Light" w:hAnsi="Calibri Light"/>
        </w:rPr>
      </w:pPr>
      <w:bookmarkStart w:name="_Toc1458670956" w:id="1705266074"/>
      <w:r w:rsidRPr="0B3F78A0" w:rsidR="0B3F78A0">
        <w:rPr>
          <w:rFonts w:ascii="Calibri Light" w:hAnsi="Calibri Light"/>
        </w:rPr>
        <w:t>Guidelines and Accessibility</w:t>
      </w:r>
      <w:bookmarkEnd w:id="1705266074"/>
    </w:p>
    <w:p w:rsidR="6A4900CB" w:rsidP="6A4900CB" w:rsidRDefault="6A4900CB" w14:paraId="744AACD9" w14:textId="14891C68">
      <w:r w:rsidRPr="6A4900CB">
        <w:t xml:space="preserve">The guideline that has been selected are Alan Dix’s design process. Which covers several steps that really are allow for interpretation, provide visibility, expose intentions, support not control, configuration, sharing and learning from application. Then in order of appearance, the first allows for the user to interpret how something may be used. This may come in the form of a payment method on websites that try and validate credit card numbers and if incorrect does not allow the user to proceed same can be done for the vending machine. This mostly is so that the user always provides the correct information, where some parts of the system are open for the user to determine how to use which may specifically provide more interactivity with the system. The second point is the regarding visibility and its means to provide more information about the state of the system than the is expected from the user such as a strength </w:t>
      </w:r>
      <w:r>
        <w:t xml:space="preserve">indication for Wi-Fi and it serves to allow the user to better themselves in relation to the using the product. The third point regards intentions and user interaction, user may not always interact the same way on every time they use or vary from user to user. This serves to minimise the variation in usage and ensure that the users can consistently use the product correctly and similarly as to ensure that they do not spend extended periods of time trying to get something through the wrong methods of approach. The fourth regards balancing automation and user needs, which is the balance between designer control and user control. </w:t>
      </w:r>
      <w:r w:rsidRPr="6A4900CB">
        <w:t xml:space="preserve">This </w:t>
      </w:r>
      <w:proofErr w:type="gramStart"/>
      <w:r w:rsidRPr="6A4900CB">
        <w:t>in regards to</w:t>
      </w:r>
      <w:proofErr w:type="gramEnd"/>
      <w:r w:rsidRPr="6A4900CB">
        <w:t xml:space="preserve"> vending machines mean that the control is almost entirely with the machine, the product and the output is controlled by the machine and the user inputs the code for the product and pays providing a loop for the user which makes them basically feel like they basically are in control when they are not. The fifth regards configuration and in this aspect there is little to no configuration except the ability of payment and what option they want from the vending machine, the options in inside are controlled but the user has the ability to decide which one they kind of want and with payment there kind of is usually multiple payment methods such as card and coin which offers the ability for additional modification such as paper based currencies to be included. </w:t>
      </w:r>
      <w:r>
        <w:t xml:space="preserve">The sixth step regards the ability for users to appropriate the design and then share that with the community, the design of the vending machine is not new but can be improved upon by aspects I have </w:t>
      </w:r>
      <w:proofErr w:type="gramStart"/>
      <w:r>
        <w:t>covered</w:t>
      </w:r>
      <w:proofErr w:type="gramEnd"/>
      <w:r>
        <w:t xml:space="preserve"> and any the user may invent which allows for the development ideas to arise in communities of users. The final step is to learn from appropriation in which the designs that appropriated in the previous step are used and looked at to </w:t>
      </w:r>
      <w:proofErr w:type="spellStart"/>
      <w:proofErr w:type="gramStart"/>
      <w:r>
        <w:t>improved</w:t>
      </w:r>
      <w:proofErr w:type="spellEnd"/>
      <w:proofErr w:type="gramEnd"/>
      <w:r>
        <w:t xml:space="preserve"> the current design using the communities' suggestions and testing if they work to improve how the system works or if it increases intractability.</w:t>
      </w:r>
      <w:r w:rsidRPr="6A4900CB">
        <w:rPr>
          <w:vertAlign w:val="superscript"/>
        </w:rPr>
        <w:t>[6][7]</w:t>
      </w:r>
    </w:p>
    <w:p w:rsidR="07E1D8F9" w:rsidRDefault="07E1D8F9" w14:paraId="4E89FF18" w14:textId="08D57FA2">
      <w:r>
        <w:br w:type="page"/>
      </w:r>
    </w:p>
    <w:p w:rsidR="07E1D8F9" w:rsidP="07E1D8F9" w:rsidRDefault="6A4900CB" w14:paraId="32AD137F" w14:textId="773EBF28" w14:noSpellErr="1">
      <w:pPr>
        <w:pStyle w:val="Heading1"/>
        <w:rPr>
          <w:rFonts w:ascii="Calibri Light" w:hAnsi="Calibri Light"/>
        </w:rPr>
      </w:pPr>
      <w:bookmarkStart w:name="_Toc588276001" w:id="1470555170"/>
      <w:r w:rsidRPr="0B3F78A0" w:rsidR="0B3F78A0">
        <w:rPr>
          <w:rFonts w:ascii="Calibri Light" w:hAnsi="Calibri Light"/>
        </w:rPr>
        <w:t>Reference list</w:t>
      </w:r>
      <w:bookmarkEnd w:id="1470555170"/>
    </w:p>
    <w:p w:rsidR="6A4900CB" w:rsidP="6A4900CB" w:rsidRDefault="6A4900CB" w14:paraId="37FE880C" w14:textId="475E0565">
      <w:pPr>
        <w:pStyle w:val="ListParagraph"/>
        <w:numPr>
          <w:ilvl w:val="0"/>
          <w:numId w:val="2"/>
        </w:numPr>
        <w:rPr>
          <w:rFonts w:eastAsiaTheme="minorEastAsia"/>
        </w:rPr>
      </w:pPr>
      <w:r w:rsidRPr="6A4900CB">
        <w:rPr>
          <w:rFonts w:ascii="Open Sans" w:hAnsi="Open Sans" w:eastAsia="Open Sans" w:cs="Open Sans"/>
          <w:color w:val="000000" w:themeColor="text1"/>
          <w:sz w:val="19"/>
          <w:szCs w:val="19"/>
        </w:rPr>
        <w:t xml:space="preserve">Huddleston, T., 2019. </w:t>
      </w:r>
      <w:r w:rsidRPr="6A4900CB">
        <w:rPr>
          <w:rFonts w:ascii="Open Sans" w:hAnsi="Open Sans" w:eastAsia="Open Sans" w:cs="Open Sans"/>
          <w:i/>
          <w:iCs/>
          <w:color w:val="000000" w:themeColor="text1"/>
          <w:sz w:val="19"/>
          <w:szCs w:val="19"/>
        </w:rPr>
        <w:t>Mark Cuban says this is Shark Tank’s ‘No. 1 success story’ after start-up sells for $22 million</w:t>
      </w:r>
      <w:r w:rsidRPr="6A4900CB">
        <w:rPr>
          <w:rFonts w:ascii="Open Sans" w:hAnsi="Open Sans" w:eastAsia="Open Sans" w:cs="Open Sans"/>
          <w:color w:val="000000" w:themeColor="text1"/>
          <w:sz w:val="19"/>
          <w:szCs w:val="19"/>
        </w:rPr>
        <w:t>. [online] CNBC. Available at: &lt;https://www.cnbc.com/2018/11/01/car360-founder-went-from-shark-tank-to-a-22-million-sale-to-carvana.html&gt; [Accessed 19 May 2022].</w:t>
      </w:r>
    </w:p>
    <w:p w:rsidR="6A4900CB" w:rsidP="6A4900CB" w:rsidRDefault="6A4900CB" w14:paraId="5F8207C7" w14:textId="440D3008">
      <w:pPr>
        <w:pStyle w:val="ListParagraph"/>
        <w:numPr>
          <w:ilvl w:val="0"/>
          <w:numId w:val="2"/>
        </w:numPr>
        <w:rPr>
          <w:rFonts w:eastAsiaTheme="minorEastAsia"/>
        </w:rPr>
      </w:pPr>
      <w:r w:rsidRPr="6A4900CB">
        <w:rPr>
          <w:rFonts w:ascii="Open Sans" w:hAnsi="Open Sans" w:eastAsia="Open Sans" w:cs="Open Sans"/>
          <w:color w:val="000000" w:themeColor="text1"/>
          <w:sz w:val="19"/>
          <w:szCs w:val="19"/>
        </w:rPr>
        <w:t xml:space="preserve">Car and Driver. 2022. </w:t>
      </w:r>
      <w:r w:rsidRPr="6A4900CB">
        <w:rPr>
          <w:rFonts w:ascii="Open Sans" w:hAnsi="Open Sans" w:eastAsia="Open Sans" w:cs="Open Sans"/>
          <w:i/>
          <w:iCs/>
          <w:color w:val="000000" w:themeColor="text1"/>
          <w:sz w:val="19"/>
          <w:szCs w:val="19"/>
        </w:rPr>
        <w:t xml:space="preserve">How Does Carvana </w:t>
      </w:r>
      <w:proofErr w:type="gramStart"/>
      <w:r w:rsidRPr="6A4900CB">
        <w:rPr>
          <w:rFonts w:ascii="Open Sans" w:hAnsi="Open Sans" w:eastAsia="Open Sans" w:cs="Open Sans"/>
          <w:i/>
          <w:iCs/>
          <w:color w:val="000000" w:themeColor="text1"/>
          <w:sz w:val="19"/>
          <w:szCs w:val="19"/>
        </w:rPr>
        <w:t>Work?</w:t>
      </w:r>
      <w:r w:rsidRPr="6A4900CB">
        <w:rPr>
          <w:rFonts w:ascii="Open Sans" w:hAnsi="Open Sans" w:eastAsia="Open Sans" w:cs="Open Sans"/>
          <w:color w:val="000000" w:themeColor="text1"/>
          <w:sz w:val="19"/>
          <w:szCs w:val="19"/>
        </w:rPr>
        <w:t>.</w:t>
      </w:r>
      <w:proofErr w:type="gramEnd"/>
      <w:r w:rsidRPr="6A4900CB">
        <w:rPr>
          <w:rFonts w:ascii="Open Sans" w:hAnsi="Open Sans" w:eastAsia="Open Sans" w:cs="Open Sans"/>
          <w:color w:val="000000" w:themeColor="text1"/>
          <w:sz w:val="19"/>
          <w:szCs w:val="19"/>
        </w:rPr>
        <w:t xml:space="preserve"> [online] Available at: &lt;https://www.caranddriver.com/features/a34061661/how-does-carvana-work/&gt; [Accessed 19 May 2022].</w:t>
      </w:r>
    </w:p>
    <w:p w:rsidR="6A4900CB" w:rsidP="6A4900CB" w:rsidRDefault="6A4900CB" w14:paraId="5B124502" w14:textId="5C7DD3C4">
      <w:pPr>
        <w:pStyle w:val="ListParagraph"/>
        <w:numPr>
          <w:ilvl w:val="0"/>
          <w:numId w:val="2"/>
        </w:numPr>
        <w:rPr>
          <w:rFonts w:eastAsiaTheme="minorEastAsia"/>
        </w:rPr>
      </w:pPr>
      <w:r w:rsidRPr="6A4900CB">
        <w:rPr>
          <w:rFonts w:ascii="Open Sans" w:hAnsi="Open Sans" w:eastAsia="Open Sans" w:cs="Open Sans"/>
          <w:color w:val="000000" w:themeColor="text1"/>
          <w:sz w:val="19"/>
          <w:szCs w:val="19"/>
        </w:rPr>
        <w:t>Webtango.berkeley.edu. 2022. [online] Available at: &lt;https://webtango.berkeley.edu/papers/thesis/chap2.pdf&gt; [Accessed 19 May 2022].</w:t>
      </w:r>
    </w:p>
    <w:p w:rsidR="6A4900CB" w:rsidP="6A4900CB" w:rsidRDefault="6A4900CB" w14:paraId="1333A3AB" w14:textId="7CE73DF4">
      <w:pPr>
        <w:pStyle w:val="ListParagraph"/>
        <w:numPr>
          <w:ilvl w:val="0"/>
          <w:numId w:val="2"/>
        </w:numPr>
        <w:rPr>
          <w:rFonts w:eastAsiaTheme="minorEastAsia"/>
        </w:rPr>
      </w:pPr>
      <w:r w:rsidRPr="6A4900CB">
        <w:rPr>
          <w:rFonts w:ascii="Open Sans" w:hAnsi="Open Sans" w:eastAsia="Open Sans" w:cs="Open Sans"/>
          <w:color w:val="000000" w:themeColor="text1"/>
          <w:sz w:val="19"/>
          <w:szCs w:val="19"/>
        </w:rPr>
        <w:t xml:space="preserve">Joel on Software. 2022. </w:t>
      </w:r>
      <w:r w:rsidRPr="6A4900CB">
        <w:rPr>
          <w:rFonts w:ascii="Open Sans" w:hAnsi="Open Sans" w:eastAsia="Open Sans" w:cs="Open Sans"/>
          <w:i/>
          <w:iCs/>
          <w:color w:val="000000" w:themeColor="text1"/>
          <w:sz w:val="19"/>
          <w:szCs w:val="19"/>
        </w:rPr>
        <w:t>Affordances and Metaphors</w:t>
      </w:r>
      <w:r w:rsidRPr="6A4900CB">
        <w:rPr>
          <w:rFonts w:ascii="Open Sans" w:hAnsi="Open Sans" w:eastAsia="Open Sans" w:cs="Open Sans"/>
          <w:color w:val="000000" w:themeColor="text1"/>
          <w:sz w:val="19"/>
          <w:szCs w:val="19"/>
        </w:rPr>
        <w:t>. [online] Available at: &lt;https://www.joelonsoftware.com/2000/04/18/affordances-and-metaphors/&gt; [Accessed 19 May 2022].</w:t>
      </w:r>
    </w:p>
    <w:p w:rsidR="6A4900CB" w:rsidP="6A4900CB" w:rsidRDefault="6A4900CB" w14:paraId="734B5905" w14:textId="1E289869">
      <w:pPr>
        <w:pStyle w:val="ListParagraph"/>
        <w:numPr>
          <w:ilvl w:val="0"/>
          <w:numId w:val="2"/>
        </w:numPr>
        <w:rPr>
          <w:rFonts w:eastAsiaTheme="minorEastAsia"/>
        </w:rPr>
      </w:pPr>
      <w:r w:rsidRPr="6A4900CB">
        <w:rPr>
          <w:rFonts w:ascii="Open Sans" w:hAnsi="Open Sans" w:eastAsia="Open Sans" w:cs="Open Sans"/>
          <w:color w:val="000000" w:themeColor="text1"/>
          <w:sz w:val="19"/>
          <w:szCs w:val="19"/>
        </w:rPr>
        <w:t xml:space="preserve">Getfeedback.com. 2022. </w:t>
      </w:r>
      <w:r w:rsidRPr="6A4900CB">
        <w:rPr>
          <w:rFonts w:ascii="Open Sans" w:hAnsi="Open Sans" w:eastAsia="Open Sans" w:cs="Open Sans"/>
          <w:i/>
          <w:iCs/>
          <w:color w:val="000000" w:themeColor="text1"/>
          <w:sz w:val="19"/>
          <w:szCs w:val="19"/>
        </w:rPr>
        <w:t>How metaphors can improve your user experience</w:t>
      </w:r>
      <w:r w:rsidRPr="6A4900CB">
        <w:rPr>
          <w:rFonts w:ascii="Open Sans" w:hAnsi="Open Sans" w:eastAsia="Open Sans" w:cs="Open Sans"/>
          <w:color w:val="000000" w:themeColor="text1"/>
          <w:sz w:val="19"/>
          <w:szCs w:val="19"/>
        </w:rPr>
        <w:t>. [online] Available at: &lt;https://www.getfeedback.com/resources/ux/how-metaphors-can-improve-your-user-experience/#:~:text=Metaphors%20can%20be%20used%20to,implementing%20them%20in%20your%20design.&gt; [Accessed 19 May 2022].</w:t>
      </w:r>
    </w:p>
    <w:p w:rsidR="6A4900CB" w:rsidP="6A4900CB" w:rsidRDefault="6A4900CB" w14:paraId="5B54B1D1" w14:textId="0EE84D2E">
      <w:pPr>
        <w:pStyle w:val="ListParagraph"/>
        <w:numPr>
          <w:ilvl w:val="0"/>
          <w:numId w:val="2"/>
        </w:numPr>
        <w:rPr>
          <w:rFonts w:eastAsiaTheme="minorEastAsia"/>
        </w:rPr>
      </w:pPr>
      <w:r w:rsidRPr="6A4900CB">
        <w:rPr>
          <w:rFonts w:ascii="Open Sans" w:hAnsi="Open Sans" w:eastAsia="Open Sans" w:cs="Open Sans"/>
          <w:color w:val="000000" w:themeColor="text1"/>
          <w:sz w:val="19"/>
          <w:szCs w:val="19"/>
        </w:rPr>
        <w:t xml:space="preserve">The Interaction Design Foundation. 2022. </w:t>
      </w:r>
      <w:r w:rsidRPr="6A4900CB">
        <w:rPr>
          <w:rFonts w:ascii="Open Sans" w:hAnsi="Open Sans" w:eastAsia="Open Sans" w:cs="Open Sans"/>
          <w:i/>
          <w:iCs/>
          <w:color w:val="000000" w:themeColor="text1"/>
          <w:sz w:val="19"/>
          <w:szCs w:val="19"/>
        </w:rPr>
        <w:t>Guidelines for Design for Appropriation</w:t>
      </w:r>
      <w:r w:rsidRPr="6A4900CB">
        <w:rPr>
          <w:rFonts w:ascii="Open Sans" w:hAnsi="Open Sans" w:eastAsia="Open Sans" w:cs="Open Sans"/>
          <w:color w:val="000000" w:themeColor="text1"/>
          <w:sz w:val="19"/>
          <w:szCs w:val="19"/>
        </w:rPr>
        <w:t>. [online] Available at: &lt;https://www.interaction-design.org/literature/article/guidelines-for-design-for-appropriation&gt; [Accessed 19 May 2022].</w:t>
      </w:r>
    </w:p>
    <w:p w:rsidR="6A4900CB" w:rsidP="6A4900CB" w:rsidRDefault="6A4900CB" w14:paraId="1EEFE41D" w14:textId="6D64485D">
      <w:pPr>
        <w:pStyle w:val="ListParagraph"/>
        <w:numPr>
          <w:ilvl w:val="0"/>
          <w:numId w:val="2"/>
        </w:numPr>
        <w:rPr>
          <w:rFonts w:eastAsiaTheme="minorEastAsia"/>
        </w:rPr>
      </w:pPr>
      <w:r w:rsidRPr="6A4900CB">
        <w:rPr>
          <w:rFonts w:ascii="Open Sans" w:hAnsi="Open Sans" w:eastAsia="Open Sans" w:cs="Open Sans"/>
          <w:color w:val="000000" w:themeColor="text1"/>
          <w:sz w:val="19"/>
          <w:szCs w:val="19"/>
        </w:rPr>
        <w:t xml:space="preserve">The Interaction Design Foundation. 2022. </w:t>
      </w:r>
      <w:r w:rsidRPr="6A4900CB">
        <w:rPr>
          <w:rFonts w:ascii="Open Sans" w:hAnsi="Open Sans" w:eastAsia="Open Sans" w:cs="Open Sans"/>
          <w:i/>
          <w:iCs/>
          <w:color w:val="000000" w:themeColor="text1"/>
          <w:sz w:val="19"/>
          <w:szCs w:val="19"/>
        </w:rPr>
        <w:t xml:space="preserve">What is Interaction </w:t>
      </w:r>
      <w:proofErr w:type="gramStart"/>
      <w:r w:rsidRPr="6A4900CB">
        <w:rPr>
          <w:rFonts w:ascii="Open Sans" w:hAnsi="Open Sans" w:eastAsia="Open Sans" w:cs="Open Sans"/>
          <w:i/>
          <w:iCs/>
          <w:color w:val="000000" w:themeColor="text1"/>
          <w:sz w:val="19"/>
          <w:szCs w:val="19"/>
        </w:rPr>
        <w:t>Design?</w:t>
      </w:r>
      <w:r w:rsidRPr="6A4900CB">
        <w:rPr>
          <w:rFonts w:ascii="Open Sans" w:hAnsi="Open Sans" w:eastAsia="Open Sans" w:cs="Open Sans"/>
          <w:color w:val="000000" w:themeColor="text1"/>
          <w:sz w:val="19"/>
          <w:szCs w:val="19"/>
        </w:rPr>
        <w:t>.</w:t>
      </w:r>
      <w:proofErr w:type="gramEnd"/>
      <w:r w:rsidRPr="6A4900CB">
        <w:rPr>
          <w:rFonts w:ascii="Open Sans" w:hAnsi="Open Sans" w:eastAsia="Open Sans" w:cs="Open Sans"/>
          <w:color w:val="000000" w:themeColor="text1"/>
          <w:sz w:val="19"/>
          <w:szCs w:val="19"/>
        </w:rPr>
        <w:t xml:space="preserve"> [online] Available at: &lt;https://www.interaction-design.org/literature/topics/interaction-design&gt; [Accessed 19 May 2022].</w:t>
      </w:r>
    </w:p>
    <w:sectPr w:rsidR="6A4900CB">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buPyNYOj" int2:invalidationBookmarkName="" int2:hashCode="LXVw2L+3Y8gQgo" int2:id="yqmVihIr">
      <int2:state int2:value="Rejected" int2:type="WordDesignerDefaultAnnotation"/>
    </int2:bookmark>
    <int2:bookmark int2:bookmarkName="_Int_WLZ2lorx" int2:invalidationBookmarkName="" int2:hashCode="A0xa0C7YN58t5T" int2:id="WQKvbQ8p">
      <int2:state int2:value="Rejected" int2:type="WordDesignerDefaultAnnotation"/>
    </int2:bookmark>
    <int2:bookmark int2:bookmarkName="_Int_FIx9mqjw" int2:invalidationBookmarkName="" int2:hashCode="ETQXSRtaOYoCmq" int2:id="arhifnFh">
      <int2:state int2:value="Rejected" int2:type="WordDesignerDefaultAnnotation"/>
    </int2:bookmark>
    <int2:entireDocument int2:id="nmWszYnO">
      <int2:extLst>
        <oel:ext uri="E302BA01-7950-474C-9AD3-286E660C40A8">
          <int2:similaritySummary int2:version="1" int2:runId="1652987061266" int2:tilesCheckedInThisRun="40" int2:totalNumOfTiles="40" int2:similarityAnnotationCount="0" int2:numWords="1816" int2:numFlaggedWords="0"/>
        </oel:ext>
      </int2:extLst>
    </int2:entireDocument>
  </int2:observations>
  <int2:intelligenceSettings/>
  <int2:onDemandWorkflows>
    <int2:onDemandWorkflow int2:type="SimilarityCheck" int2:paragraphVersions="7A8CC1AA-21116A49 0C695B7E-2B36DF6E 07B118FB-4C3CF56B 2F3EC84D-2FAF9A51 329966EB-42410C29 46827BAD-17014065 2E848B64-5DD18D7A 23CB854A-4F2EB0C0 65017172-33C2F0E6 14A6206D-0EEB25BA 4D9B16D7-0602B434 539C5E6A-0A8AC2B6 43E18137-4D5F527C 2F4BF74F-03BB39A1 22A5E213-7D1BBA1A 15AF3FC9-5CA33F3E 6A2AD017-264344C0 350F8B7B-3BD1D163 5D650679-45F3E63A 3C75B0F4-25BC8570 6EB42855-14F21573 2BFB36B3-2C4F5313 0E24D5F5-39BC7C24 7F48A302-7AC1458F 688EC687-061DD58C 70B48368-5302B008 2B6C7FD1-064AD790 26C8D2AE-04BC4D03 3BC1B3D8-230C64B4 36A76595-5E5EE5A5 0BBC03BE-0D41EA80 348B68B9-42E4576B 34A238AE-15DEDCAE 744AACD9-3AB0145D 4E89FF18-08D57FA2 32AD137F-773EBF28 6EC4029D-3D2B914C 2EB72CCC-09F70BC4 041ECB31-44C1A632 3D847D88-5B20F868 6543A9FE-11947069 5E748CCC-7251242A 3E6B1205-0677B9C2"/>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1509C"/>
    <w:multiLevelType w:val="hybridMultilevel"/>
    <w:tmpl w:val="78C82BBE"/>
    <w:lvl w:ilvl="0" w:tplc="6E0056B4">
      <w:start w:val="1"/>
      <w:numFmt w:val="decimal"/>
      <w:lvlText w:val="%1."/>
      <w:lvlJc w:val="left"/>
      <w:pPr>
        <w:ind w:left="720" w:hanging="360"/>
      </w:pPr>
    </w:lvl>
    <w:lvl w:ilvl="1" w:tplc="9B06D3B2">
      <w:start w:val="1"/>
      <w:numFmt w:val="lowerLetter"/>
      <w:lvlText w:val="%2."/>
      <w:lvlJc w:val="left"/>
      <w:pPr>
        <w:ind w:left="1440" w:hanging="360"/>
      </w:pPr>
    </w:lvl>
    <w:lvl w:ilvl="2" w:tplc="CFD25346">
      <w:start w:val="1"/>
      <w:numFmt w:val="lowerRoman"/>
      <w:lvlText w:val="%3."/>
      <w:lvlJc w:val="right"/>
      <w:pPr>
        <w:ind w:left="2160" w:hanging="180"/>
      </w:pPr>
    </w:lvl>
    <w:lvl w:ilvl="3" w:tplc="04CC8558">
      <w:start w:val="1"/>
      <w:numFmt w:val="decimal"/>
      <w:lvlText w:val="%4."/>
      <w:lvlJc w:val="left"/>
      <w:pPr>
        <w:ind w:left="2880" w:hanging="360"/>
      </w:pPr>
    </w:lvl>
    <w:lvl w:ilvl="4" w:tplc="E3CA60EE">
      <w:start w:val="1"/>
      <w:numFmt w:val="lowerLetter"/>
      <w:lvlText w:val="%5."/>
      <w:lvlJc w:val="left"/>
      <w:pPr>
        <w:ind w:left="3600" w:hanging="360"/>
      </w:pPr>
    </w:lvl>
    <w:lvl w:ilvl="5" w:tplc="F0324F58">
      <w:start w:val="1"/>
      <w:numFmt w:val="lowerRoman"/>
      <w:lvlText w:val="%6."/>
      <w:lvlJc w:val="right"/>
      <w:pPr>
        <w:ind w:left="4320" w:hanging="180"/>
      </w:pPr>
    </w:lvl>
    <w:lvl w:ilvl="6" w:tplc="441411EA">
      <w:start w:val="1"/>
      <w:numFmt w:val="decimal"/>
      <w:lvlText w:val="%7."/>
      <w:lvlJc w:val="left"/>
      <w:pPr>
        <w:ind w:left="5040" w:hanging="360"/>
      </w:pPr>
    </w:lvl>
    <w:lvl w:ilvl="7" w:tplc="A1DE3492">
      <w:start w:val="1"/>
      <w:numFmt w:val="lowerLetter"/>
      <w:lvlText w:val="%8."/>
      <w:lvlJc w:val="left"/>
      <w:pPr>
        <w:ind w:left="5760" w:hanging="360"/>
      </w:pPr>
    </w:lvl>
    <w:lvl w:ilvl="8" w:tplc="153AD6FC">
      <w:start w:val="1"/>
      <w:numFmt w:val="lowerRoman"/>
      <w:lvlText w:val="%9."/>
      <w:lvlJc w:val="right"/>
      <w:pPr>
        <w:ind w:left="6480" w:hanging="180"/>
      </w:pPr>
    </w:lvl>
  </w:abstractNum>
  <w:abstractNum w:abstractNumId="1" w15:restartNumberingAfterBreak="0">
    <w:nsid w:val="562F0511"/>
    <w:multiLevelType w:val="hybridMultilevel"/>
    <w:tmpl w:val="4002197E"/>
    <w:lvl w:ilvl="0" w:tplc="5B22825E">
      <w:start w:val="1"/>
      <w:numFmt w:val="decimal"/>
      <w:lvlText w:val="%1."/>
      <w:lvlJc w:val="left"/>
      <w:pPr>
        <w:ind w:left="720" w:hanging="360"/>
      </w:pPr>
    </w:lvl>
    <w:lvl w:ilvl="1" w:tplc="B9324A3A">
      <w:start w:val="1"/>
      <w:numFmt w:val="lowerLetter"/>
      <w:lvlText w:val="%2."/>
      <w:lvlJc w:val="left"/>
      <w:pPr>
        <w:ind w:left="1440" w:hanging="360"/>
      </w:pPr>
    </w:lvl>
    <w:lvl w:ilvl="2" w:tplc="ECEE048E">
      <w:start w:val="1"/>
      <w:numFmt w:val="lowerRoman"/>
      <w:lvlText w:val="%3."/>
      <w:lvlJc w:val="right"/>
      <w:pPr>
        <w:ind w:left="2160" w:hanging="180"/>
      </w:pPr>
    </w:lvl>
    <w:lvl w:ilvl="3" w:tplc="0FD4AE4E">
      <w:start w:val="1"/>
      <w:numFmt w:val="decimal"/>
      <w:lvlText w:val="%4."/>
      <w:lvlJc w:val="left"/>
      <w:pPr>
        <w:ind w:left="2880" w:hanging="360"/>
      </w:pPr>
    </w:lvl>
    <w:lvl w:ilvl="4" w:tplc="5832E268">
      <w:start w:val="1"/>
      <w:numFmt w:val="lowerLetter"/>
      <w:lvlText w:val="%5."/>
      <w:lvlJc w:val="left"/>
      <w:pPr>
        <w:ind w:left="3600" w:hanging="360"/>
      </w:pPr>
    </w:lvl>
    <w:lvl w:ilvl="5" w:tplc="6DD6266C">
      <w:start w:val="1"/>
      <w:numFmt w:val="lowerRoman"/>
      <w:lvlText w:val="%6."/>
      <w:lvlJc w:val="right"/>
      <w:pPr>
        <w:ind w:left="4320" w:hanging="180"/>
      </w:pPr>
    </w:lvl>
    <w:lvl w:ilvl="6" w:tplc="523A0D82">
      <w:start w:val="1"/>
      <w:numFmt w:val="decimal"/>
      <w:lvlText w:val="%7."/>
      <w:lvlJc w:val="left"/>
      <w:pPr>
        <w:ind w:left="5040" w:hanging="360"/>
      </w:pPr>
    </w:lvl>
    <w:lvl w:ilvl="7" w:tplc="96745608">
      <w:start w:val="1"/>
      <w:numFmt w:val="lowerLetter"/>
      <w:lvlText w:val="%8."/>
      <w:lvlJc w:val="left"/>
      <w:pPr>
        <w:ind w:left="5760" w:hanging="360"/>
      </w:pPr>
    </w:lvl>
    <w:lvl w:ilvl="8" w:tplc="FDCAD090">
      <w:start w:val="1"/>
      <w:numFmt w:val="lowerRoman"/>
      <w:lvlText w:val="%9."/>
      <w:lvlJc w:val="right"/>
      <w:pPr>
        <w:ind w:left="6480" w:hanging="180"/>
      </w:pPr>
    </w:lvl>
  </w:abstractNum>
  <w:num w:numId="1" w16cid:durableId="1921088852">
    <w:abstractNumId w:val="1"/>
  </w:num>
  <w:num w:numId="2" w16cid:durableId="375325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1C73B1"/>
    <w:rsid w:val="004D67D2"/>
    <w:rsid w:val="00966FFC"/>
    <w:rsid w:val="00A64217"/>
    <w:rsid w:val="00E50482"/>
    <w:rsid w:val="07E1D8F9"/>
    <w:rsid w:val="0B3F78A0"/>
    <w:rsid w:val="4A0BC350"/>
    <w:rsid w:val="5091B5A8"/>
    <w:rsid w:val="6A4900CB"/>
    <w:rsid w:val="7D1C7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1B5A8"/>
  <w15:chartTrackingRefBased/>
  <w15:docId w15:val="{597E1699-7F1B-48DA-8659-4B1D2EBB5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eop" w:customStyle="1">
    <w:name w:val="eop"/>
    <w:basedOn w:val="DefaultParagraphFont"/>
    <w:rsid w:val="00E50482"/>
  </w:style>
  <w:style w:type="paragraph" w:styleId="TOCHeading">
    <w:name w:val="TOC Heading"/>
    <w:basedOn w:val="Heading1"/>
    <w:next w:val="Normal"/>
    <w:uiPriority w:val="39"/>
    <w:unhideWhenUsed/>
    <w:qFormat/>
    <w:rsid w:val="00E50482"/>
    <w:pPr>
      <w:outlineLvl w:val="9"/>
    </w:pPr>
    <w:rPr>
      <w:lang w:val="en-US"/>
    </w:rPr>
  </w:style>
  <w:style w:type="paragraph" w:styleId="TOC1">
    <w:name w:val="toc 1"/>
    <w:basedOn w:val="Normal"/>
    <w:next w:val="Normal"/>
    <w:autoRedefine/>
    <w:uiPriority w:val="39"/>
    <w:unhideWhenUsed/>
    <w:rsid w:val="00E50482"/>
    <w:pPr>
      <w:spacing w:after="100"/>
    </w:pPr>
  </w:style>
  <w:style w:type="paragraph" w:styleId="TOC2">
    <w:name w:val="toc 2"/>
    <w:basedOn w:val="Normal"/>
    <w:next w:val="Normal"/>
    <w:autoRedefine/>
    <w:uiPriority w:val="39"/>
    <w:unhideWhenUsed/>
    <w:rsid w:val="00E50482"/>
    <w:pPr>
      <w:spacing w:after="100"/>
      <w:ind w:left="220"/>
    </w:pPr>
  </w:style>
  <w:style w:type="paragraph" w:styleId="NoSpacing">
    <w:name w:val="No Spacing"/>
    <w:link w:val="NoSpacingChar"/>
    <w:uiPriority w:val="1"/>
    <w:qFormat/>
    <w:rsid w:val="004D67D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4D67D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microsoft.com/office/2020/10/relationships/intelligence" Target="intelligence2.xml" Id="rId9" /><Relationship Type="http://schemas.openxmlformats.org/officeDocument/2006/relationships/image" Target="/media/image3.png" Id="R60f9c939e10b436a" /><Relationship Type="http://schemas.openxmlformats.org/officeDocument/2006/relationships/image" Target="/media/image4.png" Id="Rca785c09858d456e" /><Relationship Type="http://schemas.openxmlformats.org/officeDocument/2006/relationships/image" Target="/media/image5.png" Id="R61b75e9e7ec0434f" /><Relationship Type="http://schemas.openxmlformats.org/officeDocument/2006/relationships/glossaryDocument" Target="glossary/document.xml" Id="R1b287633d1b34b3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8a278bc-f3f5-48be-bec2-10dcadd216fa}"/>
      </w:docPartPr>
      <w:docPartBody>
        <w:p w14:paraId="32158F5D">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Nathan Pascoe</dc:creator>
  <keywords/>
  <dc:description/>
  <lastModifiedBy>Nathan Pascoe</lastModifiedBy>
  <revision>9</revision>
  <dcterms:created xsi:type="dcterms:W3CDTF">2022-04-29T12:16:00.0000000Z</dcterms:created>
  <dcterms:modified xsi:type="dcterms:W3CDTF">2022-05-19T19:49:55.7985040Z</dcterms:modified>
</coreProperties>
</file>