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56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400"/>
        <w:gridCol w:w="5200"/>
      </w:tblGrid>
      <w:tr w:rsidR="007B783F">
        <w:tblPrEx>
          <w:tblCellMar>
            <w:top w:w="0" w:type="dxa"/>
            <w:bottom w:w="0" w:type="dxa"/>
          </w:tblCellMar>
        </w:tblPrEx>
        <w:tc>
          <w:tcPr>
            <w:tcW w:w="10800" w:type="dxa"/>
            <w:shd w:val="clear" w:color="auto" w:fill="1E3A5F"/>
            <w:tcMar>
              <w:top w:w="200" w:type="dxa"/>
              <w:left w:w="300" w:type="dxa"/>
              <w:bottom w:w="200" w:type="dxa"/>
              <w:right w:w="200" w:type="dxa"/>
            </w:tcMar>
            <w:vAlign w:val="center"/>
          </w:tcPr>
          <w:p w:rsidR="007B783F" w:rsidRDefault="00000000">
            <w:pPr>
              <w:spacing w:after="80"/>
            </w:pPr>
            <w:r>
              <w:rPr>
                <w:b/>
                <w:bCs/>
                <w:color w:val="FFFFFF"/>
                <w:sz w:val="40"/>
                <w:szCs w:val="40"/>
              </w:rPr>
              <w:t>EMPOWERING OLDER PEOPLE:</w:t>
            </w:r>
          </w:p>
          <w:p w:rsidR="007B783F" w:rsidRDefault="00000000">
            <w:pPr>
              <w:spacing w:after="120"/>
            </w:pPr>
            <w:r>
              <w:rPr>
                <w:b/>
                <w:bCs/>
                <w:color w:val="FFFFFF"/>
                <w:sz w:val="24"/>
                <w:szCs w:val="24"/>
              </w:rPr>
              <w:t>CRITICALLY EVALUATING CARE, SUPPORT AND EMPOWERMENT NEEDS IN THE UK</w:t>
            </w:r>
          </w:p>
          <w:p w:rsidR="007B783F" w:rsidRDefault="00000000">
            <w:r>
              <w:rPr>
                <w:i/>
                <w:iCs/>
                <w:color w:val="E5E7EB"/>
                <w:sz w:val="18"/>
                <w:szCs w:val="18"/>
              </w:rPr>
              <w:t>“Empowerment is not doing to or for people, but with people.”  Rappaport (1987)</w:t>
            </w:r>
          </w:p>
        </w:tc>
        <w:tc>
          <w:tcPr>
            <w:tcW w:w="4800" w:type="dxa"/>
            <w:tcMar>
              <w:top w:w="200" w:type="dxa"/>
              <w:left w:w="200" w:type="dxa"/>
              <w:bottom w:w="200" w:type="dxa"/>
              <w:right w:w="200" w:type="dxa"/>
            </w:tcMar>
            <w:vAlign w:val="center"/>
          </w:tcPr>
          <w:tbl>
            <w:tblPr>
              <w:tblW w:w="48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2000"/>
              <w:gridCol w:w="2800"/>
            </w:tblGrid>
            <w:tr w:rsidR="007B783F">
              <w:tblPrEx>
                <w:tblCellMar>
                  <w:top w:w="0" w:type="dxa"/>
                  <w:bottom w:w="0" w:type="dxa"/>
                </w:tblCellMar>
              </w:tblPrEx>
              <w:tc>
                <w:tcPr>
                  <w:tcW w:w="2000" w:type="dxa"/>
                  <w:tcMar>
                    <w:top w:w="40" w:type="dxa"/>
                    <w:left w:w="100" w:type="dxa"/>
                    <w:bottom w:w="40" w:type="dxa"/>
                    <w:right w:w="60" w:type="dxa"/>
                  </w:tcMar>
                </w:tcPr>
                <w:p w:rsidR="007B783F" w:rsidRDefault="00000000">
                  <w:pPr>
                    <w:spacing w:after="60"/>
                  </w:pPr>
                  <w:r>
                    <w:rPr>
                      <w:b/>
                      <w:bCs/>
                      <w:color w:val="1E3A5F"/>
                      <w:sz w:val="16"/>
                      <w:szCs w:val="16"/>
                    </w:rPr>
                    <w:t>Student Name</w:t>
                  </w:r>
                </w:p>
              </w:tc>
              <w:tc>
                <w:tcPr>
                  <w:tcW w:w="2800" w:type="dxa"/>
                  <w:tcMar>
                    <w:top w:w="40" w:type="dxa"/>
                    <w:left w:w="60" w:type="dxa"/>
                    <w:bottom w:w="40" w:type="dxa"/>
                    <w:right w:w="100" w:type="dxa"/>
                  </w:tcMar>
                </w:tcPr>
                <w:p w:rsidR="007B783F" w:rsidRDefault="00000000">
                  <w:pPr>
                    <w:spacing w:after="60"/>
                  </w:pPr>
                  <w:r>
                    <w:rPr>
                      <w:sz w:val="16"/>
                      <w:szCs w:val="16"/>
                    </w:rPr>
                    <w:t>Princess Njimogun</w:t>
                  </w:r>
                </w:p>
              </w:tc>
            </w:tr>
            <w:tr w:rsidR="007B783F">
              <w:tblPrEx>
                <w:tblCellMar>
                  <w:top w:w="0" w:type="dxa"/>
                  <w:bottom w:w="0" w:type="dxa"/>
                </w:tblCellMar>
              </w:tblPrEx>
              <w:tc>
                <w:tcPr>
                  <w:tcW w:w="2000" w:type="dxa"/>
                  <w:tcMar>
                    <w:top w:w="40" w:type="dxa"/>
                    <w:left w:w="100" w:type="dxa"/>
                    <w:bottom w:w="40" w:type="dxa"/>
                    <w:right w:w="60" w:type="dxa"/>
                  </w:tcMar>
                </w:tcPr>
                <w:p w:rsidR="007B783F" w:rsidRDefault="00000000">
                  <w:pPr>
                    <w:spacing w:after="60"/>
                  </w:pPr>
                  <w:r>
                    <w:rPr>
                      <w:b/>
                      <w:bCs/>
                      <w:color w:val="1E3A5F"/>
                      <w:sz w:val="16"/>
                      <w:szCs w:val="16"/>
                    </w:rPr>
                    <w:t>Student ID</w:t>
                  </w:r>
                </w:p>
              </w:tc>
              <w:tc>
                <w:tcPr>
                  <w:tcW w:w="2800" w:type="dxa"/>
                  <w:tcMar>
                    <w:top w:w="40" w:type="dxa"/>
                    <w:left w:w="60" w:type="dxa"/>
                    <w:bottom w:w="40" w:type="dxa"/>
                    <w:right w:w="100" w:type="dxa"/>
                  </w:tcMar>
                </w:tcPr>
                <w:p w:rsidR="007B783F" w:rsidRDefault="00000000">
                  <w:pPr>
                    <w:spacing w:after="60"/>
                  </w:pPr>
                  <w:r>
                    <w:rPr>
                      <w:sz w:val="16"/>
                      <w:szCs w:val="16"/>
                    </w:rPr>
                    <w:t>2235075</w:t>
                  </w:r>
                </w:p>
              </w:tc>
            </w:tr>
            <w:tr w:rsidR="007B783F">
              <w:tblPrEx>
                <w:tblCellMar>
                  <w:top w:w="0" w:type="dxa"/>
                  <w:bottom w:w="0" w:type="dxa"/>
                </w:tblCellMar>
              </w:tblPrEx>
              <w:tc>
                <w:tcPr>
                  <w:tcW w:w="2000" w:type="dxa"/>
                  <w:tcMar>
                    <w:top w:w="40" w:type="dxa"/>
                    <w:left w:w="100" w:type="dxa"/>
                    <w:bottom w:w="40" w:type="dxa"/>
                    <w:right w:w="60" w:type="dxa"/>
                  </w:tcMar>
                </w:tcPr>
                <w:p w:rsidR="007B783F" w:rsidRDefault="00000000">
                  <w:pPr>
                    <w:spacing w:after="60"/>
                  </w:pPr>
                  <w:r>
                    <w:rPr>
                      <w:b/>
                      <w:bCs/>
                      <w:color w:val="1E3A5F"/>
                      <w:sz w:val="16"/>
                      <w:szCs w:val="16"/>
                    </w:rPr>
                    <w:t>Module Name</w:t>
                  </w:r>
                </w:p>
              </w:tc>
              <w:tc>
                <w:tcPr>
                  <w:tcW w:w="2800" w:type="dxa"/>
                  <w:tcMar>
                    <w:top w:w="40" w:type="dxa"/>
                    <w:left w:w="60" w:type="dxa"/>
                    <w:bottom w:w="40" w:type="dxa"/>
                    <w:right w:w="100" w:type="dxa"/>
                  </w:tcMar>
                </w:tcPr>
                <w:p w:rsidR="007B783F" w:rsidRDefault="00000000">
                  <w:pPr>
                    <w:spacing w:after="60"/>
                  </w:pPr>
                  <w:r>
                    <w:rPr>
                      <w:sz w:val="16"/>
                      <w:szCs w:val="16"/>
                    </w:rPr>
                    <w:t>Empowering the Older Person</w:t>
                  </w:r>
                </w:p>
              </w:tc>
            </w:tr>
            <w:tr w:rsidR="007B783F">
              <w:tblPrEx>
                <w:tblCellMar>
                  <w:top w:w="0" w:type="dxa"/>
                  <w:bottom w:w="0" w:type="dxa"/>
                </w:tblCellMar>
              </w:tblPrEx>
              <w:tc>
                <w:tcPr>
                  <w:tcW w:w="2000" w:type="dxa"/>
                  <w:tcMar>
                    <w:top w:w="40" w:type="dxa"/>
                    <w:left w:w="100" w:type="dxa"/>
                    <w:bottom w:w="40" w:type="dxa"/>
                    <w:right w:w="60" w:type="dxa"/>
                  </w:tcMar>
                </w:tcPr>
                <w:p w:rsidR="007B783F" w:rsidRDefault="00000000">
                  <w:pPr>
                    <w:spacing w:after="60"/>
                  </w:pPr>
                  <w:r>
                    <w:rPr>
                      <w:b/>
                      <w:bCs/>
                      <w:color w:val="1E3A5F"/>
                      <w:sz w:val="16"/>
                      <w:szCs w:val="16"/>
                    </w:rPr>
                    <w:t>Module Code</w:t>
                  </w:r>
                </w:p>
              </w:tc>
              <w:tc>
                <w:tcPr>
                  <w:tcW w:w="2800" w:type="dxa"/>
                  <w:tcMar>
                    <w:top w:w="40" w:type="dxa"/>
                    <w:left w:w="60" w:type="dxa"/>
                    <w:bottom w:w="40" w:type="dxa"/>
                    <w:right w:w="100" w:type="dxa"/>
                  </w:tcMar>
                </w:tcPr>
                <w:p w:rsidR="007B783F" w:rsidRDefault="00000000">
                  <w:pPr>
                    <w:spacing w:after="60"/>
                  </w:pPr>
                  <w:r>
                    <w:rPr>
                      <w:sz w:val="16"/>
                      <w:szCs w:val="16"/>
                    </w:rPr>
                    <w:t>BMHP6027</w:t>
                  </w:r>
                </w:p>
              </w:tc>
            </w:tr>
            <w:tr w:rsidR="007B783F">
              <w:tblPrEx>
                <w:tblCellMar>
                  <w:top w:w="0" w:type="dxa"/>
                  <w:bottom w:w="0" w:type="dxa"/>
                </w:tblCellMar>
              </w:tblPrEx>
              <w:tc>
                <w:tcPr>
                  <w:tcW w:w="2000" w:type="dxa"/>
                  <w:tcMar>
                    <w:top w:w="40" w:type="dxa"/>
                    <w:left w:w="100" w:type="dxa"/>
                    <w:bottom w:w="40" w:type="dxa"/>
                    <w:right w:w="60" w:type="dxa"/>
                  </w:tcMar>
                </w:tcPr>
                <w:p w:rsidR="007B783F" w:rsidRDefault="00000000">
                  <w:pPr>
                    <w:spacing w:after="60"/>
                  </w:pPr>
                  <w:r>
                    <w:rPr>
                      <w:b/>
                      <w:bCs/>
                      <w:color w:val="1E3A5F"/>
                      <w:sz w:val="16"/>
                      <w:szCs w:val="16"/>
                    </w:rPr>
                    <w:t>Lecturer</w:t>
                  </w:r>
                </w:p>
              </w:tc>
              <w:tc>
                <w:tcPr>
                  <w:tcW w:w="2800" w:type="dxa"/>
                  <w:tcMar>
                    <w:top w:w="40" w:type="dxa"/>
                    <w:left w:w="60" w:type="dxa"/>
                    <w:bottom w:w="40" w:type="dxa"/>
                    <w:right w:w="100" w:type="dxa"/>
                  </w:tcMar>
                </w:tcPr>
                <w:p w:rsidR="007B783F" w:rsidRDefault="00000000">
                  <w:pPr>
                    <w:spacing w:after="60"/>
                  </w:pPr>
                  <w:r>
                    <w:rPr>
                      <w:sz w:val="16"/>
                      <w:szCs w:val="16"/>
                    </w:rPr>
                    <w:t xml:space="preserve">Dr Laila </w:t>
                  </w:r>
                  <w:proofErr w:type="spellStart"/>
                  <w:r>
                    <w:rPr>
                      <w:sz w:val="16"/>
                      <w:szCs w:val="16"/>
                    </w:rPr>
                    <w:t>Surani</w:t>
                  </w:r>
                  <w:proofErr w:type="spellEnd"/>
                </w:p>
              </w:tc>
            </w:tr>
          </w:tbl>
          <w:p w:rsidR="007B783F" w:rsidRDefault="007B783F"/>
        </w:tc>
      </w:tr>
    </w:tbl>
    <w:p w:rsidR="007B783F" w:rsidRDefault="007B783F">
      <w:pPr>
        <w:spacing w:after="120"/>
      </w:pPr>
    </w:p>
    <w:tbl>
      <w:tblPr>
        <w:tblW w:w="156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200"/>
        <w:gridCol w:w="5200"/>
        <w:gridCol w:w="5200"/>
      </w:tblGrid>
      <w:tr w:rsidR="007B783F">
        <w:tblPrEx>
          <w:tblCellMar>
            <w:top w:w="0" w:type="dxa"/>
            <w:bottom w:w="0" w:type="dxa"/>
          </w:tblCellMar>
        </w:tblPrEx>
        <w:tc>
          <w:tcPr>
            <w:tcW w:w="5200" w:type="dxa"/>
            <w:shd w:val="clear" w:color="auto" w:fill="EFF6FF"/>
            <w:tcMar>
              <w:top w:w="150" w:type="dxa"/>
              <w:left w:w="200" w:type="dxa"/>
              <w:bottom w:w="150" w:type="dxa"/>
              <w:right w:w="200" w:type="dxa"/>
            </w:tcMar>
          </w:tcPr>
          <w:p w:rsidR="007B783F" w:rsidRDefault="00000000">
            <w:pPr>
              <w:shd w:val="clear" w:color="auto" w:fill="1E3A5F"/>
              <w:spacing w:after="100"/>
            </w:pPr>
            <w:r>
              <w:rPr>
                <w:b/>
                <w:bCs/>
                <w:color w:val="FFFFFF"/>
                <w:sz w:val="22"/>
                <w:szCs w:val="22"/>
              </w:rPr>
              <w:t xml:space="preserve"> 1. </w:t>
            </w:r>
            <w:r>
              <w:rPr>
                <w:b/>
                <w:bCs/>
                <w:color w:val="FFFFFF"/>
              </w:rPr>
              <w:t xml:space="preserve">INTRODUCTION </w:t>
            </w:r>
          </w:p>
          <w:p w:rsidR="007B783F" w:rsidRDefault="00000000">
            <w:pPr>
              <w:spacing w:after="60"/>
            </w:pPr>
            <w:r>
              <w:rPr>
                <w:sz w:val="18"/>
                <w:szCs w:val="18"/>
              </w:rPr>
              <w:t>The UK population is getting older. By 2043, 23 million people, which is one in three, will be aged 65 and over (ONS, 2023). This demographic shift means that policy, services and communities must adapt so that later life is lived with dignity, choice and purpose rather than viewed as a burden on the state.</w:t>
            </w:r>
          </w:p>
          <w:p w:rsidR="007B783F" w:rsidRDefault="00000000">
            <w:pPr>
              <w:spacing w:after="60"/>
            </w:pPr>
            <w:r>
              <w:rPr>
                <w:sz w:val="18"/>
                <w:szCs w:val="18"/>
              </w:rPr>
              <w:t>Empowering older people means helping them stay independent. It means giving them the information they need and supporting them to make their own choices.</w:t>
            </w:r>
          </w:p>
          <w:p w:rsidR="007B783F" w:rsidRDefault="00000000">
            <w:pPr>
              <w:spacing w:after="60"/>
            </w:pPr>
            <w:r>
              <w:rPr>
                <w:sz w:val="18"/>
                <w:szCs w:val="18"/>
              </w:rPr>
              <w:t>However, inequality, lack of money and pressure on the workforce mean that policy goals do not always happen in real life.</w:t>
            </w:r>
          </w:p>
          <w:p w:rsidR="007B783F" w:rsidRDefault="00000000">
            <w:pPr>
              <w:spacing w:before="60" w:after="60"/>
            </w:pPr>
            <w:r>
              <w:rPr>
                <w:b/>
                <w:bCs/>
                <w:color w:val="1E3A5F"/>
                <w:sz w:val="18"/>
                <w:szCs w:val="18"/>
              </w:rPr>
              <w:t xml:space="preserve">KEY POINT: </w:t>
            </w:r>
            <w:r>
              <w:rPr>
                <w:sz w:val="18"/>
                <w:szCs w:val="18"/>
              </w:rPr>
              <w:t>True empowerment needs more than services. It needs a change in power, resources and attitudes so that older people are treated equally, listened to at every stage, and recognised as active contributors to family and community life.</w:t>
            </w:r>
          </w:p>
        </w:tc>
        <w:tc>
          <w:tcPr>
            <w:tcW w:w="5200" w:type="dxa"/>
            <w:shd w:val="clear" w:color="auto" w:fill="ECFDF5"/>
            <w:tcMar>
              <w:top w:w="150" w:type="dxa"/>
              <w:left w:w="200" w:type="dxa"/>
              <w:bottom w:w="150" w:type="dxa"/>
              <w:right w:w="200" w:type="dxa"/>
            </w:tcMar>
          </w:tcPr>
          <w:p w:rsidR="007B783F" w:rsidRDefault="00000000">
            <w:pPr>
              <w:shd w:val="clear" w:color="auto" w:fill="0F766E"/>
              <w:spacing w:after="100"/>
            </w:pPr>
            <w:r>
              <w:rPr>
                <w:b/>
                <w:bCs/>
                <w:color w:val="FFFFFF"/>
                <w:sz w:val="22"/>
                <w:szCs w:val="22"/>
              </w:rPr>
              <w:t xml:space="preserve"> 2. </w:t>
            </w:r>
            <w:r>
              <w:rPr>
                <w:b/>
                <w:bCs/>
                <w:color w:val="FFFFFF"/>
              </w:rPr>
              <w:t xml:space="preserve">CARE, SUPPORT AND EMPOWERMENT NEEDS </w:t>
            </w:r>
          </w:p>
          <w:p w:rsidR="007B783F" w:rsidRDefault="00000000">
            <w:pPr>
              <w:spacing w:after="60"/>
            </w:pPr>
            <w:r>
              <w:rPr>
                <w:b/>
                <w:bCs/>
                <w:color w:val="1E3A5F"/>
                <w:sz w:val="18"/>
                <w:szCs w:val="18"/>
              </w:rPr>
              <w:t xml:space="preserve">• </w:t>
            </w:r>
            <w:r>
              <w:rPr>
                <w:b/>
                <w:bCs/>
                <w:sz w:val="18"/>
                <w:szCs w:val="18"/>
              </w:rPr>
              <w:t xml:space="preserve">Functional ability: </w:t>
            </w:r>
            <w:r>
              <w:rPr>
                <w:sz w:val="18"/>
                <w:szCs w:val="18"/>
              </w:rPr>
              <w:t>Support with daily activities so older people can stay healthy and confident.</w:t>
            </w:r>
          </w:p>
          <w:p w:rsidR="007B783F" w:rsidRDefault="00000000">
            <w:pPr>
              <w:spacing w:after="60"/>
            </w:pPr>
            <w:r>
              <w:rPr>
                <w:b/>
                <w:bCs/>
                <w:color w:val="1E3A5F"/>
                <w:sz w:val="18"/>
                <w:szCs w:val="18"/>
              </w:rPr>
              <w:t xml:space="preserve">• </w:t>
            </w:r>
            <w:r>
              <w:rPr>
                <w:b/>
                <w:bCs/>
                <w:sz w:val="18"/>
                <w:szCs w:val="18"/>
              </w:rPr>
              <w:t xml:space="preserve">Independence and choice: </w:t>
            </w:r>
            <w:r>
              <w:rPr>
                <w:sz w:val="18"/>
                <w:szCs w:val="18"/>
              </w:rPr>
              <w:t>Being able to make decisions about daily life, routines and care.</w:t>
            </w:r>
          </w:p>
          <w:p w:rsidR="007B783F" w:rsidRDefault="00000000">
            <w:pPr>
              <w:spacing w:after="60"/>
            </w:pPr>
            <w:r>
              <w:rPr>
                <w:b/>
                <w:bCs/>
                <w:color w:val="1E3A5F"/>
                <w:sz w:val="18"/>
                <w:szCs w:val="18"/>
              </w:rPr>
              <w:t xml:space="preserve">• </w:t>
            </w:r>
            <w:r>
              <w:rPr>
                <w:b/>
                <w:bCs/>
                <w:sz w:val="18"/>
                <w:szCs w:val="18"/>
              </w:rPr>
              <w:t xml:space="preserve">Social connection: </w:t>
            </w:r>
            <w:r>
              <w:rPr>
                <w:sz w:val="18"/>
                <w:szCs w:val="18"/>
              </w:rPr>
              <w:t>Good relationships reduce loneliness and improve mental and physical health.</w:t>
            </w:r>
          </w:p>
          <w:p w:rsidR="007B783F" w:rsidRDefault="00000000">
            <w:pPr>
              <w:spacing w:after="60"/>
            </w:pPr>
            <w:r>
              <w:rPr>
                <w:b/>
                <w:bCs/>
                <w:color w:val="1E3A5F"/>
                <w:sz w:val="18"/>
                <w:szCs w:val="18"/>
              </w:rPr>
              <w:t xml:space="preserve">• </w:t>
            </w:r>
            <w:r>
              <w:rPr>
                <w:b/>
                <w:bCs/>
                <w:sz w:val="18"/>
                <w:szCs w:val="18"/>
              </w:rPr>
              <w:t xml:space="preserve">Financial security: </w:t>
            </w:r>
            <w:r>
              <w:rPr>
                <w:sz w:val="18"/>
                <w:szCs w:val="18"/>
              </w:rPr>
              <w:t>Having enough money and protection from poverty are important for dignity and taking part in society.</w:t>
            </w:r>
          </w:p>
          <w:p w:rsidR="007B783F" w:rsidRDefault="00000000">
            <w:pPr>
              <w:spacing w:after="60"/>
            </w:pPr>
            <w:r>
              <w:rPr>
                <w:b/>
                <w:bCs/>
                <w:color w:val="1E3A5F"/>
                <w:sz w:val="18"/>
                <w:szCs w:val="18"/>
              </w:rPr>
              <w:t xml:space="preserve">• </w:t>
            </w:r>
            <w:r>
              <w:rPr>
                <w:b/>
                <w:bCs/>
                <w:sz w:val="18"/>
                <w:szCs w:val="18"/>
              </w:rPr>
              <w:t xml:space="preserve">Safety and wellbeing: </w:t>
            </w:r>
            <w:r>
              <w:rPr>
                <w:sz w:val="18"/>
                <w:szCs w:val="18"/>
              </w:rPr>
              <w:t xml:space="preserve">Protection from abuse, neglect and </w:t>
            </w:r>
            <w:proofErr w:type="gramStart"/>
            <w:r>
              <w:rPr>
                <w:sz w:val="18"/>
                <w:szCs w:val="18"/>
              </w:rPr>
              <w:t>poor quality</w:t>
            </w:r>
            <w:proofErr w:type="gramEnd"/>
            <w:r>
              <w:rPr>
                <w:sz w:val="18"/>
                <w:szCs w:val="18"/>
              </w:rPr>
              <w:t xml:space="preserve"> care.</w:t>
            </w:r>
          </w:p>
          <w:p w:rsidR="007B783F" w:rsidRDefault="00000000">
            <w:pPr>
              <w:spacing w:before="40" w:after="80"/>
            </w:pPr>
            <w:r>
              <w:rPr>
                <w:b/>
                <w:bCs/>
                <w:i/>
                <w:iCs/>
                <w:color w:val="B91C1C"/>
                <w:sz w:val="18"/>
                <w:szCs w:val="18"/>
              </w:rPr>
              <w:t xml:space="preserve">Critical view: </w:t>
            </w:r>
            <w:r>
              <w:rPr>
                <w:i/>
                <w:iCs/>
                <w:sz w:val="18"/>
                <w:szCs w:val="18"/>
              </w:rPr>
              <w:t>Services often focus on problems and risks instead of strengths and wishes.</w:t>
            </w:r>
          </w:p>
        </w:tc>
        <w:tc>
          <w:tcPr>
            <w:tcW w:w="5200" w:type="dxa"/>
            <w:shd w:val="clear" w:color="auto" w:fill="F5F3FF"/>
            <w:tcMar>
              <w:top w:w="150" w:type="dxa"/>
              <w:left w:w="200" w:type="dxa"/>
              <w:bottom w:w="150" w:type="dxa"/>
              <w:right w:w="200" w:type="dxa"/>
            </w:tcMar>
          </w:tcPr>
          <w:p w:rsidR="007B783F" w:rsidRDefault="00000000">
            <w:pPr>
              <w:shd w:val="clear" w:color="auto" w:fill="1E3A5F"/>
              <w:spacing w:after="100"/>
            </w:pPr>
            <w:r>
              <w:rPr>
                <w:b/>
                <w:bCs/>
                <w:color w:val="FFFFFF"/>
                <w:sz w:val="22"/>
                <w:szCs w:val="22"/>
              </w:rPr>
              <w:t xml:space="preserve"> 3. </w:t>
            </w:r>
            <w:r>
              <w:rPr>
                <w:b/>
                <w:bCs/>
                <w:color w:val="FFFFFF"/>
              </w:rPr>
              <w:t xml:space="preserve">THEORETICAL PERSPECTIVES </w:t>
            </w:r>
          </w:p>
          <w:p w:rsidR="007B783F" w:rsidRDefault="00000000">
            <w:pPr>
              <w:spacing w:after="60"/>
            </w:pPr>
            <w:r>
              <w:rPr>
                <w:b/>
                <w:bCs/>
                <w:color w:val="1E3A5F"/>
                <w:sz w:val="18"/>
                <w:szCs w:val="18"/>
              </w:rPr>
              <w:t>A. Person Centred Care Theory (</w:t>
            </w:r>
            <w:proofErr w:type="spellStart"/>
            <w:r>
              <w:rPr>
                <w:b/>
                <w:bCs/>
                <w:color w:val="1E3A5F"/>
                <w:sz w:val="18"/>
                <w:szCs w:val="18"/>
              </w:rPr>
              <w:t>Kitwood</w:t>
            </w:r>
            <w:proofErr w:type="spellEnd"/>
            <w:r>
              <w:rPr>
                <w:b/>
                <w:bCs/>
                <w:color w:val="1E3A5F"/>
                <w:sz w:val="18"/>
                <w:szCs w:val="18"/>
              </w:rPr>
              <w:t>, 1997)</w:t>
            </w:r>
          </w:p>
          <w:p w:rsidR="007B783F" w:rsidRDefault="00000000">
            <w:pPr>
              <w:spacing w:after="60"/>
            </w:pPr>
            <w:r>
              <w:rPr>
                <w:sz w:val="18"/>
                <w:szCs w:val="18"/>
              </w:rPr>
              <w:t>People should be seen as individuals with their own life story and choices. This theory promotes dignity, respect and partnership.</w:t>
            </w:r>
          </w:p>
          <w:p w:rsidR="007B783F" w:rsidRDefault="00000000">
            <w:pPr>
              <w:spacing w:before="40" w:after="80"/>
            </w:pPr>
            <w:r>
              <w:rPr>
                <w:b/>
                <w:bCs/>
                <w:i/>
                <w:iCs/>
                <w:color w:val="B91C1C"/>
                <w:sz w:val="18"/>
                <w:szCs w:val="18"/>
              </w:rPr>
              <w:t xml:space="preserve">Critical view: </w:t>
            </w:r>
            <w:r>
              <w:rPr>
                <w:i/>
                <w:iCs/>
                <w:sz w:val="18"/>
                <w:szCs w:val="18"/>
              </w:rPr>
              <w:t>This theory is widely accepted in policy but is not always used in practice. Time pressure, high caseloads and staff shortages make it hard to build real relationships.</w:t>
            </w:r>
          </w:p>
          <w:p w:rsidR="007B783F" w:rsidRDefault="00000000">
            <w:pPr>
              <w:spacing w:before="80" w:after="60"/>
            </w:pPr>
            <w:r>
              <w:rPr>
                <w:b/>
                <w:bCs/>
                <w:color w:val="1E3A5F"/>
                <w:sz w:val="18"/>
                <w:szCs w:val="18"/>
              </w:rPr>
              <w:t>B. Self Determination Theory (Deci and Ryan, 2000)</w:t>
            </w:r>
          </w:p>
          <w:p w:rsidR="007B783F" w:rsidRDefault="00000000">
            <w:pPr>
              <w:spacing w:after="60"/>
            </w:pPr>
            <w:r>
              <w:rPr>
                <w:sz w:val="18"/>
                <w:szCs w:val="18"/>
              </w:rPr>
              <w:t>Wellbeing and motivation depend on three basic needs: autonomy, competence and relatedness.</w:t>
            </w:r>
          </w:p>
          <w:p w:rsidR="007B783F" w:rsidRDefault="00000000">
            <w:pPr>
              <w:spacing w:before="40" w:after="80"/>
            </w:pPr>
            <w:r>
              <w:rPr>
                <w:b/>
                <w:bCs/>
                <w:i/>
                <w:iCs/>
                <w:color w:val="B91C1C"/>
                <w:sz w:val="18"/>
                <w:szCs w:val="18"/>
              </w:rPr>
              <w:t xml:space="preserve">Critical view: </w:t>
            </w:r>
            <w:r>
              <w:rPr>
                <w:i/>
                <w:iCs/>
                <w:sz w:val="18"/>
                <w:szCs w:val="18"/>
              </w:rPr>
              <w:t>Social care protects people from risk but does not always give them the chance to make choices and build confidence.</w:t>
            </w:r>
          </w:p>
          <w:p w:rsidR="007B783F" w:rsidRDefault="00000000">
            <w:pPr>
              <w:spacing w:after="60"/>
            </w:pPr>
            <w:r>
              <w:rPr>
                <w:i/>
                <w:iCs/>
                <w:sz w:val="18"/>
                <w:szCs w:val="18"/>
              </w:rPr>
              <w:t>Together these theories show that empowerment means being respected as a person and having choice and support to reach your goals. We need both in practice.</w:t>
            </w:r>
          </w:p>
        </w:tc>
      </w:tr>
      <w:tr w:rsidR="007B783F">
        <w:tblPrEx>
          <w:tblCellMar>
            <w:top w:w="0" w:type="dxa"/>
            <w:bottom w:w="0" w:type="dxa"/>
          </w:tblCellMar>
        </w:tblPrEx>
        <w:tc>
          <w:tcPr>
            <w:tcW w:w="5200" w:type="dxa"/>
            <w:shd w:val="clear" w:color="auto" w:fill="EFF6FF"/>
            <w:tcMar>
              <w:top w:w="150" w:type="dxa"/>
              <w:left w:w="200" w:type="dxa"/>
              <w:bottom w:w="150" w:type="dxa"/>
              <w:right w:w="200" w:type="dxa"/>
            </w:tcMar>
          </w:tcPr>
          <w:p w:rsidR="007B783F" w:rsidRDefault="00000000">
            <w:pPr>
              <w:shd w:val="clear" w:color="auto" w:fill="1E3A5F"/>
              <w:spacing w:after="100"/>
            </w:pPr>
            <w:r>
              <w:rPr>
                <w:b/>
                <w:bCs/>
                <w:color w:val="FFFFFF"/>
                <w:sz w:val="22"/>
                <w:szCs w:val="22"/>
              </w:rPr>
              <w:t xml:space="preserve"> 4. </w:t>
            </w:r>
            <w:r>
              <w:rPr>
                <w:b/>
                <w:bCs/>
                <w:color w:val="FFFFFF"/>
              </w:rPr>
              <w:t xml:space="preserve">UK POLICIES AND CURRENT PROVISION </w:t>
            </w:r>
          </w:p>
          <w:p w:rsidR="007B783F" w:rsidRDefault="00000000">
            <w:pPr>
              <w:spacing w:after="60"/>
            </w:pPr>
            <w:r>
              <w:rPr>
                <w:b/>
                <w:bCs/>
                <w:sz w:val="18"/>
                <w:szCs w:val="18"/>
              </w:rPr>
              <w:t xml:space="preserve">Care Act 2014: </w:t>
            </w:r>
            <w:r>
              <w:rPr>
                <w:sz w:val="18"/>
                <w:szCs w:val="18"/>
              </w:rPr>
              <w:t>Wellbeing and independence are at the centre of care. But rules for eligibility, testing of means and local funding lead to a postcode lottery.</w:t>
            </w:r>
          </w:p>
          <w:p w:rsidR="007B783F" w:rsidRDefault="00000000">
            <w:pPr>
              <w:spacing w:after="60"/>
            </w:pPr>
            <w:r>
              <w:rPr>
                <w:b/>
                <w:bCs/>
                <w:sz w:val="18"/>
                <w:szCs w:val="18"/>
              </w:rPr>
              <w:t xml:space="preserve">NHS Long Term Plan (2019): </w:t>
            </w:r>
            <w:r>
              <w:rPr>
                <w:sz w:val="18"/>
                <w:szCs w:val="18"/>
              </w:rPr>
              <w:t>Focuses on preventing problems and community services. But progress is limited by lack of staff and money, and by inconsistent local implementation.</w:t>
            </w:r>
          </w:p>
          <w:p w:rsidR="007B783F" w:rsidRDefault="00000000">
            <w:pPr>
              <w:spacing w:after="60"/>
            </w:pPr>
            <w:r>
              <w:rPr>
                <w:b/>
                <w:bCs/>
                <w:sz w:val="18"/>
                <w:szCs w:val="18"/>
              </w:rPr>
              <w:t xml:space="preserve">Third Sector and Communities: </w:t>
            </w:r>
            <w:r>
              <w:rPr>
                <w:sz w:val="18"/>
                <w:szCs w:val="18"/>
              </w:rPr>
              <w:t>Charities and community groups give important support and reduce loneliness. They rely on short term funding and volunteers.</w:t>
            </w:r>
          </w:p>
          <w:p w:rsidR="007B783F" w:rsidRDefault="00000000">
            <w:pPr>
              <w:spacing w:before="80" w:after="60"/>
            </w:pPr>
            <w:r>
              <w:rPr>
                <w:b/>
                <w:bCs/>
                <w:i/>
                <w:iCs/>
                <w:color w:val="B45309"/>
                <w:sz w:val="18"/>
                <w:szCs w:val="18"/>
              </w:rPr>
              <w:t xml:space="preserve">Overall view: </w:t>
            </w:r>
            <w:r>
              <w:rPr>
                <w:i/>
                <w:iCs/>
                <w:sz w:val="18"/>
                <w:szCs w:val="18"/>
              </w:rPr>
              <w:t>The policies are well intentioned but austerity, staff shortages and broken services mean that person centred care and empowerment are not consistent.</w:t>
            </w:r>
          </w:p>
        </w:tc>
        <w:tc>
          <w:tcPr>
            <w:tcW w:w="5200" w:type="dxa"/>
            <w:shd w:val="clear" w:color="auto" w:fill="FFF7ED"/>
            <w:tcMar>
              <w:top w:w="150" w:type="dxa"/>
              <w:left w:w="200" w:type="dxa"/>
              <w:bottom w:w="150" w:type="dxa"/>
              <w:right w:w="200" w:type="dxa"/>
            </w:tcMar>
          </w:tcPr>
          <w:p w:rsidR="007B783F" w:rsidRDefault="00000000">
            <w:pPr>
              <w:shd w:val="clear" w:color="auto" w:fill="B45309"/>
              <w:spacing w:after="100"/>
            </w:pPr>
            <w:r>
              <w:rPr>
                <w:b/>
                <w:bCs/>
                <w:color w:val="FFFFFF"/>
                <w:sz w:val="22"/>
                <w:szCs w:val="22"/>
              </w:rPr>
              <w:t xml:space="preserve"> 5. </w:t>
            </w:r>
            <w:r>
              <w:rPr>
                <w:b/>
                <w:bCs/>
                <w:color w:val="FFFFFF"/>
              </w:rPr>
              <w:t xml:space="preserve">CHALLENGES TO INDEPENDENCE AND FUNCTIONAL ABILITY </w:t>
            </w:r>
          </w:p>
          <w:p w:rsidR="007B783F" w:rsidRDefault="00000000">
            <w:pPr>
              <w:spacing w:after="60"/>
            </w:pPr>
            <w:r>
              <w:rPr>
                <w:b/>
                <w:bCs/>
                <w:color w:val="1E3A5F"/>
                <w:sz w:val="18"/>
                <w:szCs w:val="18"/>
              </w:rPr>
              <w:t xml:space="preserve">• </w:t>
            </w:r>
            <w:r>
              <w:rPr>
                <w:b/>
                <w:bCs/>
                <w:sz w:val="18"/>
                <w:szCs w:val="18"/>
              </w:rPr>
              <w:t xml:space="preserve">Workforce shortages: </w:t>
            </w:r>
            <w:r>
              <w:rPr>
                <w:sz w:val="18"/>
                <w:szCs w:val="18"/>
              </w:rPr>
              <w:t>High vacancy rates and staff turnover lead to rushed care and reduced continuity.</w:t>
            </w:r>
          </w:p>
          <w:p w:rsidR="007B783F" w:rsidRDefault="00000000">
            <w:pPr>
              <w:spacing w:after="60"/>
            </w:pPr>
            <w:r>
              <w:rPr>
                <w:b/>
                <w:bCs/>
                <w:color w:val="1E3A5F"/>
                <w:sz w:val="18"/>
                <w:szCs w:val="18"/>
              </w:rPr>
              <w:t xml:space="preserve">• </w:t>
            </w:r>
            <w:r>
              <w:rPr>
                <w:b/>
                <w:bCs/>
                <w:sz w:val="18"/>
                <w:szCs w:val="18"/>
              </w:rPr>
              <w:t xml:space="preserve">Funding gaps: </w:t>
            </w:r>
            <w:r>
              <w:rPr>
                <w:sz w:val="18"/>
                <w:szCs w:val="18"/>
              </w:rPr>
              <w:t>Local authority adult social care budgets fell by 20 per cent in real terms since 2010. This limits prevention and community support.</w:t>
            </w:r>
          </w:p>
          <w:p w:rsidR="007B783F" w:rsidRDefault="00000000">
            <w:pPr>
              <w:spacing w:after="60"/>
            </w:pPr>
            <w:r>
              <w:rPr>
                <w:b/>
                <w:bCs/>
                <w:color w:val="1E3A5F"/>
                <w:sz w:val="18"/>
                <w:szCs w:val="18"/>
              </w:rPr>
              <w:t xml:space="preserve">• </w:t>
            </w:r>
            <w:r>
              <w:rPr>
                <w:b/>
                <w:bCs/>
                <w:sz w:val="18"/>
                <w:szCs w:val="18"/>
              </w:rPr>
              <w:t xml:space="preserve">Fragmented services: </w:t>
            </w:r>
            <w:r>
              <w:rPr>
                <w:sz w:val="18"/>
                <w:szCs w:val="18"/>
              </w:rPr>
              <w:t>Poor coordination between health, social care and housing causes delays and confusion.</w:t>
            </w:r>
          </w:p>
          <w:p w:rsidR="007B783F" w:rsidRDefault="00000000">
            <w:pPr>
              <w:spacing w:after="60"/>
            </w:pPr>
            <w:r>
              <w:rPr>
                <w:b/>
                <w:bCs/>
                <w:color w:val="1E3A5F"/>
                <w:sz w:val="18"/>
                <w:szCs w:val="18"/>
              </w:rPr>
              <w:t xml:space="preserve">• </w:t>
            </w:r>
            <w:r>
              <w:rPr>
                <w:b/>
                <w:bCs/>
                <w:sz w:val="18"/>
                <w:szCs w:val="18"/>
              </w:rPr>
              <w:t xml:space="preserve">Ageism and stereotypes: </w:t>
            </w:r>
            <w:r>
              <w:rPr>
                <w:sz w:val="18"/>
                <w:szCs w:val="18"/>
              </w:rPr>
              <w:t>Negative views about older people can lower expectations and reduce chances to take part.</w:t>
            </w:r>
          </w:p>
          <w:p w:rsidR="007B783F" w:rsidRDefault="00000000">
            <w:pPr>
              <w:spacing w:after="60"/>
            </w:pPr>
            <w:r>
              <w:rPr>
                <w:b/>
                <w:bCs/>
                <w:color w:val="1E3A5F"/>
                <w:sz w:val="18"/>
                <w:szCs w:val="18"/>
              </w:rPr>
              <w:t xml:space="preserve">• </w:t>
            </w:r>
            <w:r>
              <w:rPr>
                <w:b/>
                <w:bCs/>
                <w:sz w:val="18"/>
                <w:szCs w:val="18"/>
              </w:rPr>
              <w:t xml:space="preserve">Financial pressures: </w:t>
            </w:r>
            <w:r>
              <w:rPr>
                <w:sz w:val="18"/>
                <w:szCs w:val="18"/>
              </w:rPr>
              <w:t>Many older adults cannot afford the cost of living such as food, heating and transport.</w:t>
            </w:r>
          </w:p>
          <w:p w:rsidR="007B783F" w:rsidRDefault="00000000">
            <w:pPr>
              <w:spacing w:before="80" w:after="60"/>
            </w:pPr>
            <w:r>
              <w:rPr>
                <w:b/>
                <w:bCs/>
                <w:color w:val="B45309"/>
                <w:sz w:val="18"/>
                <w:szCs w:val="18"/>
              </w:rPr>
              <w:t xml:space="preserve">Impact: </w:t>
            </w:r>
            <w:r>
              <w:rPr>
                <w:sz w:val="18"/>
                <w:szCs w:val="18"/>
              </w:rPr>
              <w:t xml:space="preserve">These challenges reduce choice, dignity and control. This leads to poorer outcomes and higher </w:t>
            </w:r>
            <w:proofErr w:type="gramStart"/>
            <w:r>
              <w:rPr>
                <w:sz w:val="18"/>
                <w:szCs w:val="18"/>
              </w:rPr>
              <w:t>long term</w:t>
            </w:r>
            <w:proofErr w:type="gramEnd"/>
            <w:r>
              <w:rPr>
                <w:sz w:val="18"/>
                <w:szCs w:val="18"/>
              </w:rPr>
              <w:t xml:space="preserve"> costs.</w:t>
            </w:r>
          </w:p>
        </w:tc>
        <w:tc>
          <w:tcPr>
            <w:tcW w:w="5200" w:type="dxa"/>
            <w:shd w:val="clear" w:color="auto" w:fill="ECFDF5"/>
            <w:tcMar>
              <w:top w:w="150" w:type="dxa"/>
              <w:left w:w="200" w:type="dxa"/>
              <w:bottom w:w="150" w:type="dxa"/>
              <w:right w:w="200" w:type="dxa"/>
            </w:tcMar>
          </w:tcPr>
          <w:p w:rsidR="007B783F" w:rsidRDefault="00000000">
            <w:pPr>
              <w:shd w:val="clear" w:color="auto" w:fill="047857"/>
              <w:spacing w:after="100"/>
            </w:pPr>
            <w:r>
              <w:rPr>
                <w:b/>
                <w:bCs/>
                <w:color w:val="FFFFFF"/>
                <w:sz w:val="22"/>
                <w:szCs w:val="22"/>
              </w:rPr>
              <w:t xml:space="preserve"> 6. </w:t>
            </w:r>
            <w:r>
              <w:rPr>
                <w:b/>
                <w:bCs/>
                <w:color w:val="FFFFFF"/>
              </w:rPr>
              <w:t xml:space="preserve">EVIDENCE BASED RECOMMENDATIONS LINKED TO CHALLENGES </w:t>
            </w:r>
          </w:p>
          <w:tbl>
            <w:tblPr>
              <w:tblW w:w="4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3300"/>
            </w:tblGrid>
            <w:tr w:rsidR="007B783F">
              <w:tblPrEx>
                <w:tblCellMar>
                  <w:top w:w="0" w:type="dxa"/>
                  <w:bottom w:w="0" w:type="dxa"/>
                </w:tblCellMar>
              </w:tblPrEx>
              <w:trPr>
                <w:tblHeader/>
              </w:trPr>
              <w:tc>
                <w:tcPr>
                  <w:tcW w:w="1400" w:type="dxa"/>
                  <w:shd w:val="clear" w:color="auto" w:fill="047857"/>
                  <w:tcMar>
                    <w:top w:w="60" w:type="dxa"/>
                    <w:left w:w="80" w:type="dxa"/>
                    <w:bottom w:w="60" w:type="dxa"/>
                    <w:right w:w="80" w:type="dxa"/>
                  </w:tcMar>
                </w:tcPr>
                <w:p w:rsidR="007B783F" w:rsidRDefault="00000000">
                  <w:pPr>
                    <w:spacing w:after="60"/>
                  </w:pPr>
                  <w:r>
                    <w:rPr>
                      <w:b/>
                      <w:bCs/>
                      <w:color w:val="FFFFFF"/>
                      <w:sz w:val="16"/>
                      <w:szCs w:val="16"/>
                    </w:rPr>
                    <w:t>Challenge</w:t>
                  </w:r>
                </w:p>
              </w:tc>
              <w:tc>
                <w:tcPr>
                  <w:tcW w:w="3300" w:type="dxa"/>
                  <w:shd w:val="clear" w:color="auto" w:fill="047857"/>
                  <w:tcMar>
                    <w:top w:w="60" w:type="dxa"/>
                    <w:left w:w="80" w:type="dxa"/>
                    <w:bottom w:w="60" w:type="dxa"/>
                    <w:right w:w="80" w:type="dxa"/>
                  </w:tcMar>
                </w:tcPr>
                <w:p w:rsidR="007B783F" w:rsidRDefault="00000000">
                  <w:pPr>
                    <w:spacing w:after="60"/>
                  </w:pPr>
                  <w:r>
                    <w:rPr>
                      <w:b/>
                      <w:bCs/>
                      <w:color w:val="FFFFFF"/>
                      <w:sz w:val="16"/>
                      <w:szCs w:val="16"/>
                    </w:rPr>
                    <w:t>Recommendation and Evidence of Impact</w:t>
                  </w:r>
                </w:p>
              </w:tc>
            </w:tr>
            <w:tr w:rsidR="007B783F">
              <w:tblPrEx>
                <w:tblCellMar>
                  <w:top w:w="0" w:type="dxa"/>
                  <w:bottom w:w="0" w:type="dxa"/>
                </w:tblCellMar>
              </w:tblPrEx>
              <w:tc>
                <w:tcPr>
                  <w:tcW w:w="1400" w:type="dxa"/>
                  <w:shd w:val="clear" w:color="auto" w:fill="FFFFFF"/>
                  <w:tcMar>
                    <w:top w:w="60" w:type="dxa"/>
                    <w:left w:w="80" w:type="dxa"/>
                    <w:bottom w:w="60" w:type="dxa"/>
                    <w:right w:w="80" w:type="dxa"/>
                  </w:tcMar>
                </w:tcPr>
                <w:p w:rsidR="007B783F" w:rsidRDefault="00000000">
                  <w:pPr>
                    <w:spacing w:after="60"/>
                  </w:pPr>
                  <w:r>
                    <w:rPr>
                      <w:b/>
                      <w:bCs/>
                      <w:color w:val="000000"/>
                      <w:sz w:val="16"/>
                      <w:szCs w:val="16"/>
                    </w:rPr>
                    <w:t>Workforce shortages</w:t>
                  </w:r>
                </w:p>
              </w:tc>
              <w:tc>
                <w:tcPr>
                  <w:tcW w:w="3300" w:type="dxa"/>
                  <w:shd w:val="clear" w:color="auto" w:fill="FFFFFF"/>
                  <w:tcMar>
                    <w:top w:w="60" w:type="dxa"/>
                    <w:left w:w="80" w:type="dxa"/>
                    <w:bottom w:w="60" w:type="dxa"/>
                    <w:right w:w="80" w:type="dxa"/>
                  </w:tcMar>
                </w:tcPr>
                <w:p w:rsidR="007B783F" w:rsidRDefault="00000000">
                  <w:pPr>
                    <w:spacing w:after="60"/>
                  </w:pPr>
                  <w:r>
                    <w:rPr>
                      <w:color w:val="000000"/>
                      <w:sz w:val="16"/>
                      <w:szCs w:val="16"/>
                    </w:rPr>
                    <w:t xml:space="preserve">Invest in fair pay, training and clear career paths. Stable staffing improves quality and continuity of </w:t>
                  </w:r>
                  <w:proofErr w:type="gramStart"/>
                  <w:r>
                    <w:rPr>
                      <w:color w:val="000000"/>
                      <w:sz w:val="16"/>
                      <w:szCs w:val="16"/>
                    </w:rPr>
                    <w:t>person centred</w:t>
                  </w:r>
                  <w:proofErr w:type="gramEnd"/>
                  <w:r>
                    <w:rPr>
                      <w:color w:val="000000"/>
                      <w:sz w:val="16"/>
                      <w:szCs w:val="16"/>
                    </w:rPr>
                    <w:t xml:space="preserve"> care (Nuffield Trust, 2025).</w:t>
                  </w:r>
                </w:p>
              </w:tc>
            </w:tr>
            <w:tr w:rsidR="007B783F">
              <w:tblPrEx>
                <w:tblCellMar>
                  <w:top w:w="0" w:type="dxa"/>
                  <w:bottom w:w="0" w:type="dxa"/>
                </w:tblCellMar>
              </w:tblPrEx>
              <w:tc>
                <w:tcPr>
                  <w:tcW w:w="1400" w:type="dxa"/>
                  <w:shd w:val="clear" w:color="auto" w:fill="FFFFFF"/>
                  <w:tcMar>
                    <w:top w:w="60" w:type="dxa"/>
                    <w:left w:w="80" w:type="dxa"/>
                    <w:bottom w:w="60" w:type="dxa"/>
                    <w:right w:w="80" w:type="dxa"/>
                  </w:tcMar>
                </w:tcPr>
                <w:p w:rsidR="007B783F" w:rsidRDefault="00000000">
                  <w:pPr>
                    <w:spacing w:after="60"/>
                  </w:pPr>
                  <w:r>
                    <w:rPr>
                      <w:b/>
                      <w:bCs/>
                      <w:color w:val="000000"/>
                      <w:sz w:val="16"/>
                      <w:szCs w:val="16"/>
                    </w:rPr>
                    <w:t>Funding gaps</w:t>
                  </w:r>
                </w:p>
              </w:tc>
              <w:tc>
                <w:tcPr>
                  <w:tcW w:w="3300" w:type="dxa"/>
                  <w:shd w:val="clear" w:color="auto" w:fill="FFFFFF"/>
                  <w:tcMar>
                    <w:top w:w="60" w:type="dxa"/>
                    <w:left w:w="80" w:type="dxa"/>
                    <w:bottom w:w="60" w:type="dxa"/>
                    <w:right w:w="80" w:type="dxa"/>
                  </w:tcMar>
                </w:tcPr>
                <w:p w:rsidR="007B783F" w:rsidRDefault="00000000">
                  <w:pPr>
                    <w:spacing w:after="60"/>
                  </w:pPr>
                  <w:r>
                    <w:rPr>
                      <w:color w:val="000000"/>
                      <w:sz w:val="16"/>
                      <w:szCs w:val="16"/>
                    </w:rPr>
                    <w:t>Increase and protect social care funding, focus on prevention and early support. Reduces long term costs and supports independence (ADASS, 2023).</w:t>
                  </w:r>
                </w:p>
              </w:tc>
            </w:tr>
            <w:tr w:rsidR="007B783F">
              <w:tblPrEx>
                <w:tblCellMar>
                  <w:top w:w="0" w:type="dxa"/>
                  <w:bottom w:w="0" w:type="dxa"/>
                </w:tblCellMar>
              </w:tblPrEx>
              <w:tc>
                <w:tcPr>
                  <w:tcW w:w="1400" w:type="dxa"/>
                  <w:shd w:val="clear" w:color="auto" w:fill="FFFFFF"/>
                  <w:tcMar>
                    <w:top w:w="60" w:type="dxa"/>
                    <w:left w:w="80" w:type="dxa"/>
                    <w:bottom w:w="60" w:type="dxa"/>
                    <w:right w:w="80" w:type="dxa"/>
                  </w:tcMar>
                </w:tcPr>
                <w:p w:rsidR="007B783F" w:rsidRDefault="00000000">
                  <w:pPr>
                    <w:spacing w:after="60"/>
                  </w:pPr>
                  <w:r>
                    <w:rPr>
                      <w:b/>
                      <w:bCs/>
                      <w:color w:val="000000"/>
                      <w:sz w:val="16"/>
                      <w:szCs w:val="16"/>
                    </w:rPr>
                    <w:t>Fragmented services</w:t>
                  </w:r>
                </w:p>
              </w:tc>
              <w:tc>
                <w:tcPr>
                  <w:tcW w:w="3300" w:type="dxa"/>
                  <w:shd w:val="clear" w:color="auto" w:fill="FFFFFF"/>
                  <w:tcMar>
                    <w:top w:w="60" w:type="dxa"/>
                    <w:left w:w="80" w:type="dxa"/>
                    <w:bottom w:w="60" w:type="dxa"/>
                    <w:right w:w="80" w:type="dxa"/>
                  </w:tcMar>
                </w:tcPr>
                <w:p w:rsidR="007B783F" w:rsidRDefault="00000000">
                  <w:pPr>
                    <w:spacing w:after="60"/>
                  </w:pPr>
                  <w:r>
                    <w:rPr>
                      <w:color w:val="000000"/>
                      <w:sz w:val="16"/>
                      <w:szCs w:val="16"/>
                    </w:rPr>
                    <w:t>Improve information sharing and integrate health, social care and housing. Integrated models reduce duplication and improve outcomes (King's Fund, 2024).</w:t>
                  </w:r>
                </w:p>
              </w:tc>
            </w:tr>
            <w:tr w:rsidR="007B783F">
              <w:tblPrEx>
                <w:tblCellMar>
                  <w:top w:w="0" w:type="dxa"/>
                  <w:bottom w:w="0" w:type="dxa"/>
                </w:tblCellMar>
              </w:tblPrEx>
              <w:tc>
                <w:tcPr>
                  <w:tcW w:w="1400" w:type="dxa"/>
                  <w:shd w:val="clear" w:color="auto" w:fill="FFFFFF"/>
                  <w:tcMar>
                    <w:top w:w="60" w:type="dxa"/>
                    <w:left w:w="80" w:type="dxa"/>
                    <w:bottom w:w="60" w:type="dxa"/>
                    <w:right w:w="80" w:type="dxa"/>
                  </w:tcMar>
                </w:tcPr>
                <w:p w:rsidR="007B783F" w:rsidRDefault="00000000">
                  <w:pPr>
                    <w:spacing w:after="60"/>
                  </w:pPr>
                  <w:r>
                    <w:rPr>
                      <w:b/>
                      <w:bCs/>
                      <w:color w:val="000000"/>
                      <w:sz w:val="16"/>
                      <w:szCs w:val="16"/>
                    </w:rPr>
                    <w:lastRenderedPageBreak/>
                    <w:t>Ageism and stereotypes</w:t>
                  </w:r>
                </w:p>
              </w:tc>
              <w:tc>
                <w:tcPr>
                  <w:tcW w:w="3300" w:type="dxa"/>
                  <w:shd w:val="clear" w:color="auto" w:fill="FFFFFF"/>
                  <w:tcMar>
                    <w:top w:w="60" w:type="dxa"/>
                    <w:left w:w="80" w:type="dxa"/>
                    <w:bottom w:w="60" w:type="dxa"/>
                    <w:right w:w="80" w:type="dxa"/>
                  </w:tcMar>
                </w:tcPr>
                <w:p w:rsidR="007B783F" w:rsidRDefault="00000000">
                  <w:pPr>
                    <w:spacing w:after="60"/>
                  </w:pPr>
                  <w:r>
                    <w:rPr>
                      <w:color w:val="000000"/>
                      <w:sz w:val="16"/>
                      <w:szCs w:val="16"/>
                    </w:rPr>
                    <w:t>Provide training and public awareness to value older people. Positive attitudes improve dignity and empowerment (WHO, 2023).</w:t>
                  </w:r>
                </w:p>
              </w:tc>
            </w:tr>
            <w:tr w:rsidR="007B783F">
              <w:tblPrEx>
                <w:tblCellMar>
                  <w:top w:w="0" w:type="dxa"/>
                  <w:bottom w:w="0" w:type="dxa"/>
                </w:tblCellMar>
              </w:tblPrEx>
              <w:tc>
                <w:tcPr>
                  <w:tcW w:w="1400" w:type="dxa"/>
                  <w:shd w:val="clear" w:color="auto" w:fill="FFFFFF"/>
                  <w:tcMar>
                    <w:top w:w="60" w:type="dxa"/>
                    <w:left w:w="80" w:type="dxa"/>
                    <w:bottom w:w="60" w:type="dxa"/>
                    <w:right w:w="80" w:type="dxa"/>
                  </w:tcMar>
                </w:tcPr>
                <w:p w:rsidR="007B783F" w:rsidRDefault="00000000">
                  <w:pPr>
                    <w:spacing w:after="60"/>
                  </w:pPr>
                  <w:r>
                    <w:rPr>
                      <w:b/>
                      <w:bCs/>
                      <w:color w:val="000000"/>
                      <w:sz w:val="16"/>
                      <w:szCs w:val="16"/>
                    </w:rPr>
                    <w:t>Financial pressures</w:t>
                  </w:r>
                </w:p>
              </w:tc>
              <w:tc>
                <w:tcPr>
                  <w:tcW w:w="3300" w:type="dxa"/>
                  <w:shd w:val="clear" w:color="auto" w:fill="FFFFFF"/>
                  <w:tcMar>
                    <w:top w:w="60" w:type="dxa"/>
                    <w:left w:w="80" w:type="dxa"/>
                    <w:bottom w:w="60" w:type="dxa"/>
                    <w:right w:w="80" w:type="dxa"/>
                  </w:tcMar>
                </w:tcPr>
                <w:p w:rsidR="007B783F" w:rsidRDefault="00000000">
                  <w:pPr>
                    <w:spacing w:after="60"/>
                  </w:pPr>
                  <w:r>
                    <w:rPr>
                      <w:color w:val="000000"/>
                      <w:sz w:val="16"/>
                      <w:szCs w:val="16"/>
                    </w:rPr>
                    <w:t>Improve Pension Credit uptake and help with the cost of living. Financial security is linked to better health and more participation (JRF, 2024).</w:t>
                  </w:r>
                </w:p>
              </w:tc>
            </w:tr>
          </w:tbl>
          <w:p w:rsidR="007B783F" w:rsidRDefault="00000000">
            <w:pPr>
              <w:spacing w:before="100" w:after="60"/>
              <w:jc w:val="center"/>
            </w:pPr>
            <w:r>
              <w:rPr>
                <w:b/>
                <w:bCs/>
                <w:color w:val="047857"/>
                <w:sz w:val="18"/>
                <w:szCs w:val="18"/>
              </w:rPr>
              <w:t xml:space="preserve">Expected impact: </w:t>
            </w:r>
            <w:r>
              <w:rPr>
                <w:i/>
                <w:iCs/>
                <w:sz w:val="18"/>
                <w:szCs w:val="18"/>
              </w:rPr>
              <w:t>More choice, more control and more participation. Better wellbeing, less inequality and stronger communities.</w:t>
            </w:r>
          </w:p>
        </w:tc>
      </w:tr>
    </w:tbl>
    <w:p w:rsidR="007B783F" w:rsidRDefault="007B783F">
      <w:pPr>
        <w:spacing w:after="120"/>
      </w:pPr>
    </w:p>
    <w:tbl>
      <w:tblPr>
        <w:tblW w:w="156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7600"/>
        <w:gridCol w:w="8000"/>
      </w:tblGrid>
      <w:tr w:rsidR="007B783F">
        <w:tblPrEx>
          <w:tblCellMar>
            <w:top w:w="0" w:type="dxa"/>
            <w:bottom w:w="0" w:type="dxa"/>
          </w:tblCellMar>
        </w:tblPrEx>
        <w:tc>
          <w:tcPr>
            <w:tcW w:w="7800" w:type="dxa"/>
            <w:shd w:val="clear" w:color="auto" w:fill="EFF6FF"/>
            <w:tcMar>
              <w:top w:w="150" w:type="dxa"/>
              <w:left w:w="200" w:type="dxa"/>
              <w:bottom w:w="150" w:type="dxa"/>
              <w:right w:w="200" w:type="dxa"/>
            </w:tcMar>
          </w:tcPr>
          <w:p w:rsidR="007B783F" w:rsidRDefault="00000000">
            <w:pPr>
              <w:shd w:val="clear" w:color="auto" w:fill="1E3A5F"/>
              <w:spacing w:after="100"/>
            </w:pPr>
            <w:r>
              <w:rPr>
                <w:b/>
                <w:bCs/>
                <w:color w:val="FFFFFF"/>
                <w:sz w:val="22"/>
                <w:szCs w:val="22"/>
              </w:rPr>
              <w:t xml:space="preserve"> 7. </w:t>
            </w:r>
            <w:r>
              <w:rPr>
                <w:b/>
                <w:bCs/>
                <w:color w:val="FFFFFF"/>
              </w:rPr>
              <w:t xml:space="preserve">CONCLUSION </w:t>
            </w:r>
          </w:p>
          <w:p w:rsidR="007B783F" w:rsidRDefault="00000000">
            <w:pPr>
              <w:spacing w:after="60"/>
            </w:pPr>
            <w:r>
              <w:rPr>
                <w:sz w:val="18"/>
                <w:szCs w:val="18"/>
              </w:rPr>
              <w:t>Empowering older people is both a moral and social justice issue. UK policy says independence and dignity are important. But lack of money, staff shortages and broken services get in the way. Using person centred care and Self Determination Theory together gives a strong base for change. If we invest in funding, workforce, integration and positive attitudes, older people can live well, make their own choices and take part in their communities. Evidence based action today can turn these goals into real life.</w:t>
            </w:r>
          </w:p>
          <w:p w:rsidR="007B783F" w:rsidRDefault="00000000">
            <w:pPr>
              <w:shd w:val="clear" w:color="auto" w:fill="1E3A5F"/>
              <w:spacing w:before="120" w:after="60"/>
              <w:jc w:val="center"/>
            </w:pPr>
            <w:r>
              <w:rPr>
                <w:b/>
                <w:bCs/>
                <w:color w:val="FFFFFF"/>
              </w:rPr>
              <w:t xml:space="preserve"> EMPOWERMENT REQUIRES WORKING WITH OLDER PEOPLE, NOT JUST DOING FOR THEM. </w:t>
            </w:r>
          </w:p>
        </w:tc>
        <w:tc>
          <w:tcPr>
            <w:tcW w:w="7800" w:type="dxa"/>
            <w:shd w:val="clear" w:color="auto" w:fill="F9FAFB"/>
            <w:tcMar>
              <w:top w:w="150" w:type="dxa"/>
              <w:left w:w="200" w:type="dxa"/>
              <w:bottom w:w="150" w:type="dxa"/>
              <w:right w:w="200" w:type="dxa"/>
            </w:tcMar>
          </w:tcPr>
          <w:p w:rsidR="007B783F" w:rsidRDefault="00000000">
            <w:pPr>
              <w:shd w:val="clear" w:color="auto" w:fill="374151"/>
              <w:spacing w:after="100"/>
            </w:pPr>
            <w:r>
              <w:rPr>
                <w:b/>
                <w:bCs/>
                <w:color w:val="FFFFFF"/>
              </w:rPr>
              <w:t xml:space="preserve"> REFERENCES </w:t>
            </w:r>
          </w:p>
          <w:tbl>
            <w:tblPr>
              <w:tblW w:w="76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3800"/>
              <w:gridCol w:w="3800"/>
            </w:tblGrid>
            <w:tr w:rsidR="007B783F">
              <w:tblPrEx>
                <w:tblCellMar>
                  <w:top w:w="0" w:type="dxa"/>
                  <w:bottom w:w="0" w:type="dxa"/>
                </w:tblCellMar>
              </w:tblPrEx>
              <w:tc>
                <w:tcPr>
                  <w:tcW w:w="3800" w:type="dxa"/>
                  <w:tcMar>
                    <w:top w:w="40" w:type="dxa"/>
                    <w:left w:w="80" w:type="dxa"/>
                    <w:bottom w:w="40" w:type="dxa"/>
                    <w:right w:w="80" w:type="dxa"/>
                  </w:tcMar>
                </w:tcPr>
                <w:p w:rsidR="007B783F" w:rsidRDefault="00000000">
                  <w:pPr>
                    <w:spacing w:after="30"/>
                  </w:pPr>
                  <w:r>
                    <w:rPr>
                      <w:sz w:val="14"/>
                      <w:szCs w:val="14"/>
                    </w:rPr>
                    <w:t>1. Age UK. (2023) Later life in the United Kingdom.</w:t>
                  </w:r>
                </w:p>
                <w:p w:rsidR="007B783F" w:rsidRDefault="00000000">
                  <w:pPr>
                    <w:spacing w:after="30"/>
                  </w:pPr>
                  <w:r>
                    <w:rPr>
                      <w:sz w:val="14"/>
                      <w:szCs w:val="14"/>
                    </w:rPr>
                    <w:t>2. ADASS. (2023) Budget Pressures Survey.</w:t>
                  </w:r>
                </w:p>
                <w:p w:rsidR="007B783F" w:rsidRDefault="00000000">
                  <w:pPr>
                    <w:spacing w:after="30"/>
                  </w:pPr>
                  <w:r>
                    <w:rPr>
                      <w:sz w:val="14"/>
                      <w:szCs w:val="14"/>
                    </w:rPr>
                    <w:t>3. Care Quality Commission. (2024) State of Care Report.</w:t>
                  </w:r>
                </w:p>
                <w:p w:rsidR="007B783F" w:rsidRDefault="00000000">
                  <w:pPr>
                    <w:spacing w:after="30"/>
                  </w:pPr>
                  <w:r>
                    <w:rPr>
                      <w:sz w:val="14"/>
                      <w:szCs w:val="14"/>
                    </w:rPr>
                    <w:t xml:space="preserve">4. Deci, E. L. and Ryan, R. M. (2000) </w:t>
                  </w:r>
                  <w:proofErr w:type="spellStart"/>
                  <w:r>
                    <w:rPr>
                      <w:sz w:val="14"/>
                      <w:szCs w:val="14"/>
                    </w:rPr>
                    <w:t>Self determination</w:t>
                  </w:r>
                  <w:proofErr w:type="spellEnd"/>
                  <w:r>
                    <w:rPr>
                      <w:sz w:val="14"/>
                      <w:szCs w:val="14"/>
                    </w:rPr>
                    <w:t xml:space="preserve"> theory.</w:t>
                  </w:r>
                </w:p>
                <w:p w:rsidR="007B783F" w:rsidRDefault="00000000">
                  <w:pPr>
                    <w:spacing w:after="30"/>
                  </w:pPr>
                  <w:r>
                    <w:rPr>
                      <w:sz w:val="14"/>
                      <w:szCs w:val="14"/>
                    </w:rPr>
                    <w:t>5. Harding, S. et al. (2023) The Care Act 10 Years On.</w:t>
                  </w:r>
                </w:p>
                <w:p w:rsidR="007B783F" w:rsidRDefault="00000000">
                  <w:pPr>
                    <w:spacing w:after="30"/>
                  </w:pPr>
                  <w:r>
                    <w:rPr>
                      <w:sz w:val="14"/>
                      <w:szCs w:val="14"/>
                    </w:rPr>
                    <w:t>6. HM Government. (2023) Health and Care Act Factsheet.</w:t>
                  </w:r>
                </w:p>
                <w:p w:rsidR="007B783F" w:rsidRDefault="00000000">
                  <w:pPr>
                    <w:spacing w:after="30"/>
                  </w:pPr>
                  <w:r>
                    <w:rPr>
                      <w:sz w:val="14"/>
                      <w:szCs w:val="14"/>
                    </w:rPr>
                    <w:t>7. Institute for Fiscal Studies. (2024) Local Authority Budget.</w:t>
                  </w:r>
                </w:p>
                <w:p w:rsidR="007B783F" w:rsidRDefault="00000000">
                  <w:pPr>
                    <w:spacing w:after="30"/>
                  </w:pPr>
                  <w:r>
                    <w:rPr>
                      <w:sz w:val="14"/>
                      <w:szCs w:val="14"/>
                    </w:rPr>
                    <w:t>8. Joseph Rowntree Foundation. (2024) Poverty and Older People.</w:t>
                  </w:r>
                </w:p>
                <w:p w:rsidR="007B783F" w:rsidRDefault="00000000">
                  <w:pPr>
                    <w:spacing w:after="30"/>
                  </w:pPr>
                  <w:r>
                    <w:rPr>
                      <w:sz w:val="14"/>
                      <w:szCs w:val="14"/>
                    </w:rPr>
                    <w:t>9. King's Fund. (2024) Health and Social Care in 2024.</w:t>
                  </w:r>
                </w:p>
                <w:p w:rsidR="007B783F" w:rsidRDefault="00000000">
                  <w:pPr>
                    <w:spacing w:after="30"/>
                  </w:pPr>
                  <w:r>
                    <w:rPr>
                      <w:sz w:val="14"/>
                      <w:szCs w:val="14"/>
                    </w:rPr>
                    <w:t>10. Local Government Association. (2024) Adult Social Care Funding Gap Report.</w:t>
                  </w:r>
                </w:p>
              </w:tc>
              <w:tc>
                <w:tcPr>
                  <w:tcW w:w="3800" w:type="dxa"/>
                  <w:tcMar>
                    <w:top w:w="40" w:type="dxa"/>
                    <w:left w:w="80" w:type="dxa"/>
                    <w:bottom w:w="40" w:type="dxa"/>
                    <w:right w:w="80" w:type="dxa"/>
                  </w:tcMar>
                </w:tcPr>
                <w:p w:rsidR="007B783F" w:rsidRDefault="00000000">
                  <w:pPr>
                    <w:spacing w:after="30"/>
                  </w:pPr>
                  <w:r>
                    <w:rPr>
                      <w:sz w:val="14"/>
                      <w:szCs w:val="14"/>
                    </w:rPr>
                    <w:t>11. National Audit Office. (2023) Adult Social Care Independent Sector.</w:t>
                  </w:r>
                </w:p>
                <w:p w:rsidR="007B783F" w:rsidRDefault="00000000">
                  <w:pPr>
                    <w:spacing w:after="30"/>
                  </w:pPr>
                  <w:r>
                    <w:rPr>
                      <w:sz w:val="14"/>
                      <w:szCs w:val="14"/>
                    </w:rPr>
                    <w:t>12. Nuffield Trust. (2025) Health and Care Staffing.</w:t>
                  </w:r>
                </w:p>
                <w:p w:rsidR="007B783F" w:rsidRDefault="00000000">
                  <w:pPr>
                    <w:spacing w:after="30"/>
                  </w:pPr>
                  <w:r>
                    <w:rPr>
                      <w:sz w:val="14"/>
                      <w:szCs w:val="14"/>
                    </w:rPr>
                    <w:t>13. Office for National Statistics. (2023) Population Projections.</w:t>
                  </w:r>
                </w:p>
                <w:p w:rsidR="007B783F" w:rsidRDefault="00000000">
                  <w:pPr>
                    <w:spacing w:after="30"/>
                  </w:pPr>
                  <w:r>
                    <w:rPr>
                      <w:sz w:val="14"/>
                      <w:szCs w:val="14"/>
                    </w:rPr>
                    <w:t>14. Skills for Care. (2024) State of the Adult Social Care Sector.</w:t>
                  </w:r>
                </w:p>
                <w:p w:rsidR="007B783F" w:rsidRDefault="00000000">
                  <w:pPr>
                    <w:spacing w:after="30"/>
                  </w:pPr>
                  <w:r>
                    <w:rPr>
                      <w:sz w:val="14"/>
                      <w:szCs w:val="14"/>
                    </w:rPr>
                    <w:t>15. Scope. (2024) The Cost of Living for Disabled People.</w:t>
                  </w:r>
                </w:p>
                <w:p w:rsidR="007B783F" w:rsidRDefault="00000000">
                  <w:pPr>
                    <w:spacing w:after="30"/>
                  </w:pPr>
                  <w:r>
                    <w:rPr>
                      <w:sz w:val="14"/>
                      <w:szCs w:val="14"/>
                    </w:rPr>
                    <w:t>16. World Health Organisation. (2023) Global Report on Ageing.</w:t>
                  </w:r>
                </w:p>
                <w:p w:rsidR="007B783F" w:rsidRDefault="00000000">
                  <w:pPr>
                    <w:spacing w:after="30"/>
                  </w:pPr>
                  <w:r>
                    <w:rPr>
                      <w:sz w:val="14"/>
                      <w:szCs w:val="14"/>
                    </w:rPr>
                    <w:t xml:space="preserve">17. Rockwood, K. and </w:t>
                  </w:r>
                  <w:proofErr w:type="spellStart"/>
                  <w:r>
                    <w:rPr>
                      <w:sz w:val="14"/>
                      <w:szCs w:val="14"/>
                    </w:rPr>
                    <w:t>Mitnitski</w:t>
                  </w:r>
                  <w:proofErr w:type="spellEnd"/>
                  <w:r>
                    <w:rPr>
                      <w:sz w:val="14"/>
                      <w:szCs w:val="14"/>
                    </w:rPr>
                    <w:t>, A. (2020) Frailty. Nature Reviews Nephrology 16(7), pp. 37 to 39.</w:t>
                  </w:r>
                </w:p>
                <w:p w:rsidR="007B783F" w:rsidRDefault="00000000">
                  <w:pPr>
                    <w:spacing w:after="30"/>
                  </w:pPr>
                  <w:r>
                    <w:rPr>
                      <w:sz w:val="14"/>
                      <w:szCs w:val="14"/>
                    </w:rPr>
                    <w:t>18. Swift, H. J. et al. (2021) Ageism and its impact on health.</w:t>
                  </w:r>
                </w:p>
                <w:p w:rsidR="007B783F" w:rsidRDefault="00000000">
                  <w:pPr>
                    <w:spacing w:after="30"/>
                  </w:pPr>
                  <w:r>
                    <w:rPr>
                      <w:sz w:val="14"/>
                      <w:szCs w:val="14"/>
                    </w:rPr>
                    <w:t>19. NCVO. (2024) Civil Society Almanac.</w:t>
                  </w:r>
                </w:p>
                <w:p w:rsidR="007B783F" w:rsidRDefault="00000000">
                  <w:pPr>
                    <w:spacing w:after="30"/>
                  </w:pPr>
                  <w:r>
                    <w:rPr>
                      <w:sz w:val="14"/>
                      <w:szCs w:val="14"/>
                    </w:rPr>
                    <w:t>20. World Health Organisation. (2020) Decade of Healthy Ageing.</w:t>
                  </w:r>
                </w:p>
              </w:tc>
            </w:tr>
          </w:tbl>
          <w:p w:rsidR="007B783F" w:rsidRDefault="007B783F"/>
        </w:tc>
      </w:tr>
    </w:tbl>
    <w:p w:rsidR="000E4649" w:rsidRDefault="000E4649"/>
    <w:sectPr w:rsidR="000E4649">
      <w:pgSz w:w="16838" w:h="11906" w:orient="landscape"/>
      <w:pgMar w:top="500" w:right="500" w:bottom="500" w:left="5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44C21"/>
    <w:multiLevelType w:val="hybridMultilevel"/>
    <w:tmpl w:val="8DF0C972"/>
    <w:lvl w:ilvl="0" w:tplc="AB2059A6">
      <w:start w:val="1"/>
      <w:numFmt w:val="bullet"/>
      <w:lvlText w:val="●"/>
      <w:lvlJc w:val="left"/>
      <w:pPr>
        <w:ind w:left="720" w:hanging="360"/>
      </w:pPr>
    </w:lvl>
    <w:lvl w:ilvl="1" w:tplc="874E2206">
      <w:start w:val="1"/>
      <w:numFmt w:val="bullet"/>
      <w:lvlText w:val="○"/>
      <w:lvlJc w:val="left"/>
      <w:pPr>
        <w:ind w:left="1440" w:hanging="360"/>
      </w:pPr>
    </w:lvl>
    <w:lvl w:ilvl="2" w:tplc="B8AE79DC">
      <w:start w:val="1"/>
      <w:numFmt w:val="bullet"/>
      <w:lvlText w:val="■"/>
      <w:lvlJc w:val="left"/>
      <w:pPr>
        <w:ind w:left="2160" w:hanging="360"/>
      </w:pPr>
    </w:lvl>
    <w:lvl w:ilvl="3" w:tplc="70A287F0">
      <w:start w:val="1"/>
      <w:numFmt w:val="bullet"/>
      <w:lvlText w:val="●"/>
      <w:lvlJc w:val="left"/>
      <w:pPr>
        <w:ind w:left="2880" w:hanging="360"/>
      </w:pPr>
    </w:lvl>
    <w:lvl w:ilvl="4" w:tplc="7D9C2EB8">
      <w:start w:val="1"/>
      <w:numFmt w:val="bullet"/>
      <w:lvlText w:val="○"/>
      <w:lvlJc w:val="left"/>
      <w:pPr>
        <w:ind w:left="3600" w:hanging="360"/>
      </w:pPr>
    </w:lvl>
    <w:lvl w:ilvl="5" w:tplc="C5ECABE0">
      <w:start w:val="1"/>
      <w:numFmt w:val="bullet"/>
      <w:lvlText w:val="■"/>
      <w:lvlJc w:val="left"/>
      <w:pPr>
        <w:ind w:left="4320" w:hanging="360"/>
      </w:pPr>
    </w:lvl>
    <w:lvl w:ilvl="6" w:tplc="22847948">
      <w:start w:val="1"/>
      <w:numFmt w:val="bullet"/>
      <w:lvlText w:val="●"/>
      <w:lvlJc w:val="left"/>
      <w:pPr>
        <w:ind w:left="5040" w:hanging="360"/>
      </w:pPr>
    </w:lvl>
    <w:lvl w:ilvl="7" w:tplc="52920F9A">
      <w:start w:val="1"/>
      <w:numFmt w:val="bullet"/>
      <w:lvlText w:val="●"/>
      <w:lvlJc w:val="left"/>
      <w:pPr>
        <w:ind w:left="5760" w:hanging="360"/>
      </w:pPr>
    </w:lvl>
    <w:lvl w:ilvl="8" w:tplc="EF425F50">
      <w:start w:val="1"/>
      <w:numFmt w:val="bullet"/>
      <w:lvlText w:val="●"/>
      <w:lvlJc w:val="left"/>
      <w:pPr>
        <w:ind w:left="6480" w:hanging="360"/>
      </w:pPr>
    </w:lvl>
  </w:abstractNum>
  <w:num w:numId="1" w16cid:durableId="166423577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83F"/>
    <w:rsid w:val="000E4649"/>
    <w:rsid w:val="002E6A91"/>
    <w:rsid w:val="007B7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B384AB5A-F7F9-D94F-AF92-8A13882BE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1042</Words>
  <Characters>5944</Characters>
  <Application>Microsoft Office Word</Application>
  <DocSecurity>0</DocSecurity>
  <Lines>49</Lines>
  <Paragraphs>13</Paragraphs>
  <ScaleCrop>false</ScaleCrop>
  <Company/>
  <LinksUpToDate>false</LinksUpToDate>
  <CharactersWithSpaces>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Empowering Older People Poster</dc:title>
  <dc:creator>Princess Njimogun</dc:creator>
  <cp:lastModifiedBy>Sherlock Holmes</cp:lastModifiedBy>
  <cp:revision>2</cp:revision>
  <dcterms:created xsi:type="dcterms:W3CDTF">2026-07-16T20:54:00Z</dcterms:created>
  <dcterms:modified xsi:type="dcterms:W3CDTF">2026-07-16T20:54:00Z</dcterms:modified>
</cp:coreProperties>
</file>