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r>
        <w:drawing>
          <wp:anchor distT="0" distB="0" distL="114300" distR="114300" simplePos="0" relativeHeight="26" behindDoc="0" locked="0" layoutInCell="1" hidden="0" allowOverlap="1">
            <wp:simplePos x="0" y="0"/>
            <wp:positionH relativeFrom="margin">
              <wp:posOffset>-276225</wp:posOffset>
            </wp:positionH>
            <wp:positionV relativeFrom="paragraph">
              <wp:posOffset>0</wp:posOffset>
            </wp:positionV>
            <wp:extent cx="1438275" cy="566419"/>
            <wp:effectExtent l="0" t="0" r="0" b="0"/>
            <wp:wrapSquare wrapText="bothSides"/>
            <wp:docPr id="1" name="Images 1"/>
            <wp:cNvGraphicFramePr>
              <a:graphicFrameLocks noChangeAspect="1"/>
            </wp:cNvGraphicFramePr>
            <a:graphic>
              <a:graphicData uri="http://schemas.openxmlformats.org/drawingml/2006/picture">
                <pic:pic>
                  <pic:nvPicPr>
                    <pic:cNvPr id="3" name="Images 3"/>
                    <pic:cNvPicPr/>
                  </pic:nvPicPr>
                  <pic:blipFill>
                    <a:blip r:embed="rId4"/>
                    <a:stretch>
                      <a:fillRect/>
                    </a:stretch>
                  </pic:blipFill>
                  <pic:spPr>
                    <a:xfrm rot="0">
                      <a:off x="0" y="0"/>
                      <a:ext cx="1438275" cy="566419"/>
                    </a:xfrm>
                    <a:prstGeom prst="rect"/>
                    <a:noFill/>
                    <a:ln w="12700" cmpd="sng" cap="flat">
                      <a:noFill/>
                      <a:prstDash val="solid"/>
                      <a:miter/>
                    </a:ln>
                  </pic:spPr>
                </pic:pic>
              </a:graphicData>
            </a:graphic>
          </wp:anchor>
        </w:drawing>
      </w:r>
    </w:p>
    <w:p>
      <w:bookmarkStart w:id="0" w:name="_44m8re7tqw4v"/>
      <w:bookmarkStart w:id="1" w:name="_9xut8vxkb8g5"/>
      <w:bookmarkEnd w:id="0"/>
      <w:bookmarkEnd w:id="1"/>
    </w:p>
    <w:p>
      <w:bookmarkStart w:id="2" w:name="_x452gqh131ow"/>
      <w:bookmarkEnd w:id="2"/>
    </w:p>
    <w:p>
      <w:bookmarkStart w:id="3" w:name="_dhcknmdnto0"/>
      <w:bookmarkEnd w:id="3"/>
    </w:p>
    <w:p>
      <w:bookmarkStart w:id="4" w:name="_5dpm614o0wnv"/>
      <w:bookmarkEnd w:id="4"/>
    </w:p>
    <w:p>
      <w:bookmarkStart w:id="5" w:name="_af33nhbu764h"/>
      <w:bookmarkEnd w:id="5"/>
    </w:p>
    <w:p>
      <w:bookmarkStart w:id="6" w:name="_nrbow4yzuz24"/>
      <w:bookmarkEnd w:id="6"/>
    </w:p>
    <w:p>
      <w:bookmarkStart w:id="7" w:name="_jx49m12l2wta"/>
      <w:bookmarkEnd w:id="7"/>
    </w:p>
    <w:p>
      <w:bookmarkStart w:id="8" w:name="_xzkvfc77e1be"/>
      <w:bookmarkEnd w:id="8"/>
    </w:p>
    <w:p>
      <w:pPr>
        <w:jc w:val="center"/>
        <w:rPr>
          <w:b/>
          <w:bCs/>
          <w:sz w:val="40"/>
          <w:szCs w:val="40"/>
        </w:rPr>
      </w:pPr>
      <w:bookmarkStart w:id="9" w:name="_rzo6tbjg24qe"/>
      <w:bookmarkEnd w:id="9"/>
      <w:r>
        <w:rPr>
          <w:b/>
          <w:bCs/>
          <w:sz w:val="40"/>
          <w:szCs w:val="40"/>
        </w:rPr>
        <w:t>Module Title: Design Thinking and Innovation</w:t>
      </w:r>
    </w:p>
    <w:p>
      <w:pPr>
        <w:jc w:val="center"/>
        <w:rPr>
          <w:b/>
          <w:bCs/>
          <w:sz w:val="40"/>
          <w:szCs w:val="40"/>
        </w:rPr>
      </w:pPr>
      <w:bookmarkStart w:id="10" w:name="_xtecp3aq5cfm"/>
      <w:bookmarkEnd w:id="10"/>
      <w:r>
        <w:rPr>
          <w:b/>
          <w:bCs/>
          <w:sz w:val="40"/>
          <w:szCs w:val="40"/>
        </w:rPr>
        <w:t>Module Code: LCLM 6002</w:t>
      </w:r>
    </w:p>
    <w:p>
      <w:pPr>
        <w:jc w:val="center"/>
        <w:rPr>
          <w:b/>
          <w:bCs/>
          <w:sz w:val="40"/>
          <w:szCs w:val="40"/>
        </w:rPr>
      </w:pPr>
    </w:p>
    <w:p>
      <w:pPr>
        <w:jc w:val="center"/>
        <w:rPr>
          <w:b/>
          <w:bCs/>
          <w:sz w:val="36"/>
          <w:szCs w:val="36"/>
        </w:rPr>
      </w:pPr>
      <w:r>
        <w:rPr>
          <w:b/>
          <w:bCs/>
          <w:sz w:val="36"/>
          <w:szCs w:val="36"/>
        </w:rPr>
        <w:t>Assignment Type: Portfolio</w:t>
      </w:r>
    </w:p>
    <w:p>
      <w:pPr>
        <w:jc w:val="center"/>
        <w:rPr>
          <w:b/>
          <w:bCs/>
          <w:sz w:val="40"/>
          <w:szCs w:val="40"/>
        </w:rPr>
      </w:pPr>
      <w:bookmarkStart w:id="11" w:name="_bh34wt54qlve"/>
      <w:bookmarkEnd w:id="11"/>
    </w:p>
    <w:p>
      <w:pPr>
        <w:jc w:val="center"/>
        <w:rPr>
          <w:b/>
          <w:bCs/>
          <w:sz w:val="32"/>
          <w:szCs w:val="32"/>
          <w:lang w:val="nl-NL"/>
        </w:rPr>
      </w:pPr>
      <w:bookmarkStart w:id="12" w:name="_l5wlnj4co1ia"/>
      <w:bookmarkEnd w:id="12"/>
      <w:r>
        <w:rPr>
          <w:b/>
          <w:bCs/>
          <w:sz w:val="32"/>
          <w:szCs w:val="32"/>
          <w:lang w:val="nl-NL"/>
        </w:rPr>
        <w:t>Student Name: Beniamin Avram</w:t>
      </w:r>
    </w:p>
    <w:p>
      <w:pPr>
        <w:jc w:val="center"/>
        <w:rPr>
          <w:b/>
          <w:bCs/>
          <w:sz w:val="32"/>
          <w:szCs w:val="32"/>
          <w:lang w:val="nl-NL"/>
        </w:rPr>
      </w:pPr>
      <w:bookmarkStart w:id="13" w:name="_d9mrop6noeb"/>
      <w:bookmarkEnd w:id="13"/>
      <w:r>
        <w:rPr>
          <w:b/>
          <w:bCs/>
          <w:sz w:val="32"/>
          <w:szCs w:val="32"/>
          <w:lang w:val="nl-NL"/>
        </w:rPr>
        <w:t>Student Code: 2131588</w:t>
      </w:r>
    </w:p>
    <w:p>
      <w:pPr>
        <w:jc w:val="center"/>
        <w:rPr>
          <w:b/>
          <w:bCs/>
          <w:sz w:val="32"/>
          <w:szCs w:val="32"/>
          <w:lang w:val="nl-NL"/>
        </w:rPr>
      </w:pPr>
      <w:r>
        <w:rPr>
          <w:b/>
          <w:bCs/>
          <w:sz w:val="32"/>
          <w:szCs w:val="32"/>
          <w:lang w:val="nl-NL"/>
        </w:rPr>
        <w:t>Lecture's Name: Akash Puranik</w:t>
      </w:r>
      <w:bookmarkStart w:id="14" w:name="_GoBack"/>
    </w:p>
    <w:p>
      <w:pPr>
        <w:jc w:val="center"/>
        <w:rPr>
          <w:b/>
          <w:bCs/>
          <w:sz w:val="32"/>
          <w:szCs w:val="32"/>
          <w:lang w:val="nl-NL"/>
        </w:rPr>
      </w:pPr>
    </w:p>
    <w:p>
      <w:pPr>
        <w:rPr>
          <w:b/>
          <w:bCs/>
          <w:sz w:val="32"/>
          <w:szCs w:val="32"/>
          <w:lang w:val="nl-NL"/>
        </w:rPr>
      </w:pPr>
      <w:r>
        <w:rPr>
          <w:b/>
          <w:bCs/>
          <w:sz w:val="32"/>
          <w:szCs w:val="32"/>
          <w:lang w:val="nl-NL"/>
        </w:rPr>
        <w:br w:type="page"/>
      </w:r>
    </w:p>
    <w:p>
      <w:pPr>
        <w:pStyle w:val="23"/>
        <w:spacing w:before="0" w:line="360" w:lineRule="auto"/>
        <w:jc w:val="center"/>
        <w:rPr>
          <w:rFonts w:ascii="Arial" w:cs="Arial" w:hAnsi="Arial"/>
          <w:b/>
          <w:bCs/>
          <w:color w:val="auto"/>
          <w:sz w:val="28"/>
          <w:szCs w:val="28"/>
        </w:rPr>
      </w:pPr>
      <w:r>
        <w:rPr>
          <w:rFonts w:ascii="Arial" w:cs="Arial" w:hAnsi="Arial"/>
          <w:b/>
          <w:bCs/>
          <w:color w:val="auto"/>
          <w:sz w:val="28"/>
          <w:szCs w:val="28"/>
        </w:rPr>
        <w:t>Table of Contents</w:t>
      </w:r>
    </w:p>
    <w:p>
      <w:pPr>
        <w:pStyle w:val="24"/>
        <w:tabs>
          <w:tab w:val="right" w:leader="dot" w:pos="9350"/>
        </w:tabs>
        <w:rPr>
          <w:rFonts w:ascii="Cambria" w:eastAsia="宋体" w:cs="Arial" w:hAnsi="Cambria"/>
          <w:kern w:val="2"/>
          <w:sz w:val="24"/>
          <w:szCs w:val="24"/>
          <w:lang w:val="en-US"/>
        </w:rPr>
      </w:pPr>
      <w:r>
        <w:fldChar w:fldCharType="begin"/>
      </w:r>
      <w:r>
        <w:instrText xml:space="preserve"> TOC \o "1-3" \h \z \u </w:instrText>
      </w:r>
      <w:r>
        <w:fldChar w:fldCharType="separate"/>
      </w:r>
      <w:r>
        <w:fldChar w:fldCharType="begin"/>
      </w:r>
      <w:r>
        <w:instrText>Hyperlink \l "_Toc212814024"</w:instrText>
      </w:r>
      <w:r>
        <w:fldChar w:fldCharType="separate"/>
      </w:r>
      <w:r>
        <w:rPr>
          <w:color w:val="auto"/>
        </w:rPr>
        <w:t>Introduction</w:t>
      </w:r>
      <w:r>
        <w:tab/>
      </w:r>
      <w:r>
        <w:fldChar w:fldCharType="begin"/>
      </w:r>
      <w:r>
        <w:instrText xml:space="preserve"> PAGEREF _Toc212814024 \h </w:instrText>
      </w:r>
      <w:r>
        <w:fldChar w:fldCharType="separate"/>
      </w:r>
      <w:r>
        <w:t>3</w:t>
      </w:r>
      <w:r>
        <w:fldChar w:fldCharType="end"/>
      </w:r>
      <w:r>
        <w:fldChar w:fldCharType="end"/>
      </w:r>
    </w:p>
    <w:p>
      <w:pPr>
        <w:pStyle w:val="24"/>
        <w:tabs>
          <w:tab w:val="right" w:leader="dot" w:pos="9350"/>
        </w:tabs>
        <w:rPr>
          <w:rFonts w:ascii="Cambria" w:eastAsia="宋体" w:cs="Arial" w:hAnsi="Cambria"/>
          <w:kern w:val="2"/>
          <w:sz w:val="24"/>
          <w:szCs w:val="24"/>
          <w:lang w:val="en-US"/>
        </w:rPr>
      </w:pPr>
      <w:r>
        <w:fldChar w:fldCharType="begin"/>
      </w:r>
      <w:r>
        <w:instrText>Hyperlink \l "_Toc212814025"</w:instrText>
      </w:r>
      <w:r>
        <w:fldChar w:fldCharType="separate"/>
      </w:r>
      <w:r>
        <w:rPr>
          <w:color w:val="auto"/>
        </w:rPr>
        <w:t>Introduction to the chosen organisation</w:t>
      </w:r>
      <w:r>
        <w:tab/>
      </w:r>
      <w:r>
        <w:fldChar w:fldCharType="begin"/>
      </w:r>
      <w:r>
        <w:instrText xml:space="preserve"> PAGEREF _Toc212814025 \h </w:instrText>
      </w:r>
      <w:r>
        <w:fldChar w:fldCharType="separate"/>
      </w:r>
      <w:r>
        <w:t>4</w:t>
      </w:r>
      <w:r>
        <w:fldChar w:fldCharType="end"/>
      </w:r>
      <w:r>
        <w:fldChar w:fldCharType="end"/>
      </w:r>
    </w:p>
    <w:p>
      <w:pPr>
        <w:pStyle w:val="24"/>
        <w:tabs>
          <w:tab w:val="right" w:leader="dot" w:pos="9350"/>
        </w:tabs>
        <w:rPr>
          <w:rFonts w:ascii="Cambria" w:eastAsia="宋体" w:cs="Arial" w:hAnsi="Cambria"/>
          <w:kern w:val="2"/>
          <w:sz w:val="24"/>
          <w:szCs w:val="24"/>
          <w:lang w:val="en-US"/>
        </w:rPr>
      </w:pPr>
      <w:r>
        <w:fldChar w:fldCharType="begin"/>
      </w:r>
      <w:r>
        <w:instrText>Hyperlink \l "_Toc212814026"</w:instrText>
      </w:r>
      <w:r>
        <w:fldChar w:fldCharType="separate"/>
      </w:r>
      <w:r>
        <w:rPr>
          <w:color w:val="auto"/>
        </w:rPr>
        <w:t>Key Consumer and Industry Trends and Data that Affect Morrisons</w:t>
      </w:r>
      <w:r>
        <w:tab/>
      </w:r>
      <w:r>
        <w:fldChar w:fldCharType="begin"/>
      </w:r>
      <w:r>
        <w:instrText xml:space="preserve"> PAGEREF _Toc212814026 \h </w:instrText>
      </w:r>
      <w:r>
        <w:fldChar w:fldCharType="separate"/>
      </w:r>
      <w:r>
        <w:t>5</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"_Toc212814027"</w:instrText>
      </w:r>
      <w:r>
        <w:fldChar w:fldCharType="separate"/>
      </w:r>
      <w:r>
        <w:rPr>
          <w:color w:val="auto"/>
        </w:rPr>
        <w:t>Key Customer Trends</w:t>
      </w:r>
      <w:r>
        <w:tab/>
      </w:r>
      <w:r>
        <w:fldChar w:fldCharType="begin"/>
      </w:r>
      <w:r>
        <w:instrText xml:space="preserve"> PAGEREF _Toc212814027 \h </w:instrText>
      </w:r>
      <w:r>
        <w:fldChar w:fldCharType="separate"/>
      </w:r>
      <w:r>
        <w:t>5</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"_Toc212814028"</w:instrText>
      </w:r>
      <w:r>
        <w:fldChar w:fldCharType="separate"/>
      </w:r>
      <w:r>
        <w:rPr>
          <w:color w:val="auto"/>
        </w:rPr>
        <w:t>Key Industry Trends and Data</w:t>
      </w:r>
      <w:r>
        <w:tab/>
      </w:r>
      <w:r>
        <w:fldChar w:fldCharType="begin"/>
      </w:r>
      <w:r>
        <w:instrText xml:space="preserve"> PAGEREF _Toc212814028 \h </w:instrText>
      </w:r>
      <w:r>
        <w:fldChar w:fldCharType="separate"/>
      </w:r>
      <w:r>
        <w:t>6</w:t>
      </w:r>
      <w:r>
        <w:fldChar w:fldCharType="end"/>
      </w:r>
      <w:r>
        <w:fldChar w:fldCharType="end"/>
      </w:r>
    </w:p>
    <w:p>
      <w:pPr>
        <w:pStyle w:val="24"/>
        <w:tabs>
          <w:tab w:val="right" w:leader="dot" w:pos="9350"/>
        </w:tabs>
        <w:rPr>
          <w:rFonts w:ascii="Cambria" w:eastAsia="宋体" w:cs="Arial" w:hAnsi="Cambria"/>
          <w:kern w:val="2"/>
          <w:sz w:val="24"/>
          <w:szCs w:val="24"/>
          <w:lang w:val="en-US"/>
        </w:rPr>
      </w:pPr>
      <w:r>
        <w:fldChar w:fldCharType="begin"/>
      </w:r>
      <w:r>
        <w:instrText>Hyperlink \l "_Toc212814029"</w:instrText>
      </w:r>
      <w:r>
        <w:fldChar w:fldCharType="separate"/>
      </w:r>
      <w:r>
        <w:rPr>
          <w:color w:val="auto"/>
        </w:rPr>
        <w:t>Part 1: An analysis of the organisation’s approach</w:t>
      </w:r>
      <w:r>
        <w:tab/>
      </w:r>
      <w:r>
        <w:fldChar w:fldCharType="begin"/>
      </w:r>
      <w:r>
        <w:instrText xml:space="preserve"> PAGEREF _Toc212814029 \h </w:instrText>
      </w:r>
      <w:r>
        <w:fldChar w:fldCharType="separate"/>
      </w:r>
      <w:r>
        <w:t>7</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"_Toc212814030"</w:instrText>
      </w:r>
      <w:r>
        <w:fldChar w:fldCharType="separate"/>
      </w:r>
      <w:r>
        <w:rPr>
          <w:color w:val="auto"/>
        </w:rPr>
        <w:t>Innovation Ambition Matrix</w:t>
      </w:r>
      <w:r>
        <w:tab/>
      </w:r>
      <w:r>
        <w:fldChar w:fldCharType="begin"/>
      </w:r>
      <w:r>
        <w:instrText xml:space="preserve"> PAGEREF _Toc212814030 \h </w:instrText>
      </w:r>
      <w:r>
        <w:fldChar w:fldCharType="separate"/>
      </w:r>
      <w:r>
        <w:t>7</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"_Toc212814031"</w:instrText>
      </w:r>
      <w:r>
        <w:fldChar w:fldCharType="separate"/>
      </w:r>
      <w:r>
        <w:rPr>
          <w:color w:val="auto"/>
        </w:rPr>
        <w:t>Current design thinking and innovations of Morrisons</w:t>
      </w:r>
      <w:r>
        <w:tab/>
      </w:r>
      <w:r>
        <w:fldChar w:fldCharType="begin"/>
      </w:r>
      <w:r>
        <w:instrText xml:space="preserve"> PAGEREF _Toc212814031 \h </w:instrText>
      </w:r>
      <w:r>
        <w:fldChar w:fldCharType="separate"/>
      </w:r>
      <w:r>
        <w:t>8</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"_Toc212814032"</w:instrText>
      </w:r>
      <w:r>
        <w:fldChar w:fldCharType="separate"/>
      </w:r>
      <w:r>
        <w:rPr>
          <w:color w:val="auto"/>
        </w:rPr>
        <w:t>New innovation opportunities are on the horizon</w:t>
      </w:r>
      <w:r>
        <w:tab/>
      </w:r>
      <w:r>
        <w:fldChar w:fldCharType="begin"/>
      </w:r>
      <w:r>
        <w:instrText xml:space="preserve"> PAGEREF _Toc212814032 \h </w:instrText>
      </w:r>
      <w:r>
        <w:fldChar w:fldCharType="separate"/>
      </w:r>
      <w:r>
        <w:t>8</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"_Toc212814033"</w:instrText>
      </w:r>
      <w:r>
        <w:fldChar w:fldCharType="separate"/>
      </w:r>
      <w:r>
        <w:rPr>
          <w:color w:val="auto"/>
        </w:rPr>
        <w:t>Customer Journey Mapping</w:t>
      </w:r>
      <w:r>
        <w:tab/>
      </w:r>
      <w:r>
        <w:fldChar w:fldCharType="begin"/>
      </w:r>
      <w:r>
        <w:instrText xml:space="preserve"> PAGEREF _Toc212814033 \h </w:instrText>
      </w:r>
      <w:r>
        <w:fldChar w:fldCharType="separate"/>
      </w:r>
      <w:r>
        <w:t>10</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"_Toc212814034"</w:instrText>
      </w:r>
      <w:r>
        <w:fldChar w:fldCharType="separate"/>
      </w:r>
      <w:r>
        <w:rPr>
          <w:color w:val="auto"/>
        </w:rPr>
        <w:t>Analysis Of Morrisons' Current Customer Journey</w:t>
      </w:r>
      <w:r>
        <w:tab/>
      </w:r>
      <w:r>
        <w:fldChar w:fldCharType="begin"/>
      </w:r>
      <w:r>
        <w:instrText xml:space="preserve"> PAGEREF _Toc212814034 \h </w:instrText>
      </w:r>
      <w:r>
        <w:fldChar w:fldCharType="separate"/>
      </w:r>
      <w:r>
        <w:t>10</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"_Toc212814035"</w:instrText>
      </w:r>
      <w:r>
        <w:fldChar w:fldCharType="separate"/>
      </w:r>
      <w:r>
        <w:rPr>
          <w:color w:val="auto"/>
        </w:rPr>
        <w:t>Relevant Pain and Gain Points</w:t>
      </w:r>
      <w:r>
        <w:tab/>
      </w:r>
      <w:r>
        <w:fldChar w:fldCharType="begin"/>
      </w:r>
      <w:r>
        <w:instrText xml:space="preserve"> PAGEREF _Toc212814035 \h </w:instrText>
      </w:r>
      <w:r>
        <w:fldChar w:fldCharType="separate"/>
      </w:r>
      <w:r>
        <w:t>10</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"_Toc212814036"</w:instrText>
      </w:r>
      <w:r>
        <w:fldChar w:fldCharType="separate"/>
      </w:r>
      <w:r>
        <w:rPr>
          <w:color w:val="auto"/>
        </w:rPr>
        <w:t>Areas Of Digital Innovation Opportunities</w:t>
      </w:r>
      <w:r>
        <w:tab/>
      </w:r>
      <w:r>
        <w:fldChar w:fldCharType="begin"/>
      </w:r>
      <w:r>
        <w:instrText xml:space="preserve"> PAGEREF _Toc212814036 \h </w:instrText>
      </w:r>
      <w:r>
        <w:fldChar w:fldCharType="separate"/>
      </w:r>
      <w:r>
        <w:t>11</w:t>
      </w:r>
      <w:r>
        <w:fldChar w:fldCharType="end"/>
      </w:r>
      <w:r>
        <w:fldChar w:fldCharType="end"/>
      </w:r>
    </w:p>
    <w:p>
      <w:pPr>
        <w:pStyle w:val="24"/>
        <w:tabs>
          <w:tab w:val="right" w:leader="dot" w:pos="9350"/>
        </w:tabs>
        <w:rPr>
          <w:rFonts w:ascii="Cambria" w:eastAsia="宋体" w:cs="Arial" w:hAnsi="Cambria"/>
          <w:kern w:val="2"/>
          <w:sz w:val="24"/>
          <w:szCs w:val="24"/>
          <w:lang w:val="en-US"/>
        </w:rPr>
      </w:pPr>
      <w:r>
        <w:fldChar w:fldCharType="begin"/>
      </w:r>
      <w:r>
        <w:instrText>Hyperlink \l "_Toc212814037"</w:instrText>
      </w:r>
      <w:r>
        <w:fldChar w:fldCharType="separate"/>
      </w:r>
      <w:r>
        <w:rPr>
          <w:color w:val="auto"/>
        </w:rPr>
        <w:t>Part 2: New Digital Transformation Initiative and its Value</w:t>
      </w:r>
      <w:r>
        <w:tab/>
      </w:r>
      <w:r>
        <w:fldChar w:fldCharType="begin"/>
      </w:r>
      <w:r>
        <w:instrText xml:space="preserve"> PAGEREF _Toc212814037 \h </w:instrText>
      </w:r>
      <w:r>
        <w:fldChar w:fldCharType="separate"/>
      </w:r>
      <w:r>
        <w:t>13</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"_Toc212814038"</w:instrText>
      </w:r>
      <w:r>
        <w:fldChar w:fldCharType="separate"/>
      </w:r>
      <w:r>
        <w:rPr>
          <w:color w:val="auto"/>
        </w:rPr>
        <w:t>Challenges Faced by the Company</w:t>
      </w:r>
      <w:r>
        <w:tab/>
      </w:r>
      <w:r>
        <w:fldChar w:fldCharType="begin"/>
      </w:r>
      <w:r>
        <w:instrText xml:space="preserve"> PAGEREF _Toc212814038 \h </w:instrText>
      </w:r>
      <w:r>
        <w:fldChar w:fldCharType="separate"/>
      </w:r>
      <w:r>
        <w:t>13</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"_Toc212814039"</w:instrText>
      </w:r>
      <w:r>
        <w:fldChar w:fldCharType="separate"/>
      </w:r>
      <w:r>
        <w:rPr>
          <w:color w:val="auto"/>
        </w:rPr>
        <w:t>Digital Initiatives to Overcome Key Challenges</w:t>
      </w:r>
      <w:r>
        <w:tab/>
      </w:r>
      <w:r>
        <w:fldChar w:fldCharType="begin"/>
      </w:r>
      <w:r>
        <w:instrText xml:space="preserve"> PAGEREF _Toc212814039 \h </w:instrText>
      </w:r>
      <w:r>
        <w:fldChar w:fldCharType="separate"/>
      </w:r>
      <w:r>
        <w:t>14</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"_Toc212814040"</w:instrText>
      </w:r>
      <w:r>
        <w:fldChar w:fldCharType="separate"/>
      </w:r>
      <w:r>
        <w:rPr>
          <w:color w:val="auto"/>
        </w:rPr>
        <w:t>Customer Journey Map and Analysis</w:t>
      </w:r>
      <w:r>
        <w:tab/>
      </w:r>
      <w:r>
        <w:fldChar w:fldCharType="begin"/>
      </w:r>
      <w:r>
        <w:instrText xml:space="preserve"> PAGEREF _Toc212814040 \h </w:instrText>
      </w:r>
      <w:r>
        <w:fldChar w:fldCharType="separate"/>
      </w:r>
      <w:r>
        <w:t>15</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"_Toc212814041"</w:instrText>
      </w:r>
      <w:r>
        <w:fldChar w:fldCharType="separate"/>
      </w:r>
      <w:r>
        <w:rPr>
          <w:color w:val="auto"/>
        </w:rPr>
        <w:t>Positive Impact of the Proposed Initiatives</w:t>
      </w:r>
      <w:r>
        <w:tab/>
      </w:r>
      <w:r>
        <w:fldChar w:fldCharType="begin"/>
      </w:r>
      <w:r>
        <w:instrText xml:space="preserve"> PAGEREF _Toc212814041 \h </w:instrText>
      </w:r>
      <w:r>
        <w:fldChar w:fldCharType="separate"/>
      </w:r>
      <w:r>
        <w:t>15</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"_Toc212814042"</w:instrText>
      </w:r>
      <w:r>
        <w:fldChar w:fldCharType="separate"/>
      </w:r>
      <w:r>
        <w:rPr>
          <w:color w:val="auto"/>
        </w:rPr>
        <w:t>Key Performance Metrics and Measuring the Success</w:t>
      </w:r>
      <w:r>
        <w:tab/>
      </w:r>
      <w:r>
        <w:fldChar w:fldCharType="begin"/>
      </w:r>
      <w:r>
        <w:instrText xml:space="preserve"> PAGEREF _Toc212814042 \h </w:instrText>
      </w:r>
      <w:r>
        <w:fldChar w:fldCharType="separate"/>
      </w:r>
      <w:r>
        <w:t>16</w:t>
      </w:r>
      <w:r>
        <w:fldChar w:fldCharType="end"/>
      </w:r>
      <w:r>
        <w:fldChar w:fldCharType="end"/>
      </w:r>
    </w:p>
    <w:p>
      <w:pPr>
        <w:pStyle w:val="24"/>
        <w:tabs>
          <w:tab w:val="right" w:leader="dot" w:pos="9350"/>
        </w:tabs>
        <w:rPr>
          <w:rFonts w:ascii="Cambria" w:eastAsia="宋体" w:cs="Arial" w:hAnsi="Cambria"/>
          <w:kern w:val="2"/>
          <w:sz w:val="24"/>
          <w:szCs w:val="24"/>
          <w:lang w:val="en-US"/>
        </w:rPr>
      </w:pPr>
      <w:r>
        <w:fldChar w:fldCharType="begin"/>
      </w:r>
      <w:r>
        <w:instrText>Hyperlink \l "_Toc212814043"</w:instrText>
      </w:r>
      <w:r>
        <w:fldChar w:fldCharType="separate"/>
      </w:r>
      <w:r>
        <w:rPr>
          <w:color w:val="auto"/>
        </w:rPr>
        <w:t>Conclusion and Recommendations</w:t>
      </w:r>
      <w:r>
        <w:tab/>
      </w:r>
      <w:r>
        <w:fldChar w:fldCharType="begin"/>
      </w:r>
      <w:r>
        <w:instrText xml:space="preserve"> PAGEREF _Toc212814043 \h </w:instrText>
      </w:r>
      <w:r>
        <w:fldChar w:fldCharType="separate"/>
      </w:r>
      <w:r>
        <w:t>18</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"_Toc212814044"</w:instrText>
      </w:r>
      <w:r>
        <w:fldChar w:fldCharType="separate"/>
      </w:r>
      <w:r>
        <w:rPr>
          <w:color w:val="auto"/>
        </w:rPr>
        <w:t>Conclusion</w:t>
      </w:r>
      <w:r>
        <w:tab/>
      </w:r>
      <w:r>
        <w:fldChar w:fldCharType="begin"/>
      </w:r>
      <w:r>
        <w:instrText xml:space="preserve"> PAGEREF _Toc212814044 \h </w:instrText>
      </w:r>
      <w:r>
        <w:fldChar w:fldCharType="separate"/>
      </w:r>
      <w:r>
        <w:t>18</w:t>
      </w:r>
      <w:r>
        <w:fldChar w:fldCharType="end"/>
      </w:r>
      <w:r>
        <w:fldChar w:fldCharType="end"/>
      </w:r>
    </w:p>
    <w:p>
      <w:pPr>
        <w:pStyle w:val="25"/>
        <w:tabs>
          <w:tab w:val="right" w:leader="dot" w:pos="9350"/>
        </w:tabs>
        <w:rPr>
          <w:rFonts w:ascii="Cambria" w:eastAsia="宋体" w:cs="Arial" w:hAnsi="Cambria"/>
          <w:kern w:val="2"/>
          <w:sz w:val="24"/>
          <w:szCs w:val="24"/>
          <w:lang w:val="en-US"/>
        </w:rPr>
      </w:pPr>
      <w:r>
        <w:fldChar w:fldCharType="begin"/>
      </w:r>
      <w:r>
        <w:instrText>Hyperlink \l "_Toc212814045"</w:instrText>
      </w:r>
      <w:r>
        <w:fldChar w:fldCharType="separate"/>
      </w:r>
      <w:r>
        <w:rPr>
          <w:color w:val="auto"/>
        </w:rPr>
        <w:t>Recommendations</w:t>
      </w:r>
      <w:r>
        <w:tab/>
      </w:r>
      <w:r>
        <w:fldChar w:fldCharType="begin"/>
      </w:r>
      <w:r>
        <w:instrText xml:space="preserve"> PAGEREF _Toc212814045 \h </w:instrText>
      </w:r>
      <w:r>
        <w:fldChar w:fldCharType="separate"/>
      </w:r>
      <w:r>
        <w:t>18</w:t>
      </w:r>
      <w:r>
        <w:fldChar w:fldCharType="end"/>
      </w:r>
      <w:r>
        <w:fldChar w:fldCharType="end"/>
      </w:r>
    </w:p>
    <w:p>
      <w:pPr>
        <w:pStyle w:val="24"/>
        <w:tabs>
          <w:tab w:val="right" w:leader="dot" w:pos="9350"/>
        </w:tabs>
        <w:rPr>
          <w:rFonts w:ascii="Cambria" w:eastAsia="宋体" w:cs="Arial" w:hAnsi="Cambria"/>
          <w:kern w:val="2"/>
          <w:sz w:val="24"/>
          <w:szCs w:val="24"/>
          <w:lang w:val="en-US"/>
        </w:rPr>
      </w:pPr>
      <w:r>
        <w:fldChar w:fldCharType="begin"/>
      </w:r>
      <w:r>
        <w:instrText>Hyperlink \l "_Toc212814046"</w:instrText>
      </w:r>
      <w:r>
        <w:fldChar w:fldCharType="separate"/>
      </w:r>
      <w:r>
        <w:rPr>
          <w:color w:val="auto"/>
        </w:rPr>
        <w:t>References</w:t>
      </w:r>
      <w:r>
        <w:tab/>
      </w:r>
      <w:r>
        <w:fldChar w:fldCharType="begin"/>
      </w:r>
      <w:r>
        <w:instrText xml:space="preserve"> PAGEREF _Toc212814046 \h </w:instrText>
      </w:r>
      <w:r>
        <w:fldChar w:fldCharType="separate"/>
      </w:r>
      <w:r>
        <w:t>20</w:t>
      </w:r>
      <w:r>
        <w:fldChar w:fldCharType="end"/>
      </w:r>
      <w:r>
        <w:fldChar w:fldCharType="end"/>
      </w:r>
    </w:p>
    <w:p>
      <w:r>
        <w:rPr>
          <w:b/>
          <w:bCs/>
        </w:rPr>
        <w:fldChar w:fldCharType="end"/>
      </w:r>
    </w:p>
    <w:p>
      <w:pPr>
        <w:jc w:val="center"/>
        <w:rPr>
          <w:b/>
          <w:bCs/>
          <w:sz w:val="32"/>
          <w:szCs w:val="32"/>
        </w:rPr>
      </w:pPr>
    </w:p>
    <w:p>
      <w:pPr>
        <w:pStyle w:val="1"/>
        <w:jc w:val="center"/>
      </w:pPr>
      <w:bookmarkStart w:id="15" w:name="_17rztz940bwr"/>
      <w:bookmarkEnd w:id="15"/>
      <w:r>
        <w:br w:type="page"/>
      </w:r>
    </w:p>
    <w:p>
      <w:pPr>
        <w:pStyle w:val="1"/>
      </w:pPr>
      <w:bookmarkStart w:id="16" w:name="_wxxp4gffn7b6"/>
      <w:bookmarkStart w:id="17" w:name="_Toc212814024"/>
      <w:bookmarkEnd w:id="16"/>
      <w:r>
        <w:t>Introduction</w:t>
      </w:r>
      <w:bookmarkEnd w:id="17"/>
    </w:p>
    <w:p>
      <w:pPr>
        <w:jc w:val="center"/>
      </w:pPr>
      <w:r>
        <w:drawing>
          <wp:inline distT="114300" distB="114300" distL="114300" distR="114300">
            <wp:extent cx="4400550" cy="1996414"/>
            <wp:effectExtent l="0" t="0" r="0" b="0"/>
            <wp:docPr id="4" name="Images 4"/>
            <wp:cNvGraphicFramePr>
              <a:graphicFrameLocks noChangeAspect="0"/>
            </wp:cNvGraphicFramePr>
            <a:graphic>
              <a:graphicData uri="http://schemas.openxmlformats.org/drawingml/2006/picture">
                <pic:pic>
                  <pic:nvPicPr>
                    <pic:cNvPr id="6" name="Images 6"/>
                    <pic:cNvPicPr/>
                  </pic:nvPicPr>
                  <pic:blipFill>
                    <a:blip r:embed="rId5"/>
                    <a:srcRect t="6841" b="15240" l="4724" r="5117"/>
                    <a:stretch>
                      <a:fillRect/>
                    </a:stretch>
                  </pic:blipFill>
                  <pic:spPr>
                    <a:xfrm rot="0">
                      <a:off x="0" y="0"/>
                      <a:ext cx="4400550" cy="1996414"/>
                    </a:xfrm>
                    <a:prstGeom prst="rect"/>
                    <a:noFill/>
                    <a:ln w="12700" cmpd="sng" cap="flat">
                      <a:solidFill>
                        <a:srgbClr val="000000"/>
                      </a:solidFill>
                      <a:prstDash val="solid"/>
                      <a:round/>
                    </a:ln>
                  </pic:spPr>
                </pic:pic>
              </a:graphicData>
            </a:graphic>
          </wp:inline>
        </w:drawing>
      </w:r>
    </w:p>
    <w:p>
      <w:pPr>
        <w:jc w:val="center"/>
        <w:rPr>
          <w:b/>
        </w:rPr>
      </w:pPr>
      <w:r>
        <w:rPr>
          <w:b/>
        </w:rPr>
        <w:t>Figure: Customer Journey</w:t>
      </w:r>
    </w:p>
    <w:p>
      <w:pPr>
        <w:jc w:val="center"/>
        <w:rPr>
          <w:b/>
        </w:rPr>
      </w:pPr>
      <w:r>
        <w:rPr>
          <w:b/>
        </w:rPr>
        <w:t xml:space="preserve">Source: </w:t>
      </w:r>
      <w:r>
        <w:rPr>
          <w:lang w:val="en-US"/>
        </w:rPr>
        <w:t>(Baker, 2023)</w:t>
      </w:r>
    </w:p>
    <w:p>
      <w:r>
        <w:t xml:space="preserve">Customer journey mapping connects innovation and customer journey by helping businesses find out pain points and improvement opportunities for better innovation and customer experience. The customer journey changes innovation by facilitating personalisation, and proactive seamless experiences that foster customer loyalty, retention and subsequent business growth (Baxriddin o‘g‘li et al., 2024). Generally, data and technology are used by companies to find out and address customer needs and pain points effectively at individual touchpoints. Innovation affects each customer journey stage so that customer needs are understood and met for the creation of a better customer journey that goes beyond customer expectations. Typical innovation strategies for the customer journey are personalisation, omnichannel integration, proactive engagement, customer co-creation, and automation </w:t>
      </w:r>
      <w:r>
        <w:rPr>
          <w:lang w:val="en-US"/>
        </w:rPr>
        <w:t>(Alterian, 2025)</w:t>
      </w:r>
      <w:r>
        <w:t>. The present portfolio will analyse the UK operating Morrisons’ performance and key activities on the basis of the Innovation Ambition Matrix and Customer Journey Mapping. Organisation information available through annual reports and secondary sources will be used to identify customer and industry trends that impact the company. A visualised current and new customer journey map and digital transformation initiative will be prepared, which is capable of increasing the company's value.</w:t>
      </w:r>
    </w:p>
    <w:p>
      <w:pPr>
        <w:rPr>
          <w:b/>
          <w:sz w:val="28"/>
          <w:szCs w:val="28"/>
        </w:rPr>
      </w:pPr>
      <w:r>
        <w:br w:type="page"/>
      </w:r>
    </w:p>
    <w:p>
      <w:pPr>
        <w:pStyle w:val="1"/>
      </w:pPr>
      <w:bookmarkStart w:id="18" w:name="_Toc212814025"/>
      <w:r>
        <w:t>Introduction to the chosen organisation</w:t>
      </w:r>
      <w:bookmarkEnd w:id="18"/>
      <w:r>
        <w:t> </w:t>
      </w:r>
    </w:p>
    <w:p>
      <w:pPr>
        <w:jc w:val="center"/>
      </w:pPr>
      <w:r>
        <w:drawing>
          <wp:inline distT="0" distB="0" distL="0" distR="0">
            <wp:extent cx="3848100" cy="2567816"/>
            <wp:effectExtent l="0" t="0" r="0" b="0"/>
            <wp:docPr id="7" name="Images 7" descr="Diversity, People &amp; Communities"/>
            <wp:cNvGraphicFramePr>
              <a:graphicFrameLocks noChangeAspect="1"/>
            </wp:cNvGraphicFramePr>
            <a:graphic>
              <a:graphicData uri="http://schemas.openxmlformats.org/drawingml/2006/picture">
                <pic:pic>
                  <pic:nvPicPr>
                    <pic:cNvPr id="9" name="Images 9"/>
                    <pic:cNvPicPr/>
                  </pic:nvPicPr>
                  <pic:blipFill>
                    <a:blip r:embed="rId6"/>
                    <a:stretch>
                      <a:fillRect/>
                    </a:stretch>
                  </pic:blipFill>
                  <pic:spPr>
                    <a:xfrm rot="0">
                      <a:off x="0" y="0"/>
                      <a:ext cx="3848100" cy="2567816"/>
                    </a:xfrm>
                    <a:prstGeom prst="rect"/>
                    <a:noFill/>
                    <a:ln w="12700" cmpd="sng" cap="flat">
                      <a:noFill/>
                      <a:prstDash val="solid"/>
                      <a:round/>
                    </a:ln>
                  </pic:spPr>
                </pic:pic>
              </a:graphicData>
            </a:graphic>
          </wp:inline>
        </w:drawing>
      </w:r>
    </w:p>
    <w:p>
      <w:pPr>
        <w:jc w:val="center"/>
        <w:rPr>
          <w:b/>
          <w:bCs/>
        </w:rPr>
      </w:pPr>
      <w:r>
        <w:rPr>
          <w:b/>
          <w:bCs/>
        </w:rPr>
        <w:t>Figure: Employees in Morrisons</w:t>
      </w:r>
    </w:p>
    <w:p>
      <w:pPr>
        <w:jc w:val="center"/>
        <w:rPr>
          <w:b/>
          <w:bCs/>
        </w:rPr>
      </w:pPr>
      <w:r>
        <w:rPr>
          <w:b/>
          <w:bCs/>
        </w:rPr>
        <w:t xml:space="preserve">Source: </w:t>
      </w:r>
      <w:r>
        <w:rPr>
          <w:rFonts w:eastAsia="Cambria"/>
          <w:lang w:val="en-US"/>
        </w:rPr>
        <w:t>(morrisons-corporate, 2025)</w:t>
      </w:r>
    </w:p>
    <w:p>
      <w:r>
        <w:t xml:space="preserve">UK-based supermarket chain Morrisons started its journey under the leadership of William Morrison in the year 1899. From a humble beginning as an egg and butter stall in Rawson Market in Bradford, the company became the fifth-largest supermarket chain in the UK. The firm currently has over 497 supermarkets across England, Scotland and Wales as of 2021. Over the years, the company shaped its market structure with a merger and acquisition policy and acquired Safeway, a British supermarket chain based in southern England, in 2004 </w:t>
      </w:r>
      <w:r>
        <w:rPr>
          <w:rFonts w:eastAsia="Cambria"/>
          <w:lang w:val="en-US"/>
        </w:rPr>
        <w:t>(Erdly, 2024)</w:t>
      </w:r>
      <w:r>
        <w:t xml:space="preserve">. Morrisons purchased the company for £3.3 billion and enhanced its market base in and around the UK. The Bradford-based supermarket chain opened its flagship supermarket store, named Victoria, in 1961. From 1967 onwards, Morrisons became a public limited company and was listed on the London Stock Exchange. The retail chain signed a deal with an affordable and budget retailer, Peacocks and refurbished its store situated in Idle in Brandford. Morrisons is one of the largest job providers in the UK, and currently, 96,000 employees are serving the company to support their livelihoods </w:t>
      </w:r>
      <w:r>
        <w:rPr>
          <w:rFonts w:eastAsia="Cambria"/>
          <w:lang w:val="en-US"/>
        </w:rPr>
        <w:t>(morrisons-corporate, 2025)</w:t>
      </w:r>
      <w:r>
        <w:t>. Recent reports suggest that the supermarket chain has earned £17 billion in revenue for the fiscal year 2024.</w:t>
      </w:r>
    </w:p>
    <w:p>
      <w:r>
        <w:br w:type="page"/>
      </w:r>
    </w:p>
    <w:p>
      <w:pPr>
        <w:pStyle w:val="1"/>
      </w:pPr>
      <w:bookmarkStart w:id="19" w:name="_Toc212814026"/>
      <w:bookmarkStart w:id="20" w:name="_Hlk212811623"/>
      <w:r>
        <w:t>Key Consumer and Industry Trends and Data that Affect Morrisons</w:t>
      </w:r>
      <w:bookmarkEnd w:id="19"/>
    </w:p>
    <w:p>
      <w:pPr>
        <w:jc w:val="center"/>
        <w:rPr>
          <w:rFonts w:eastAsia="Times New Roman"/>
          <w:b/>
          <w:sz w:val="24"/>
          <w:szCs w:val="24"/>
        </w:rPr>
      </w:pPr>
      <w:r>
        <w:rPr>
          <w:sz w:val="24"/>
          <w:szCs w:val="24"/>
        </w:rPr>
        <w:drawing>
          <wp:inline distT="0" distB="0" distL="0" distR="0">
            <wp:extent cx="4870597" cy="2838058"/>
            <wp:effectExtent l="0" t="0" r="0" b="0"/>
            <wp:docPr id="10" name="Images 10" descr="morrisons van delivering food in a village"/>
            <wp:cNvGraphicFramePr>
              <a:graphicFrameLocks noChangeAspect="1"/>
            </wp:cNvGraphicFramePr>
            <a:graphic>
              <a:graphicData uri="http://schemas.openxmlformats.org/drawingml/2006/picture">
                <pic:pic>
                  <pic:nvPicPr>
                    <pic:cNvPr id="12" name="Images 12"/>
                    <pic:cNvPicPr/>
                  </pic:nvPicPr>
                  <pic:blipFill>
                    <a:blip r:embed="rId7"/>
                    <a:stretch>
                      <a:fillRect/>
                    </a:stretch>
                  </pic:blipFill>
                  <pic:spPr>
                    <a:xfrm rot="0">
                      <a:off x="0" y="0"/>
                      <a:ext cx="4870597" cy="2838058"/>
                    </a:xfrm>
                    <a:prstGeom prst="rect"/>
                    <a:noFill/>
                    <a:ln w="12700" cmpd="sng" cap="flat">
                      <a:noFill/>
                      <a:prstDash val="solid"/>
                      <a:round/>
                    </a:ln>
                  </pic:spPr>
                </pic:pic>
              </a:graphicData>
            </a:graphic>
          </wp:inline>
        </w:drawing>
      </w:r>
    </w:p>
    <w:p>
      <w:pPr>
        <w:jc w:val="center"/>
        <w:rPr>
          <w:rFonts w:eastAsia="Times New Roman"/>
          <w:b/>
        </w:rPr>
      </w:pPr>
      <w:r>
        <w:rPr>
          <w:rFonts w:eastAsia="Times New Roman"/>
          <w:b/>
        </w:rPr>
        <w:t>Figure: Home Delivery by Morrisons</w:t>
      </w:r>
    </w:p>
    <w:p>
      <w:pPr>
        <w:jc w:val="center"/>
        <w:rPr>
          <w:rFonts w:eastAsia="Times New Roman"/>
          <w:b/>
        </w:rPr>
      </w:pPr>
      <w:r>
        <w:rPr>
          <w:rFonts w:eastAsia="Times New Roman"/>
          <w:b/>
        </w:rPr>
        <w:t xml:space="preserve">Source: </w:t>
      </w:r>
      <w:r>
        <w:rPr>
          <w:rFonts w:eastAsia="Times New Roman"/>
          <w:lang w:val="en-US"/>
        </w:rPr>
        <w:t>(Carroll, 2025)</w:t>
      </w:r>
    </w:p>
    <w:p>
      <w:pPr>
        <w:pStyle w:val="2"/>
      </w:pPr>
      <w:bookmarkStart w:id="21" w:name="_Toc212814027"/>
      <w:r>
        <w:t>Key Customer Trends</w:t>
      </w:r>
      <w:bookmarkEnd w:id="21"/>
    </w:p>
    <w:p>
      <w:pPr>
        <w:rPr>
          <w:rFonts w:eastAsia="Times New Roman"/>
          <w:b/>
        </w:rPr>
      </w:pPr>
      <w:r>
        <w:rPr>
          <w:rFonts w:eastAsia="Times New Roman"/>
          <w:b/>
        </w:rPr>
        <w:t>Sustainability</w:t>
      </w:r>
    </w:p>
    <w:p>
      <w:r>
        <w:t>The concerns regarding sustainability among the contemporary pool of consumers are increasing, which has necessitated a need, even in the retail sector, such as Morrisons, to offer eco-friendly and sustainable products. This is a significantly growing trend which puts pressure on the company to effectively not just integrate, but also market these values. As per a report presented by Statista, it was found that 77% of the consumers in Europe are engaging in sustainable activities such as reusable practices</w:t>
      </w:r>
      <w:r>
        <w:rPr>
          <w:lang w:val="en-US"/>
        </w:rPr>
        <w:t xml:space="preserve"> (Statista, 2025)</w:t>
      </w:r>
      <w:r>
        <w:t>.</w:t>
      </w:r>
    </w:p>
    <w:p>
      <w:pPr>
        <w:rPr>
          <w:rFonts w:eastAsia="Times New Roman"/>
          <w:b/>
        </w:rPr>
      </w:pPr>
      <w:r>
        <w:rPr>
          <w:rFonts w:eastAsia="Times New Roman"/>
          <w:b/>
        </w:rPr>
        <w:t>Online Integration and Convenience</w:t>
      </w:r>
    </w:p>
    <w:p>
      <w:r>
        <w:t>Online shopping is the most preferred and popular medium for shopping among new customers in the retail industry. Fast delivery options make brands more attractive as convenience and fast-paced options are being prioritised by buyers. They are also multichannel shoppers who expect a seamless experience of buying across digital and physical platforms. Since the pandemic peak, the online grocery market has become an essential part of lifestyles, projecting a growing market share. The development rate of the e-commerce market in the United Kingdom is nearing 85%, which means most of the consumers in this country prefer online shopping</w:t>
      </w:r>
      <w:r>
        <w:rPr>
          <w:lang w:val="en-US"/>
        </w:rPr>
        <w:t xml:space="preserve"> (Watty, 2025)</w:t>
      </w:r>
      <w:r>
        <w:t xml:space="preserve">. </w:t>
      </w:r>
    </w:p>
    <w:p>
      <w:pPr>
        <w:rPr>
          <w:rFonts w:eastAsia="Times New Roman"/>
          <w:b/>
        </w:rPr>
      </w:pPr>
      <w:r>
        <w:rPr>
          <w:rFonts w:eastAsia="Times New Roman"/>
          <w:b/>
        </w:rPr>
        <w:t>Value-Based Shopping</w:t>
      </w:r>
    </w:p>
    <w:p>
      <w:pPr>
        <w:rPr>
          <w:rFonts w:eastAsia="Times New Roman"/>
        </w:rPr>
      </w:pPr>
      <w:r>
        <w:rPr>
          <w:rFonts w:eastAsia="Times New Roman"/>
        </w:rPr>
        <w:t>Economic uncertainty and inflationary pressures are the reasons behind buyers becoming highly sensitive towards the price of retail goods. Strategies that are saving costs are actively being adopted by people, which include taking advantage of promotions and buying private-label products, shifting towards retailers who are offering value along with quality. For example, Morrisons has implemented a scheme called Price Match, which has helped them to sell goods while being competitive</w:t>
      </w:r>
      <w:r>
        <w:rPr>
          <w:rFonts w:eastAsia="Times New Roman"/>
          <w:lang w:val="en-US"/>
        </w:rPr>
        <w:t xml:space="preserve"> (morrisons, 2025a)</w:t>
      </w:r>
      <w:r>
        <w:rPr>
          <w:rFonts w:eastAsia="Times New Roman"/>
        </w:rPr>
        <w:t>.</w:t>
      </w:r>
    </w:p>
    <w:p>
      <w:pPr>
        <w:pStyle w:val="2"/>
      </w:pPr>
      <w:bookmarkStart w:id="22" w:name="_Toc212814028"/>
      <w:r>
        <w:t>Key Industry Trends and Data</w:t>
      </w:r>
      <w:bookmarkEnd w:id="22"/>
    </w:p>
    <w:p>
      <w:pPr>
        <w:rPr>
          <w:rFonts w:eastAsia="Times New Roman"/>
          <w:b/>
        </w:rPr>
      </w:pPr>
      <w:r>
        <w:rPr>
          <w:rFonts w:eastAsia="Times New Roman"/>
          <w:b/>
        </w:rPr>
        <w:t>Intense Competitive Landscape</w:t>
      </w:r>
    </w:p>
    <w:p>
      <w:pPr>
        <w:rPr>
          <w:rFonts w:eastAsia="Times New Roman"/>
        </w:rPr>
      </w:pPr>
      <w:r>
        <w:rPr>
          <w:rFonts w:eastAsia="Times New Roman"/>
        </w:rPr>
        <w:t>Lidl, Asda, Sainsbury, and Tesco are the major forces which have the capability to disrupt the grocery market of the United Kingdom. Their activities are constantly evolving based on the customer preferences, which is supporting the gain of market share</w:t>
      </w:r>
      <w:r>
        <w:rPr>
          <w:rFonts w:eastAsia="Times New Roman"/>
          <w:lang w:val="en-US"/>
        </w:rPr>
        <w:t xml:space="preserve"> (Bedford, 2025)</w:t>
      </w:r>
      <w:r>
        <w:rPr>
          <w:rFonts w:eastAsia="Times New Roman"/>
        </w:rPr>
        <w:t>. This creates the potential for the business firm to be seriously impacted, resulting in lost customers despite being overtaken by Aldi, making it the fourth-largest supermarket as per the current market share.</w:t>
      </w:r>
    </w:p>
    <w:p>
      <w:pPr>
        <w:rPr>
          <w:rFonts w:eastAsia="Times New Roman"/>
          <w:b/>
        </w:rPr>
      </w:pPr>
      <w:r>
        <w:rPr>
          <w:rFonts w:eastAsia="Times New Roman"/>
          <w:b/>
        </w:rPr>
        <w:t>Technology and Artificial Intelligence Integration</w:t>
      </w:r>
    </w:p>
    <w:p>
      <w:pPr>
        <w:rPr>
          <w:rFonts w:eastAsia="Times New Roman"/>
        </w:rPr>
      </w:pPr>
      <w:r>
        <w:rPr>
          <w:rFonts w:eastAsia="Times New Roman"/>
        </w:rPr>
        <w:t>Supermarket chains are continuing to use digital technological advancements such as AI, blockchain and data to improve customer experiences and drive more effectiveness. The technology blockchain is well known after the popular project called Bitcoin. It includes offering customers personalised loyalty programs while benefiting from real-time monitoring for shelf availability and demand forecasting. As a part of the modernisation effort, the brand is planning to roll out its digital shelf-edge labels across the store in 2026 (</w:t>
      </w:r>
      <w:r>
        <w:rPr>
          <w:rFonts w:eastAsia="Times New Roman"/>
          <w:highlight w:val="white"/>
        </w:rPr>
        <w:t>Wilson</w:t>
      </w:r>
      <w:r>
        <w:rPr>
          <w:rFonts w:eastAsia="Times New Roman"/>
        </w:rPr>
        <w:t xml:space="preserve"> et al., 2024).</w:t>
      </w:r>
    </w:p>
    <w:p>
      <w:pPr>
        <w:rPr>
          <w:rFonts w:eastAsia="Times New Roman"/>
          <w:b/>
        </w:rPr>
      </w:pPr>
      <w:r>
        <w:rPr>
          <w:rFonts w:eastAsia="Times New Roman"/>
          <w:b/>
        </w:rPr>
        <w:t>Financial Pressure and Debt</w:t>
      </w:r>
    </w:p>
    <w:p>
      <w:pPr>
        <w:rPr>
          <w:rFonts w:eastAsia="Times New Roman"/>
        </w:rPr>
      </w:pPr>
      <w:r>
        <w:rPr>
          <w:rFonts w:eastAsia="Times New Roman"/>
        </w:rPr>
        <w:t>Currently, Morrisons is facing significant obligations of debt, which are around 3.5 billion British pounds, in late 2025, despite being acquired by multiple entities. The ability of the company to invest in a new-age business model and compete on price has been constrained due to this, compared to its rivals, who have less debt</w:t>
      </w:r>
      <w:r>
        <w:rPr>
          <w:rFonts w:eastAsia="Times New Roman"/>
          <w:lang w:val="en-US"/>
        </w:rPr>
        <w:t xml:space="preserve"> (Davey, 2025)</w:t>
      </w:r>
      <w:r>
        <w:rPr>
          <w:rFonts w:eastAsia="Times New Roman"/>
        </w:rPr>
        <w:t>. This financial pressure is affecting the ways the business innovates, which can make it stay behind in the current competitive curve. The business organisations experienced a slowdown in sales growth in the previous quarter of 2025, which is 3.5% to 4 billion British pounds, from a 4.2% growth</w:t>
      </w:r>
      <w:r>
        <w:rPr>
          <w:rFonts w:eastAsia="Times New Roman"/>
          <w:lang w:val="en-US"/>
        </w:rPr>
        <w:t xml:space="preserve"> (HAWKINS, 2025)</w:t>
      </w:r>
      <w:r>
        <w:rPr>
          <w:rFonts w:eastAsia="Times New Roman"/>
        </w:rPr>
        <w:t>.</w:t>
      </w:r>
    </w:p>
    <w:p>
      <w:pPr>
        <w:rPr>
          <w:rFonts w:eastAsia="Times New Roman"/>
          <w:b/>
        </w:rPr>
      </w:pPr>
      <w:r>
        <w:rPr>
          <w:rFonts w:eastAsia="Times New Roman"/>
          <w:b/>
        </w:rPr>
        <w:t>Market Share and Underperformance</w:t>
      </w:r>
    </w:p>
    <w:p>
      <w:pPr>
        <w:rPr>
          <w:rFonts w:eastAsia="Times New Roman"/>
        </w:rPr>
      </w:pPr>
      <w:r>
        <w:rPr>
          <w:rFonts w:eastAsia="Times New Roman"/>
        </w:rPr>
        <w:t>The data of late 2024 and mid-2025 show that the business had a market share of approximately 8.6% to 8.4%</w:t>
      </w:r>
      <w:r>
        <w:rPr>
          <w:rFonts w:eastAsia="Times New Roman"/>
          <w:lang w:val="en-US"/>
        </w:rPr>
        <w:t xml:space="preserve"> (Carroll, 2025)</w:t>
      </w:r>
      <w:r>
        <w:rPr>
          <w:rFonts w:eastAsia="Times New Roman"/>
        </w:rPr>
        <w:t>. This showcases that the company has underperformed, as in percentage has decreased, where various reasons might contribute. There can be possibly internal challenges due to rapid modernisation, slow growth of sales, technical and operational issues, and intense competition and high levels of debt.</w:t>
      </w:r>
      <w:bookmarkEnd w:id="20"/>
    </w:p>
    <w:p>
      <w:pPr>
        <w:pStyle w:val="1"/>
      </w:pPr>
      <w:bookmarkStart w:id="23" w:name="_Toc212814029"/>
      <w:r>
        <w:t>Part 1: An analysis of the organisation’s approach</w:t>
      </w:r>
      <w:bookmarkEnd w:id="23"/>
    </w:p>
    <w:p>
      <w:pPr>
        <w:pStyle w:val="2"/>
      </w:pPr>
      <w:bookmarkStart w:id="24" w:name="_Toc212814030"/>
      <w:r>
        <w:t>Innovation Ambition Matrix</w:t>
      </w:r>
      <w:bookmarkEnd w:id="24"/>
    </w:p>
    <w:tbl>
      <w:tblPr>
        <w:jc w:val="left"/>
        <w:tblBorders>
          <w:top w:val="none" w:sz="0" w:space="0" w:color="auto"/>
          <w:left w:val="none" w:sz="0" w:space="0" w:color="auto"/>
          <w:bottom w:val="none" w:sz="0" w:space="0" w:color="auto"/>
          <w:right w:val="none" w:sz="0" w:space="0" w:color="auto"/>
        </w:tblBorders>
        <w:tblCellMar>
          <w:top w:w="15" w:type="dxa"/>
          <w:left w:w="15" w:type="dxa"/>
          <w:bottom w:w="15" w:type="dxa"/>
          <w:right w:w="15" w:type="dxa"/>
        </w:tblCellMar>
      </w:tblPr>
      <w:tblGrid>
        <w:gridCol w:w="2466"/>
        <w:gridCol w:w="4129"/>
        <w:gridCol w:w="2965"/>
      </w:tblGrid>
      <w:t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center"/>
            </w:pPr>
            <w:r>
              <w:rPr>
                <w:b/>
                <w:bCs/>
              </w:rPr>
              <w:t>Components</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center"/>
            </w:pPr>
            <w:r>
              <w:rPr>
                <w:b/>
                <w:bCs/>
              </w:rPr>
              <w:t>Product</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center"/>
            </w:pPr>
            <w:r>
              <w:rPr>
                <w:b/>
                <w:bCs/>
              </w:rPr>
              <w:t>Market</w:t>
            </w:r>
          </w:p>
        </w:tc>
      </w:tr>
      <w:t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
              <w:t>CORE</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22"/>
              <w:numPr>
                <w:ilvl w:val="0"/>
                <w:numId w:val="1"/>
              </w:numPr>
            </w:pPr>
            <w:r>
              <w:t>Own-label brands: Morrison Savers, Free From, Safeway, Nutmeg, V Taste</w:t>
            </w:r>
          </w:p>
          <w:p>
            <w:pPr>
              <w:pStyle w:val="22"/>
              <w:numPr>
                <w:ilvl w:val="0"/>
                <w:numId w:val="1"/>
              </w:numPr>
            </w:pPr>
            <w:r>
              <w:t>Core offerings: groceries, fuel, general merchandise, bakery items</w:t>
            </w:r>
          </w:p>
          <w:p>
            <w:pPr>
              <w:pStyle w:val="22"/>
              <w:numPr>
                <w:ilvl w:val="0"/>
                <w:numId w:val="1"/>
              </w:numPr>
            </w:pPr>
            <w:r>
              <w:t>Extensive manufacturing networks and physical retail stores</w:t>
            </w:r>
          </w:p>
          <w:p>
            <w:pPr>
              <w:pStyle w:val="22"/>
              <w:numPr>
                <w:ilvl w:val="0"/>
                <w:numId w:val="1"/>
              </w:numPr>
            </w:pPr>
            <w:r>
              <w:t>Pilot programs: "Farm Shop Feel" (store revamps), "Market Street" (in-house butchers)</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22"/>
              <w:numPr>
                <w:ilvl w:val="0"/>
                <w:numId w:val="1"/>
              </w:numPr>
            </w:pPr>
            <w:r>
              <w:t>490+ supermarket stores across England, Scotland, Wales</w:t>
            </w:r>
          </w:p>
          <w:p>
            <w:pPr>
              <w:pStyle w:val="22"/>
              <w:numPr>
                <w:ilvl w:val="0"/>
                <w:numId w:val="1"/>
              </w:numPr>
            </w:pPr>
            <w:r>
              <w:t>12 million+ customers served</w:t>
            </w:r>
          </w:p>
          <w:p>
            <w:pPr>
              <w:pStyle w:val="22"/>
              <w:numPr>
                <w:ilvl w:val="0"/>
                <w:numId w:val="1"/>
              </w:numPr>
            </w:pPr>
            <w:r>
              <w:t>Primary online demographic: ages 25-34</w:t>
            </w:r>
          </w:p>
          <w:p>
            <w:pPr>
              <w:pStyle w:val="22"/>
              <w:numPr>
                <w:ilvl w:val="0"/>
                <w:numId w:val="1"/>
              </w:numPr>
            </w:pPr>
            <w:r>
              <w:t>Market research and customer surveys to understand needs</w:t>
            </w:r>
          </w:p>
          <w:p>
            <w:pPr>
              <w:pStyle w:val="22"/>
              <w:numPr>
                <w:ilvl w:val="0"/>
                <w:numId w:val="1"/>
              </w:numPr>
            </w:pPr>
            <w:r>
              <w:t>Focus on employee motivation and customer satisfaction</w:t>
            </w:r>
          </w:p>
          <w:p>
            <w:pPr>
              <w:pStyle w:val="22"/>
              <w:numPr>
                <w:ilvl w:val="0"/>
                <w:numId w:val="1"/>
              </w:numPr>
            </w:pPr>
            <w:r>
              <w:t>Gathering customer feedback through prototype programs</w:t>
            </w:r>
          </w:p>
        </w:tc>
      </w:tr>
      <w:t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
              <w:t>ADJACENT</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22"/>
              <w:numPr>
                <w:ilvl w:val="0"/>
                <w:numId w:val="1"/>
              </w:numPr>
            </w:pPr>
            <w:r>
              <w:t>400+ new products added (2024-2025): desserts, ready meals, seasonal items</w:t>
            </w:r>
          </w:p>
          <w:p>
            <w:pPr>
              <w:pStyle w:val="22"/>
              <w:numPr>
                <w:ilvl w:val="0"/>
                <w:numId w:val="1"/>
              </w:numPr>
            </w:pPr>
            <w:r>
              <w:t>Partnership with Harry Ramsden's: mushy peas, battered fish fillets, curry sauce</w:t>
            </w:r>
          </w:p>
          <w:p>
            <w:pPr>
              <w:pStyle w:val="22"/>
              <w:numPr>
                <w:ilvl w:val="0"/>
                <w:numId w:val="1"/>
              </w:numPr>
            </w:pPr>
            <w:r>
              <w:t>Health-focused ranges: vegan and low-sugar products</w:t>
            </w:r>
          </w:p>
          <w:p>
            <w:pPr>
              <w:pStyle w:val="22"/>
              <w:numPr>
                <w:ilvl w:val="0"/>
                <w:numId w:val="1"/>
              </w:numPr>
            </w:pPr>
            <w:r>
              <w:t>Personalised loyalty programs with tailored discounts and rewards</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22"/>
              <w:numPr>
                <w:ilvl w:val="0"/>
                <w:numId w:val="1"/>
              </w:numPr>
            </w:pPr>
            <w:r>
              <w:t>Targeting health-conscious consumers</w:t>
            </w:r>
          </w:p>
          <w:p>
            <w:pPr>
              <w:pStyle w:val="22"/>
              <w:numPr>
                <w:ilvl w:val="0"/>
                <w:numId w:val="1"/>
              </w:numPr>
            </w:pPr>
            <w:r>
              <w:t>Expanding delivery options and e-marketplace partnerships</w:t>
            </w:r>
          </w:p>
          <w:p>
            <w:pPr>
              <w:pStyle w:val="22"/>
              <w:numPr>
                <w:ilvl w:val="0"/>
                <w:numId w:val="1"/>
              </w:numPr>
            </w:pPr>
            <w:r>
              <w:t>International market exploration in high-growth supermarket regions</w:t>
            </w:r>
          </w:p>
          <w:p>
            <w:pPr>
              <w:pStyle w:val="22"/>
              <w:numPr>
                <w:ilvl w:val="0"/>
                <w:numId w:val="1"/>
              </w:numPr>
            </w:pPr>
            <w:r>
              <w:t>Enhanced online presence initiatives</w:t>
            </w:r>
          </w:p>
          <w:p>
            <w:pPr>
              <w:pStyle w:val="22"/>
              <w:numPr>
                <w:ilvl w:val="0"/>
                <w:numId w:val="1"/>
              </w:numPr>
            </w:pPr>
            <w:r>
              <w:t>Building customer loyalty through repeat purchases and tier-based progression</w:t>
            </w:r>
          </w:p>
        </w:tc>
      </w:tr>
      <w:tr>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
              <w:t>TRANSFORMATIONAL</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22"/>
              <w:numPr>
                <w:ilvl w:val="0"/>
                <w:numId w:val="1"/>
              </w:numPr>
            </w:pPr>
            <w:r>
              <w:t>Sustainable packaging target by end of 2025</w:t>
            </w:r>
          </w:p>
          <w:p>
            <w:pPr>
              <w:pStyle w:val="22"/>
              <w:numPr>
                <w:ilvl w:val="0"/>
                <w:numId w:val="1"/>
              </w:numPr>
            </w:pPr>
            <w:r>
              <w:t>30% recycled content goal across stores</w:t>
            </w:r>
          </w:p>
          <w:p>
            <w:pPr>
              <w:pStyle w:val="22"/>
              <w:numPr>
                <w:ilvl w:val="0"/>
                <w:numId w:val="1"/>
              </w:numPr>
            </w:pPr>
            <w:r>
              <w:t>AI-powered in-store monitoring: customer behavior analysis, stock level tracking, theft prevention</w:t>
            </w:r>
          </w:p>
          <w:p>
            <w:pPr>
              <w:pStyle w:val="22"/>
              <w:numPr>
                <w:ilvl w:val="0"/>
                <w:numId w:val="1"/>
              </w:numPr>
            </w:pPr>
            <w:r>
              <w:t>Automated supply chain: machine learning integration, real-time inventory management, warehouse optimization</w:t>
            </w:r>
          </w:p>
        </w:tc>
        <w:tc>
          <w:tcPr>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22"/>
              <w:numPr>
                <w:ilvl w:val="0"/>
                <w:numId w:val="1"/>
              </w:numPr>
            </w:pPr>
            <w:r>
              <w:t>Targeting Gen Z customers (ages 18-25)</w:t>
            </w:r>
          </w:p>
          <w:p>
            <w:pPr>
              <w:pStyle w:val="22"/>
              <w:numPr>
                <w:ilvl w:val="0"/>
                <w:numId w:val="1"/>
              </w:numPr>
            </w:pPr>
            <w:r>
              <w:t>Expanded online presence strategy</w:t>
            </w:r>
          </w:p>
          <w:p>
            <w:pPr>
              <w:pStyle w:val="22"/>
              <w:numPr>
                <w:ilvl w:val="0"/>
                <w:numId w:val="1"/>
              </w:numPr>
            </w:pPr>
            <w:r>
              <w:t>Quick and convenient ready meal ranges for new-age customers</w:t>
            </w:r>
          </w:p>
          <w:p>
            <w:pPr>
              <w:pStyle w:val="22"/>
              <w:numPr>
                <w:ilvl w:val="0"/>
                <w:numId w:val="1"/>
              </w:numPr>
            </w:pPr>
            <w:r>
              <w:t>Data-driven decision making for operational resilience</w:t>
            </w:r>
          </w:p>
          <w:p>
            <w:pPr>
              <w:pStyle w:val="22"/>
              <w:numPr>
                <w:ilvl w:val="0"/>
                <w:numId w:val="1"/>
              </w:numPr>
            </w:pPr>
            <w:r>
              <w:t>Enhanced customer experience through AI monitoring across all UK stores</w:t>
            </w:r>
          </w:p>
        </w:tc>
      </w:tr>
    </w:tbl>
    <w:p/>
    <w:p>
      <w:pPr>
        <w:pStyle w:val="2"/>
      </w:pPr>
      <w:bookmarkStart w:id="25" w:name="_Toc212814031"/>
      <w:r>
        <w:t>Current design thinking and innovations of Morrisons</w:t>
      </w:r>
      <w:bookmarkEnd w:id="25"/>
    </w:p>
    <w:p>
      <w:r>
        <w:t xml:space="preserve">Currently, Morrisons is emphasising its need for employee motivation and understanding its huge customer base in the market of and around the UK. They are surveying in the markets with proper research work and offering their customers groceries, fuel and bakery items while understanding their needs. The supermarket chain is gathering market-centric information to resolve its customer concerns and is looking to serve more than 12 million customers by meeting their needs (Zhang et al., 2025). Morrisons and its management are taking up efforts to come up with potential solutions and even taking up some prototype programs to understand their customer behaviour regarding their existing product segments available in the market. The pilot programs, such as “Farm Shop Feel”, are being used to revamp its store locations and “Market Street” to counter in-house butchers </w:t>
      </w:r>
      <w:r>
        <w:rPr>
          <w:rFonts w:eastAsia="Cambria"/>
          <w:lang w:val="en-US"/>
        </w:rPr>
        <w:t>(Erdly, 2024)</w:t>
      </w:r>
      <w:r>
        <w:t>. These programs have helped them to gather customer feedback, which ultimately indicates customer satisfaction and their over-reliance on the products of the company. </w:t>
      </w:r>
    </w:p>
    <w:p>
      <w:pPr>
        <w:pStyle w:val="2"/>
      </w:pPr>
      <w:bookmarkStart w:id="26" w:name="_Toc212814032"/>
      <w:r>
        <w:t>New innovation opportunities are on the horizon</w:t>
      </w:r>
      <w:bookmarkEnd w:id="26"/>
    </w:p>
    <w:p>
      <w:r>
        <w:rPr>
          <w:b/>
          <w:bCs/>
          <w:i/>
          <w:iCs/>
        </w:rPr>
        <w:t>Automated Supply Chain Management</w:t>
      </w:r>
    </w:p>
    <w:p>
      <w:r>
        <w:t>Morrisons and its line management can take up initiatives to invest in the automated supply chains, as it can help them to allocate all of their relevant resources available in a timely manner. It ultimately enhances their productivity, and the company can get enough opportunity to serve their extended customer base in the new market segments in a seamless manner. While integrating new-age technologies such as machine learning, the supermarket chain can enhance its operational resilience and take up data-driven decisions. Automation in revitalising the existing supply chain can help the firm to manage its inventory and process its warehouse operations with real-time data in place (Tarnanidis et al., 2025). </w:t>
      </w:r>
    </w:p>
    <w:p>
      <w:r>
        <w:rPr>
          <w:b/>
          <w:bCs/>
          <w:i/>
          <w:iCs/>
        </w:rPr>
        <w:t>AI-powered In-store Monitoring</w:t>
      </w:r>
    </w:p>
    <w:p>
      <w:r>
        <w:t>The UK-based supermarket chain can utilise new-age technology such as AI-powered in-store monitoring, as this particular technology can assist the firm to observe its store customers across the UK from a single source. It can further provide the company an opportunity to understand their customer behaviours while monitoring the availability of key products in view of the customer needs. AI can help the firm to take stock of the levels of products and improve the product availability while enhancing its operational excellence. The management of the firm can utilities computer to analyse their in-store data and prevent any form of losses and theft-related issues while enhancing the customer experience (Argyropoulou et al., 2024). </w:t>
      </w:r>
    </w:p>
    <w:p>
      <w:r>
        <w:rPr>
          <w:b/>
          <w:bCs/>
          <w:i/>
          <w:iCs/>
        </w:rPr>
        <w:t>Personalised Loyalty Program</w:t>
      </w:r>
    </w:p>
    <w:p>
      <w:r>
        <w:t xml:space="preserve">There is a need to introduce personalised loyalty programs as they can help Morrisons to offer its customers personalised services and discounts while availing relevant rewards in place. It will encourage them to build a strong bond with the organisation and become loyal customers with repeat purchases </w:t>
      </w:r>
      <w:r>
        <w:rPr>
          <w:rFonts w:eastAsia="Cambria"/>
          <w:lang w:val="en-US"/>
        </w:rPr>
        <w:t>(Erdly, 2024)</w:t>
      </w:r>
      <w:r>
        <w:t>. It can help the company to analyse its customer behaviour regarding a specific product and further recommend tailored services and benefits according to their needs. A personalised loyalty program can provide an opportunity for the firm to track its customer journey and upgrade their progress towards the next tier. </w:t>
      </w:r>
    </w:p>
    <w:p>
      <w:pPr>
        <w:pStyle w:val="2"/>
      </w:pPr>
      <w:bookmarkStart w:id="27" w:name="_Toc212814033"/>
      <w:r>
        <w:t>Customer Journey Mapping</w:t>
      </w:r>
      <w:bookmarkEnd w:id="27"/>
    </w:p>
    <w:p>
      <w:pPr>
        <w:jc w:val="center"/>
      </w:pPr>
      <w:r>
        <w:drawing>
          <wp:inline distT="0" distB="0" distL="0" distR="0">
            <wp:extent cx="4848225" cy="3636169"/>
            <wp:effectExtent l="0" t="0" r="0" b="0"/>
            <wp:docPr id="13" name="Images 13"/>
            <wp:cNvGraphicFramePr>
              <a:graphicFrameLocks noChangeAspect="1"/>
            </wp:cNvGraphicFramePr>
            <a:graphic>
              <a:graphicData uri="http://schemas.openxmlformats.org/drawingml/2006/picture">
                <pic:pic>
                  <pic:nvPicPr>
                    <pic:cNvPr id="15" name="Images 15"/>
                    <pic:cNvPicPr/>
                  </pic:nvPicPr>
                  <pic:blipFill>
                    <a:blip r:embed="rId8"/>
                    <a:stretch>
                      <a:fillRect/>
                    </a:stretch>
                  </pic:blipFill>
                  <pic:spPr>
                    <a:xfrm rot="0">
                      <a:off x="0" y="0"/>
                      <a:ext cx="4848225" cy="3636169"/>
                    </a:xfrm>
                    <a:prstGeom prst="rect"/>
                    <a:noFill/>
                    <a:ln w="12700" cmpd="sng" cap="flat">
                      <a:noFill/>
                      <a:prstDash val="solid"/>
                      <a:round/>
                    </a:ln>
                  </pic:spPr>
                </pic:pic>
              </a:graphicData>
            </a:graphic>
          </wp:inline>
        </w:drawing>
      </w:r>
    </w:p>
    <w:p>
      <w:pPr>
        <w:jc w:val="center"/>
      </w:pPr>
      <w:bookmarkStart w:id="28" w:name="_fh5u4l4d95q9"/>
      <w:bookmarkEnd w:id="28"/>
      <w:r>
        <w:rPr>
          <w:b/>
        </w:rPr>
        <w:t>Figure: Customer Journey Map</w:t>
      </w:r>
    </w:p>
    <w:p>
      <w:pPr>
        <w:jc w:val="center"/>
        <w:rPr>
          <w:b/>
          <w:i/>
        </w:rPr>
      </w:pPr>
      <w:r>
        <w:rPr>
          <w:b/>
        </w:rPr>
        <w:t xml:space="preserve">Source: </w:t>
      </w:r>
      <w:r>
        <w:rPr>
          <w:bCs/>
        </w:rPr>
        <w:t>(Author, 2025)</w:t>
      </w:r>
    </w:p>
    <w:p>
      <w:pPr>
        <w:pStyle w:val="2"/>
      </w:pPr>
      <w:bookmarkStart w:id="29" w:name="_Toc212814034"/>
      <w:r>
        <w:t>Analysis Of Morrisons' Current Customer Journey</w:t>
      </w:r>
      <w:bookmarkEnd w:id="29"/>
    </w:p>
    <w:p>
      <w:r>
        <w:t xml:space="preserve">The prepared customer journey map has indicated pain points in red and gain points in green colour. The awareness and consideration stage involves seeing advertisements, flyers and online search results. Recommendations received through word of mouth and online browsing are also a part of this stage. The exploration and purchase stage involved physical store visitation or online shopping. Customers use in-store navigation and interact with staff to choose products and check out </w:t>
      </w:r>
      <w:r>
        <w:rPr>
          <w:lang w:val="en-US"/>
        </w:rPr>
        <w:t>(ThinkSys , 2025)</w:t>
      </w:r>
      <w:r>
        <w:t xml:space="preserve">.  The post-purchase and advocacy phase comprises taking the products home for consumption, along with customer service usage in case of issues. Follow-up emails can be received, as well as loyalty program participation, and review or feedback provision. </w:t>
      </w:r>
    </w:p>
    <w:p>
      <w:pPr>
        <w:pStyle w:val="2"/>
      </w:pPr>
      <w:bookmarkStart w:id="30" w:name="_vkq4uy6opr5z"/>
      <w:bookmarkStart w:id="31" w:name="_Toc212814035"/>
      <w:bookmarkEnd w:id="30"/>
      <w:r>
        <w:t>Relevant Pain and Gain Points</w:t>
      </w:r>
      <w:bookmarkEnd w:id="31"/>
    </w:p>
    <w:p>
      <w:r>
        <w:rPr>
          <w:b/>
          <w:i/>
        </w:rPr>
        <w:t>Awareness and consideration:</w:t>
      </w:r>
      <w:r>
        <w:t xml:space="preserve"> The company suffers from branding and messaging inconsistencies throughout its various channels. Additionally, there is a poor digital presence characterised by outdated information that does not allow customers to do price or offer comparison with rival businesses. The customers, however, keep on coming due to awareness of the company’s fresh food focus, along with strong product or service differentiation that sets it apart from competitors </w:t>
      </w:r>
      <w:r>
        <w:rPr>
          <w:lang w:val="en-US"/>
        </w:rPr>
        <w:t>(Morrison , 2025b)</w:t>
      </w:r>
      <w:r>
        <w:t>.</w:t>
      </w:r>
    </w:p>
    <w:p>
      <w:r>
        <w:rPr>
          <w:b/>
          <w:i/>
        </w:rPr>
        <w:t>Exploration and purchase:</w:t>
      </w:r>
      <w:r>
        <w:t xml:space="preserve"> The stores have long queues at checkout out along with customers having difficulty finding particular items due to stockouts and confusing store layouts. Payment options are limited, although there has been some improvement in the area, with multiple payment options being introduced. Nevertheless, the stores are clean with staff being knowledgeable and helpful towards needy customers. The company also offers a large variety of products ranging from fresh foods to frozen unique items.</w:t>
      </w:r>
    </w:p>
    <w:p>
      <w:r>
        <w:rPr>
          <w:b/>
          <w:i/>
        </w:rPr>
        <w:t>Post purchase and advocacy:</w:t>
      </w:r>
      <w:r>
        <w:t xml:space="preserve"> The quality expectations of customers are left unfulfilled as they are not met. Customers experience considerable changes in retiring or exchanging purchases, with customer feedback being generally ignored. The post-purchase support is largely unhelpful. The customer gets to enjoy high-quality fresh products while the loyalty program of Morrisons More makes them feel valued, which increases their loyalty (Wang, 2024). Customer support is easily accessible, with return policies being moderate.</w:t>
      </w:r>
    </w:p>
    <w:p>
      <w:pPr>
        <w:pStyle w:val="2"/>
      </w:pPr>
      <w:bookmarkStart w:id="32" w:name="_oaq283o6rbf9"/>
      <w:bookmarkStart w:id="33" w:name="_Toc212814036"/>
      <w:bookmarkEnd w:id="32"/>
      <w:r>
        <w:t>Areas Of Digital Innovation Opportunities</w:t>
      </w:r>
      <w:bookmarkEnd w:id="33"/>
      <w:r>
        <w:t xml:space="preserve"> </w:t>
      </w:r>
    </w:p>
    <w:p>
      <w:pPr>
        <w:jc w:val="center"/>
        <w:rPr>
          <w:b/>
          <w:i/>
        </w:rPr>
      </w:pPr>
      <w:r>
        <w:rPr>
          <w:b/>
          <w:i/>
        </w:rPr>
        <w:drawing>
          <wp:inline distT="114300" distB="114300" distL="114300" distR="114300">
            <wp:extent cx="4057650" cy="2352525"/>
            <wp:effectExtent l="0" t="0" r="0" b="0"/>
            <wp:docPr id="16" name="Images 16"/>
            <wp:cNvGraphicFramePr>
              <a:graphicFrameLocks noChangeAspect="0"/>
            </wp:cNvGraphicFramePr>
            <a:graphic>
              <a:graphicData uri="http://schemas.openxmlformats.org/drawingml/2006/picture">
                <pic:pic>
                  <pic:nvPicPr>
                    <pic:cNvPr id="18" name="Images 18"/>
                    <pic:cNvPicPr/>
                  </pic:nvPicPr>
                  <pic:blipFill>
                    <a:blip r:embed="rId9"/>
                    <a:srcRect t="15604" b="17933" l="14898" r="13814"/>
                    <a:stretch>
                      <a:fillRect/>
                    </a:stretch>
                  </pic:blipFill>
                  <pic:spPr>
                    <a:xfrm rot="0">
                      <a:off x="0" y="0"/>
                      <a:ext cx="4057650" cy="2352525"/>
                    </a:xfrm>
                    <a:prstGeom prst="rect"/>
                    <a:noFill/>
                    <a:ln w="12700" cmpd="sng" cap="flat">
                      <a:solidFill>
                        <a:srgbClr val="000000"/>
                      </a:solidFill>
                      <a:prstDash val="solid"/>
                      <a:round/>
                    </a:ln>
                  </pic:spPr>
                </pic:pic>
              </a:graphicData>
            </a:graphic>
          </wp:inline>
        </w:drawing>
      </w:r>
    </w:p>
    <w:p>
      <w:pPr>
        <w:jc w:val="center"/>
        <w:rPr>
          <w:b/>
        </w:rPr>
      </w:pPr>
      <w:r>
        <w:rPr>
          <w:b/>
        </w:rPr>
        <w:t>Figure: Drivers Of Change to Digital Innovation</w:t>
      </w:r>
    </w:p>
    <w:p>
      <w:pPr>
        <w:jc w:val="center"/>
        <w:rPr>
          <w:b/>
          <w:i/>
        </w:rPr>
      </w:pPr>
      <w:r>
        <w:rPr>
          <w:b/>
        </w:rPr>
        <w:t xml:space="preserve">Source: </w:t>
      </w:r>
      <w:r>
        <w:rPr>
          <w:lang w:val="en-US"/>
        </w:rPr>
        <w:t>(Twarogal, 2025)</w:t>
      </w:r>
    </w:p>
    <w:p>
      <w:pPr>
        <w:rPr>
          <w:b/>
          <w:i/>
        </w:rPr>
      </w:pPr>
      <w:r>
        <w:rPr>
          <w:b/>
          <w:i/>
        </w:rPr>
        <w:t>Marketing</w:t>
      </w:r>
    </w:p>
    <w:p>
      <w:r>
        <w:t>The marketing can be hyper-personalised through the implementation of artificial intelligence-supported personalised subscription services and machine learning, which can collect customer data, gain insights and provide relevant offers as per location and browsing history. Additionally, online listings on Google Maps and Apple Maps can be improved with real-time stock highlights so that the awareness and consideration stage of the customer journey is improved. Data from online and offline touchpoints can be used through a unified customer profile to tailor product recommendations and promotions (Santos and Gonçalves, 2024). This can make customer experience consistent throughout the channels of the website, in-store screens, staff interactions and app.</w:t>
      </w:r>
    </w:p>
    <w:p>
      <w:pPr>
        <w:rPr>
          <w:b/>
          <w:i/>
        </w:rPr>
      </w:pPr>
      <w:r>
        <w:rPr>
          <w:b/>
          <w:i/>
        </w:rPr>
        <w:t>Store navigation</w:t>
      </w:r>
    </w:p>
    <w:p>
      <w:r>
        <w:t>In-store navigation can be improved through the application of blockchain technology so that apps can give real-time information on stock availability and updates. It would also give the customer scan and go seamless features, while the e-commerce partners can gain diverse last-mile delivery options. Such predictive stock management can lower out-of-stock items for a better experience in the exploration and purchase stage of the customer journey. Real-time data integration and blockchain can give the firm immediate stock level visibility, which can then be shared with customers through the app. This would improve the online picking process and in-store shopper information so that stockout-caused frustration is lowered.</w:t>
      </w:r>
    </w:p>
    <w:p>
      <w:pPr>
        <w:rPr>
          <w:b/>
          <w:i/>
        </w:rPr>
      </w:pPr>
      <w:r>
        <w:rPr>
          <w:b/>
          <w:i/>
        </w:rPr>
        <w:t>Omnichannel</w:t>
      </w:r>
    </w:p>
    <w:p>
      <w:r>
        <w:t>The loyalty program can be integrated with the omnichannels so that personalised points and rewards can be earned and redeemed throughout all channels. The omnichannel is like a super App, which allowed the customer to connect to all services such as: Online, In store, Banking, Self-checkout, Chat with Customer Service, and any other services. Additionally, chatbots that resolve customer queries instantaneously can be implemented too. This tool is useful for proactive follow-ups, sharing of product-focused tips or recipes as per purchase, and review or referral incentivised their app. Fully automated checkout processes can be installed to expand scan and go features for lower queues and physical store convenience (Falcão et al., 2021). The company app can be a useful part of this omnichannel, as it can provide customers with interactive store maps. Such maps can give guidance towards specific products while highlighting real-time, relevant offers or information related to allergens or sourcing data.</w:t>
      </w:r>
    </w:p>
    <w:p/>
    <w:p>
      <w:pPr>
        <w:rPr>
          <w:b/>
          <w:sz w:val="28"/>
          <w:szCs w:val="28"/>
        </w:rPr>
      </w:pPr>
      <w:r>
        <w:br w:type="page"/>
      </w:r>
    </w:p>
    <w:p>
      <w:pPr>
        <w:pStyle w:val="1"/>
        <w:shd w:val="clear" w:color="auto" w:fill="FFFFFF"/>
      </w:pPr>
      <w:bookmarkStart w:id="34" w:name="_Toc212814037"/>
      <w:r>
        <w:t>Part 2: New Digital Transformation Initiative and its Value</w:t>
      </w:r>
      <w:bookmarkEnd w:id="34"/>
      <w:r>
        <w:t xml:space="preserve"> </w:t>
      </w:r>
    </w:p>
    <w:p>
      <w:pPr>
        <w:jc w:val="center"/>
      </w:pPr>
      <w:r>
        <mc:AlternateContent>
          <mc:Choice Requires="wps">
            <w:drawing>
              <wp:inline distT="0" distB="0" distL="114298" distR="114298">
                <wp:extent cx="304800" cy="304800"/>
                <wp:effectExtent l="0" t="0" r="0" b="0"/>
                <wp:docPr id="19" name="Rectangles 19"/>
                <wp:cNvGraphicFramePr>
                  <a:graphicFrameLocks noChangeAspect="1"/>
                </wp:cNvGraphicFramePr>
                <a:graphic>
                  <a:graphicData uri="http://schemas.microsoft.com/office/word/2010/wordprocessingShape">
                    <wps:wsp>
                      <wps:cNvSpPr/>
                      <wps:spPr>
                        <a:xfrm rot="0">
                          <a:off x="0" y="0"/>
                          <a:ext cx="304800" cy="304800"/>
                        </a:xfrm>
                        <a:prstGeom prst="rect"/>
                        <a:noFill/>
                        <a:ln w="12700" cmpd="sng" cap="flat">
                          <a:noFill/>
                          <a:prstDash val="solid"/>
                          <a:round/>
                        </a:ln>
                      </wps:spPr>
                      <wps:bodyPr vert="horz" wrap="square" lIns="91440" tIns="45720" rIns="91440" bIns="45720" anchor="t" anchorCtr="0" upright="1">
                        <a:noAutofit/>
                      </wps:bodyPr>
                    </wps:wsp>
                  </a:graphicData>
                </a:graphic>
              </wp:inline>
            </w:drawing>
          </mc:Choice>
          <mc:Fallback>
            <w:pict>
              <v:rect type="#_x0000_t1" id="Rectangles 20" o:spid="_x0000_s20" filled="f" stroked="f" strokeweight="1.0pt" style="width:24.0pt;&#10;height:24.0pt;">
                <v:stroke color="#000000"/>
                <o:lock aspectratio="t"/>
                <w10:anchorLock/>
              </v:rect>
            </w:pict>
          </mc:Fallback>
        </mc:AlternateContent>
      </w:r>
      <w:r>
        <w:t xml:space="preserve"> </w:t>
      </w:r>
      <w:r>
        <w:drawing>
          <wp:inline distT="0" distB="0" distL="0" distR="0">
            <wp:extent cx="3749040" cy="2343150"/>
            <wp:effectExtent l="0" t="0" r="0" b="0"/>
            <wp:docPr id="21" name="Images 21"/>
            <wp:cNvGraphicFramePr>
              <a:graphicFrameLocks noChangeAspect="1"/>
            </wp:cNvGraphicFramePr>
            <a:graphic>
              <a:graphicData uri="http://schemas.openxmlformats.org/drawingml/2006/picture">
                <pic:pic>
                  <pic:nvPicPr>
                    <pic:cNvPr id="23" name="Images 23"/>
                    <pic:cNvPicPr/>
                  </pic:nvPicPr>
                  <pic:blipFill>
                    <a:blip r:embed="rId10"/>
                    <a:stretch>
                      <a:fillRect/>
                    </a:stretch>
                  </pic:blipFill>
                  <pic:spPr>
                    <a:xfrm rot="0">
                      <a:off x="0" y="0"/>
                      <a:ext cx="3749040" cy="2343150"/>
                    </a:xfrm>
                    <a:prstGeom prst="rect"/>
                    <a:noFill/>
                    <a:ln w="12700" cmpd="sng" cap="flat">
                      <a:noFill/>
                      <a:prstDash val="solid"/>
                      <a:miter/>
                    </a:ln>
                  </pic:spPr>
                </pic:pic>
              </a:graphicData>
            </a:graphic>
          </wp:inline>
        </w:drawing>
      </w:r>
    </w:p>
    <w:p>
      <w:pPr>
        <w:jc w:val="center"/>
        <w:rPr>
          <w:b/>
          <w:bCs/>
        </w:rPr>
      </w:pPr>
      <w:r>
        <w:rPr>
          <w:b/>
          <w:bCs/>
        </w:rPr>
        <w:t>Figure: Morrisons</w:t>
      </w:r>
    </w:p>
    <w:p>
      <w:pPr>
        <w:jc w:val="center"/>
        <w:rPr>
          <w:b/>
          <w:bCs/>
        </w:rPr>
      </w:pPr>
      <w:r>
        <w:rPr>
          <w:b/>
          <w:bCs/>
        </w:rPr>
        <w:t>Source:</w:t>
      </w:r>
      <w:r>
        <w:rPr>
          <w:b/>
          <w:bCs/>
          <w:lang w:val="en-US"/>
        </w:rPr>
        <w:t xml:space="preserve"> </w:t>
      </w:r>
      <w:r>
        <w:rPr>
          <w:lang w:val="en-US"/>
        </w:rPr>
        <w:t>(King, 2022)</w:t>
      </w:r>
    </w:p>
    <w:p>
      <w:pPr>
        <w:pStyle w:val="2"/>
      </w:pPr>
      <w:bookmarkStart w:id="35" w:name="_s763rjr2f2s"/>
      <w:bookmarkStart w:id="36" w:name="_Toc212814038"/>
      <w:bookmarkEnd w:id="35"/>
      <w:r>
        <w:t>Challenges Faced by the Company</w:t>
      </w:r>
      <w:bookmarkEnd w:id="36"/>
      <w:r>
        <w:t xml:space="preserve"> </w:t>
      </w:r>
    </w:p>
    <w:p>
      <w:pPr>
        <w:rPr>
          <w:b/>
        </w:rPr>
      </w:pPr>
      <w:r>
        <w:rPr>
          <w:b/>
        </w:rPr>
        <w:t>High Competition</w:t>
      </w:r>
    </w:p>
    <w:p>
      <w:r>
        <w:t>The business organisation faces high competition within their business market due to the high presence of other retail organisations such as Aldi as well as Lidl. Those retail companies introduce them with high competition based on their similar types of products as well as services. This particular aspect often arises due to their overall competitive pricing, and this also affects their market share, which reduces their pricing parity as well.</w:t>
      </w:r>
    </w:p>
    <w:p>
      <w:pPr>
        <w:rPr>
          <w:b/>
        </w:rPr>
      </w:pPr>
      <w:r>
        <w:rPr>
          <w:b/>
        </w:rPr>
        <w:t>Supply Chain Issue</w:t>
      </w:r>
    </w:p>
    <w:p>
      <w:r>
        <w:t xml:space="preserve">Issues within the supply chain are also another challenging factor for the respective company, which is affecting its overall business practices within the market. It can also be observed that their continuous cyber-attacks within their warehouse are also another cause for their continuous supply chain issues (Tharayil, 2025). This particular aspect is improving their stock management efficiency, and this also reduces their customers' experiences. </w:t>
      </w:r>
    </w:p>
    <w:p>
      <w:pPr>
        <w:rPr>
          <w:b/>
        </w:rPr>
      </w:pPr>
      <w:r>
        <w:rPr>
          <w:b/>
        </w:rPr>
        <w:t>Online Payment Issue</w:t>
      </w:r>
    </w:p>
    <w:p>
      <w:r>
        <w:t>During the payments, customers face numerous issues while using their card declined as well as their diverse technological issues within their logistics. This issue often arises due to their unauthentic access, rather say fishing problem, and this leads them to face multiple financial challenges within the market</w:t>
      </w:r>
      <w:r>
        <w:rPr>
          <w:lang w:val="en-US"/>
        </w:rPr>
        <w:t xml:space="preserve"> (King, 2022)</w:t>
      </w:r>
      <w:r>
        <w:t>. This is making their payment systems less effective, making their business performance less attractive to their respective customers.</w:t>
      </w:r>
    </w:p>
    <w:p>
      <w:pPr>
        <w:pStyle w:val="2"/>
      </w:pPr>
      <w:bookmarkStart w:id="37" w:name="_Toc212814039"/>
      <w:r>
        <w:t>Digital Initiatives to Overcome Key Challenges</w:t>
      </w:r>
      <w:bookmarkEnd w:id="37"/>
    </w:p>
    <w:p>
      <w:pPr>
        <w:shd w:val="clear" w:color="auto" w:fill="FFFFFF"/>
        <w:rPr>
          <w:rFonts w:eastAsia="Times New Roman"/>
          <w:b/>
        </w:rPr>
      </w:pPr>
      <w:r>
        <w:rPr>
          <w:rFonts w:eastAsia="Times New Roman"/>
          <w:b/>
        </w:rPr>
        <w:t>VR and Metaverse Shopping Experiences</w:t>
      </w:r>
    </w:p>
    <w:p>
      <w:pPr>
        <w:shd w:val="clear" w:color="auto" w:fill="FFFFFF"/>
        <w:rPr>
          <w:rFonts w:eastAsia="Times New Roman"/>
        </w:rPr>
      </w:pPr>
      <w:r>
        <w:rPr>
          <w:rFonts w:eastAsia="Times New Roman"/>
        </w:rPr>
        <w:t>Offering customers metaverse shopping experiences and virtual reality will help to deal with high competition in the market by offering immersive and innovative services that go beyond physical and traditional online shopping. They will be able to create a virtual supermarket where 3D models of goods can be inspected and placed in carts using avatars in terms of browsing aisles. Moreover, this way the firm can replicate the physical form of the store for a novel and engaging experience, attracting a larger pool of customers and establishing brand loyalty. Another opportunity which will be presented through is the reduction of the rates of product returned, through supporting the customer to make more informed decisions (</w:t>
      </w:r>
      <w:r>
        <w:rPr>
          <w:rFonts w:eastAsia="Times New Roman"/>
          <w:highlight w:val="white"/>
        </w:rPr>
        <w:t>Popescu</w:t>
      </w:r>
      <w:r>
        <w:rPr>
          <w:rFonts w:eastAsia="Times New Roman"/>
        </w:rPr>
        <w:t xml:space="preserve"> et al., 2022).</w:t>
      </w:r>
    </w:p>
    <w:p>
      <w:pPr>
        <w:shd w:val="clear" w:color="auto" w:fill="FFFFFF"/>
        <w:rPr>
          <w:rFonts w:eastAsia="Times New Roman"/>
          <w:b/>
        </w:rPr>
      </w:pPr>
      <w:r>
        <w:rPr>
          <w:rFonts w:eastAsia="Times New Roman"/>
          <w:b/>
        </w:rPr>
        <w:t>Blockchain for Supply Chain Security</w:t>
      </w:r>
    </w:p>
    <w:p>
      <w:pPr>
        <w:shd w:val="clear" w:color="auto" w:fill="FFFFFF"/>
        <w:rPr>
          <w:rFonts w:eastAsia="Times New Roman"/>
        </w:rPr>
      </w:pPr>
      <w:r>
        <w:rPr>
          <w:rFonts w:eastAsia="Times New Roman"/>
        </w:rPr>
        <w:t>A secure, transparent as well as immutable ledger using blockchain in supply chains will help the company increase the effectiveness of operations, build customer trust and address the security issues. The implementation of a permissioned blockchain will allow all the participants who are authenticated to access the information, which is provided in real-time, such as the distributors, manufacturers and suppliers. This will be completely tamper-proof, ensuring the quality of products and end-to-end visibility for the venture (</w:t>
      </w:r>
      <w:r>
        <w:rPr>
          <w:rFonts w:eastAsia="Times New Roman"/>
          <w:highlight w:val="white"/>
        </w:rPr>
        <w:t>Jack, 2024)</w:t>
      </w:r>
      <w:r>
        <w:rPr>
          <w:rFonts w:eastAsia="Times New Roman"/>
        </w:rPr>
        <w:t xml:space="preserve">. Smart contracts can also be used to automate the payments to logistics and supply partners, after meeting the predefined conditions, such as quality checks using IoT sensors and delivery confirmation. </w:t>
      </w:r>
    </w:p>
    <w:p>
      <w:pPr>
        <w:shd w:val="clear" w:color="auto" w:fill="FFFFFF"/>
        <w:rPr>
          <w:rFonts w:eastAsia="Times New Roman"/>
          <w:b/>
        </w:rPr>
      </w:pPr>
      <w:r>
        <w:rPr>
          <w:rFonts w:eastAsia="Times New Roman"/>
          <w:b/>
        </w:rPr>
        <w:t>AI-driven Personalised Subscription Services</w:t>
      </w:r>
    </w:p>
    <w:p>
      <w:pPr>
        <w:shd w:val="clear" w:color="auto" w:fill="FFFFFF"/>
        <w:rPr>
          <w:rFonts w:eastAsia="Times New Roman"/>
        </w:rPr>
      </w:pPr>
      <w:r>
        <w:rPr>
          <w:rFonts w:eastAsia="Times New Roman"/>
        </w:rPr>
        <w:t>The retail organisation can be effective for them to deal with the issues related to online payment. It will increase customer retention, loyalty, improve payment security and reduce the frictions in payment. This initiative will need the customer to store their payment information, which will actually eliminate the need for manual work during each transition. The fraudulent activities will also be prevented as AI systems will monitor the patterns of transactions consistently. Personalisation subscription boxes will be curated by utilising the algorithms, offering hyper-personalised product pairings and deals based on previous browsing behaviour (</w:t>
      </w:r>
      <w:r>
        <w:rPr>
          <w:rFonts w:eastAsia="Times New Roman"/>
          <w:highlight w:val="white"/>
        </w:rPr>
        <w:t>Sipos, 2025)</w:t>
      </w:r>
      <w:r>
        <w:rPr>
          <w:rFonts w:eastAsia="Times New Roman"/>
        </w:rPr>
        <w:t xml:space="preserve">. </w:t>
      </w:r>
    </w:p>
    <w:p>
      <w:pPr>
        <w:pStyle w:val="2"/>
      </w:pPr>
      <w:bookmarkStart w:id="38" w:name="_Toc212814040"/>
      <w:r>
        <w:t>Customer Journey Map and Analysis</w:t>
      </w:r>
      <w:bookmarkEnd w:id="38"/>
    </w:p>
    <w:p>
      <w:pPr>
        <w:shd w:val="clear" w:color="auto" w:fill="FFFFFF"/>
        <w:jc w:val="center"/>
        <w:rPr>
          <w:rFonts w:eastAsia="Times New Roman"/>
          <w:b/>
          <w:sz w:val="26"/>
          <w:szCs w:val="26"/>
        </w:rPr>
      </w:pPr>
      <w:r>
        <w:rPr>
          <w:rFonts w:eastAsia="Times New Roman"/>
          <w:b/>
          <w:sz w:val="26"/>
          <w:szCs w:val="26"/>
        </w:rPr>
        <w:drawing>
          <wp:inline distT="114300" distB="114300" distL="114300" distR="114300">
            <wp:extent cx="5195888" cy="3896916"/>
            <wp:effectExtent l="0" t="0" r="0" b="0"/>
            <wp:docPr id="24" name="Images 24"/>
            <wp:cNvGraphicFramePr>
              <a:graphicFrameLocks noChangeAspect="0"/>
            </wp:cNvGraphicFramePr>
            <a:graphic>
              <a:graphicData uri="http://schemas.openxmlformats.org/drawingml/2006/picture">
                <pic:pic>
                  <pic:nvPicPr>
                    <pic:cNvPr id="26" name="Images 26"/>
                    <pic:cNvPicPr/>
                  </pic:nvPicPr>
                  <pic:blipFill>
                    <a:blip r:embed="rId11"/>
                    <a:stretch>
                      <a:fillRect/>
                    </a:stretch>
                  </pic:blipFill>
                  <pic:spPr>
                    <a:xfrm rot="0">
                      <a:off x="0" y="0"/>
                      <a:ext cx="5195888" cy="3896916"/>
                    </a:xfrm>
                    <a:prstGeom prst="rect"/>
                    <a:noFill/>
                    <a:ln w="12700" cmpd="sng" cap="flat">
                      <a:solidFill>
                        <a:srgbClr val="000000"/>
                      </a:solidFill>
                      <a:prstDash val="solid"/>
                      <a:round/>
                    </a:ln>
                  </pic:spPr>
                </pic:pic>
              </a:graphicData>
            </a:graphic>
          </wp:inline>
        </w:drawing>
      </w:r>
    </w:p>
    <w:p>
      <w:pPr>
        <w:shd w:val="clear" w:color="auto" w:fill="FFFFFF"/>
        <w:jc w:val="center"/>
        <w:rPr>
          <w:rFonts w:eastAsia="Times New Roman"/>
          <w:b/>
        </w:rPr>
      </w:pPr>
      <w:r>
        <w:rPr>
          <w:rFonts w:eastAsia="Times New Roman"/>
          <w:b/>
        </w:rPr>
        <w:t>Figure: A New Customer Journey Map</w:t>
      </w:r>
    </w:p>
    <w:p>
      <w:pPr>
        <w:shd w:val="clear" w:color="auto" w:fill="FFFFFF"/>
        <w:jc w:val="center"/>
        <w:rPr>
          <w:rFonts w:eastAsia="Times New Roman"/>
        </w:rPr>
      </w:pPr>
      <w:r>
        <w:rPr>
          <w:rFonts w:eastAsia="Times New Roman"/>
          <w:b/>
        </w:rPr>
        <w:t>Source: (</w:t>
      </w:r>
      <w:r>
        <w:rPr>
          <w:rFonts w:eastAsia="Times New Roman"/>
        </w:rPr>
        <w:t>Author, 2025)</w:t>
      </w:r>
    </w:p>
    <w:p>
      <w:pPr>
        <w:shd w:val="clear" w:color="auto" w:fill="FFFFFF"/>
        <w:rPr>
          <w:rFonts w:eastAsia="Times New Roman"/>
          <w:b/>
        </w:rPr>
      </w:pPr>
      <w:r>
        <w:rPr>
          <w:rFonts w:eastAsia="Times New Roman"/>
          <w:b/>
        </w:rPr>
        <w:t>Analysis</w:t>
      </w:r>
    </w:p>
    <w:p>
      <w:r>
        <w:rPr>
          <w:rFonts w:eastAsia="Times New Roman"/>
        </w:rPr>
        <w:t>The above customer journey map for Morrisons has identified several pain points as well as gain points. These gain points, which have been identified, are shown in the colour green, whereas the pain points are in red. Financial issues, fear of fraudulent activities, low-quality checks resulting in errors, lack of access to technology, mistrust and security issues are the pain points here. On the other hand, the gain points include updated information, low product returns, metaverse shopping experiences, increased transparency, automated payment, personalised subscription boxes and AI-driven payment.</w:t>
      </w:r>
    </w:p>
    <w:p>
      <w:pPr>
        <w:pStyle w:val="2"/>
      </w:pPr>
      <w:bookmarkStart w:id="39" w:name="_5xzavk495u0t"/>
      <w:bookmarkStart w:id="40" w:name="_Toc212814041"/>
      <w:bookmarkEnd w:id="39"/>
      <w:r>
        <w:t>Positive Impact of the Proposed Initiatives</w:t>
      </w:r>
      <w:bookmarkEnd w:id="40"/>
      <w:r>
        <w:t xml:space="preserve"> </w:t>
      </w:r>
    </w:p>
    <w:p>
      <w:pPr>
        <w:rPr>
          <w:b/>
        </w:rPr>
      </w:pPr>
      <w:r>
        <w:rPr>
          <w:b/>
        </w:rPr>
        <w:t>Personalised Experiences</w:t>
      </w:r>
    </w:p>
    <w:p>
      <w:r>
        <w:t xml:space="preserve">Utilisation of VR and metaverse shopping experiences within the particular company will help them by giving their customers personalised shopping experiences (Zimmermann et al., 2023). This will help their customers to get attracted to the business and will also be useful in building a loyal customer base within the market. Increasing customer satisfaction through VR will also be useful in enhancing the brand image, which will make their business practices quite unique, and this will help them to increase their conversion rate. This will also be useful in order to gain high financial support within their market by raising their position within the retail industry. </w:t>
      </w:r>
    </w:p>
    <w:p>
      <w:pPr>
        <w:rPr>
          <w:b/>
        </w:rPr>
      </w:pPr>
      <w:r>
        <w:rPr>
          <w:b/>
        </w:rPr>
        <w:t>Increase Security and Trust</w:t>
      </w:r>
    </w:p>
    <w:p>
      <w:r>
        <w:t xml:space="preserve">Implementation of the blockchain in order to reduce their issue within their respective supply chain will be quite useful due to its diverse good sides (Adeoye, 2024). Multiple layers of the blockchain will help them by providing them tamper-proof protection layer, which will make their platform quite secure. Moreover, this will also be helpful for them in order to reduce the rate of cyber-attacks, and this will also lead them to create a safe as well as secure supply platform among their suppliers. The authentic verification configuration will also be useful for them for security checks and will guide them to avoid any kind of data mishaps. </w:t>
      </w:r>
    </w:p>
    <w:p>
      <w:pPr>
        <w:rPr>
          <w:b/>
        </w:rPr>
      </w:pPr>
      <w:r>
        <w:rPr>
          <w:b/>
        </w:rPr>
        <w:t>Smarter Automation</w:t>
      </w:r>
    </w:p>
    <w:p>
      <w:r>
        <w:t xml:space="preserve">The company is advised to use an AI-driven personalised subscription service system in order to reduce its issues within its payment system. This will help the business build an automation route, which will be useful for them to build an easier, complex billing process. Smart invoice generation will be helpful, and this will reduce the rejection of cards, making the operations more secure (Daisy, 2021). Implementation of this system will also help them to reduce the errors within their payment systems by actively leading them to make their overall transaction process for their customers more reliable. This will also create hassle-free payment options for their customers during their shopping. </w:t>
      </w:r>
    </w:p>
    <w:p>
      <w:pPr>
        <w:pStyle w:val="2"/>
      </w:pPr>
      <w:bookmarkStart w:id="41" w:name="_651xm1kjzcip"/>
      <w:bookmarkStart w:id="42" w:name="_Toc212814042"/>
      <w:bookmarkEnd w:id="41"/>
      <w:r>
        <w:t>Key Performance Metrics and Measuring the Success</w:t>
      </w:r>
      <w:bookmarkEnd w:id="42"/>
      <w:r>
        <w:t xml:space="preserve"> </w:t>
      </w:r>
    </w:p>
    <w:p>
      <w:pPr>
        <w:rPr>
          <w:b/>
        </w:rPr>
      </w:pPr>
      <w:r>
        <w:rPr>
          <w:b/>
        </w:rPr>
        <w:t>Click Through Rate</w:t>
      </w:r>
    </w:p>
    <w:p>
      <w:r>
        <w:t xml:space="preserve">One of the key performance metrics is click-through rate, which will be utilised by the company in order to measure their overall success through implementing those digital initiatives. In this process, they will assess their customers' perspectives through utilising those initiatives and analysing their interest in their company (Taherdoost, 2023). This will also help them in analysing their website traffic as well as their rate of sales within the market. The better the score of the metric, the rate of success of their initiatives, and this will also help them to increase their rate of overall business environments within the market. </w:t>
      </w:r>
    </w:p>
    <w:p>
      <w:pPr>
        <w:rPr>
          <w:b/>
        </w:rPr>
      </w:pPr>
      <w:r>
        <w:rPr>
          <w:b/>
        </w:rPr>
        <w:t>Conversion Rate</w:t>
      </w:r>
    </w:p>
    <w:p>
      <w:r>
        <w:t>On the other hand, the business will also actively use the measurement of its conversion rate of its customers in order to understand their overall rate of success. This will guide them in analysing their customers' purchasing as well as engagement percentage within their respective selling and official websites</w:t>
      </w:r>
      <w:r>
        <w:rPr>
          <w:lang w:val="en-US"/>
        </w:rPr>
        <w:t xml:space="preserve"> (karlmission, 2024)</w:t>
      </w:r>
      <w:r>
        <w:t xml:space="preserve">. The measurement will also be helpful for them to understand their customers' overview of their pricing as well as operations, and this will be useful for them in modifying their tactics through these initiatives. The rate of high conversion will be helpful for the business as this will enhance their customer attractions by enhancing their overall sales within the competitive market, ensuring their high opportunity. </w:t>
      </w:r>
    </w:p>
    <w:p>
      <w:pPr>
        <w:shd w:val="clear" w:color="auto" w:fill="FFFFFF"/>
      </w:pPr>
    </w:p>
    <w:p/>
    <w:p>
      <w:bookmarkStart w:id="43" w:name="_agxexllmu5ft"/>
      <w:bookmarkEnd w:id="43"/>
      <w:r>
        <w:br w:type="page"/>
      </w:r>
    </w:p>
    <w:p>
      <w:pPr>
        <w:pStyle w:val="1"/>
        <w:shd w:val="clear" w:color="auto" w:fill="FFFFFF"/>
      </w:pPr>
      <w:bookmarkStart w:id="44" w:name="_x44b68oo1jn9"/>
      <w:bookmarkStart w:id="45" w:name="_Toc212814043"/>
      <w:bookmarkEnd w:id="44"/>
      <w:r>
        <w:t>Conclusion and Recommendations</w:t>
      </w:r>
      <w:bookmarkEnd w:id="45"/>
      <w:r>
        <w:t xml:space="preserve"> </w:t>
      </w:r>
    </w:p>
    <w:p>
      <w:pPr>
        <w:pStyle w:val="2"/>
      </w:pPr>
      <w:bookmarkStart w:id="46" w:name="_ibe0d6o46614"/>
      <w:bookmarkStart w:id="47" w:name="_Toc212814044"/>
      <w:bookmarkEnd w:id="46"/>
      <w:r>
        <w:t>Conclusion</w:t>
      </w:r>
      <w:bookmarkEnd w:id="47"/>
    </w:p>
    <w:p>
      <w:r>
        <w:t>The current portfolio identified current design thinking and innovations being used by Morrisons through the application of the Innovation Ambition Matrix and Customer Journey Mapping. New innovative opportunities that the company can undertake were identified as well, along with the current core customer journey. The customer journey showed several relevant pain and gain points that had opportunities for digital innovation. It was determined that the vertically integrated organisational structure allowed the company to process fresh food from the brand's own manufacturing sites and farms. However, the company suffered from high competition, supply chain issues, and online payment issues. Hence, a new digital transformation initiative was proposed for Morrisons, along with its potential positive impact, measurement and success. The new digital initiatives were VR and metaverse shopping experiences, blockchain, and AI-driven personalised subscription services.</w:t>
      </w:r>
    </w:p>
    <w:p>
      <w:pPr>
        <w:pStyle w:val="2"/>
        <w:rPr>
          <w:u w:val="single"/>
        </w:rPr>
      </w:pPr>
      <w:bookmarkStart w:id="48" w:name="_Toc212814045"/>
      <w:r>
        <w:t>Recommendations</w:t>
      </w:r>
      <w:bookmarkEnd w:id="48"/>
    </w:p>
    <w:p>
      <w:pPr>
        <w:shd w:val="clear" w:color="auto" w:fill="FFFFFF"/>
        <w:rPr>
          <w:b/>
        </w:rPr>
      </w:pPr>
      <w:r>
        <w:rPr>
          <w:b/>
        </w:rPr>
        <w:t xml:space="preserve">Provide Training </w:t>
      </w:r>
    </w:p>
    <w:p>
      <w:pPr>
        <w:shd w:val="clear" w:color="auto" w:fill="FFFFFF"/>
      </w:pPr>
      <w:r>
        <w:t>The business organisation can provide their people with diverse training as well as upskilling programs through diverse technical professionals in order to make use of VR and metaverse systems</w:t>
      </w:r>
      <w:r>
        <w:rPr>
          <w:lang w:val="en-US"/>
        </w:rPr>
        <w:t xml:space="preserve"> (Panel, 2023)</w:t>
      </w:r>
      <w:r>
        <w:t xml:space="preserve">. Providing training can reduce the fear of unknown aspects of the digital initiatives, and this can also be useful in making them more innovative in their customer services. The particular aspect can also be useful as this can reduce their employees' turnover, enhancing their strong employee engagement. </w:t>
      </w:r>
    </w:p>
    <w:p>
      <w:pPr>
        <w:shd w:val="clear" w:color="auto" w:fill="FFFFFF"/>
        <w:rPr>
          <w:b/>
        </w:rPr>
      </w:pPr>
      <w:r>
        <w:rPr>
          <w:b/>
        </w:rPr>
        <w:t>Focus on Permission Block Chain</w:t>
      </w:r>
    </w:p>
    <w:p>
      <w:pPr>
        <w:shd w:val="clear" w:color="auto" w:fill="FFFFFF"/>
      </w:pPr>
      <w:r>
        <w:t xml:space="preserve">In order to make their initiative more specific the business can actively focus on using private blockchain techniques, as this only focuses on core benefits (Xu and He, 2023). This can be useful for them in enhancing their personal security structure, and this can help them to gain highly competitive gain within the market through their safe as well as secure authentic access. Management of their logistics performance can also be shaped through this, and this can lead them to ensure their efficient supply chain. </w:t>
      </w:r>
    </w:p>
    <w:p>
      <w:pPr>
        <w:shd w:val="clear" w:color="auto" w:fill="FFFFFF"/>
        <w:rPr>
          <w:b/>
        </w:rPr>
      </w:pPr>
      <w:r>
        <w:rPr>
          <w:b/>
        </w:rPr>
        <w:t>Implement Predictive Models</w:t>
      </w:r>
    </w:p>
    <w:p>
      <w:r>
        <w:t xml:space="preserve">For making the AI-driven personalised subscription services more attractive, the business can also introduce diverse predictive AI models (Adekunle et al., 2021). This can help them to build a details profile of their customers based on their online activity, and this can be relevant for fulfilling their customers' wishes. Predictive models can be quite supportive in reducing errors of the system by making their payment smoother, ensuring their customers good experience. </w:t>
      </w:r>
    </w:p>
    <w:p>
      <w:r>
        <w:br w:type="page"/>
      </w:r>
    </w:p>
    <w:p>
      <w:pPr>
        <w:pStyle w:val="1"/>
      </w:pPr>
      <w:bookmarkStart w:id="49" w:name="_teggm5uu0cvc"/>
      <w:bookmarkStart w:id="50" w:name="_Toc212814046"/>
      <w:bookmarkEnd w:id="49"/>
      <w:r>
        <w:t>References</w:t>
      </w:r>
      <w:bookmarkEnd w:id="50"/>
    </w:p>
    <w:p>
      <w:r>
        <w:t xml:space="preserve">Adekunle, B.I., Chukwuma-Eke, E.C., Balogun, E.D. and Ogunsola, K.O., (2021). A predictive modeling approach to optimizing business operations: A case study on reducing operational inefficiencies through machine learning. </w:t>
      </w:r>
      <w:r>
        <w:rPr>
          <w:i/>
        </w:rPr>
        <w:t>International Journal of Multidisciplinary Research and Growth Evaluation</w:t>
      </w:r>
      <w:r>
        <w:t xml:space="preserve">, </w:t>
      </w:r>
      <w:r>
        <w:rPr>
          <w:i/>
        </w:rPr>
        <w:t>2</w:t>
      </w:r>
      <w:r>
        <w:t>(1), pp.791-799.</w:t>
      </w:r>
    </w:p>
    <w:p>
      <w:r>
        <w:t xml:space="preserve">Adeoye, I., (2024). Securing retail: fortifying supply chains with blockchain for data integrity and transaction security. </w:t>
      </w:r>
      <w:r>
        <w:rPr>
          <w:i/>
        </w:rPr>
        <w:t>Available at SSRN 4729270</w:t>
      </w:r>
      <w:r>
        <w:t>.</w:t>
      </w:r>
    </w:p>
    <w:p>
      <w:r>
        <w:t xml:space="preserve">Alterian, (2025). </w:t>
      </w:r>
      <w:r>
        <w:rPr>
          <w:i/>
          <w:iCs/>
        </w:rPr>
        <w:t>Elevating Your Customer Journeys in the Age of CX Innovation</w:t>
      </w:r>
      <w:r>
        <w:t>. [Online] Available at: https://www.alterian.com/articles/elevating-your-customer-journeys-in-the-age-of-cx-innovation [Accessed 19 October 2025].</w:t>
      </w:r>
    </w:p>
    <w:p>
      <w:r>
        <w:rPr>
          <w:lang w:val="it-IT"/>
        </w:rPr>
        <w:t xml:space="preserve">Argyropoulou, M., Garcia, E., Nemati, S. and Spanaki, K., (2024). </w:t>
      </w:r>
      <w:r>
        <w:t xml:space="preserve">The effect of IoT capability on supply chain integration and firm performance: an empirical study in the UK retail industry. </w:t>
      </w:r>
      <w:r>
        <w:rPr>
          <w:i/>
          <w:iCs/>
        </w:rPr>
        <w:t>Journal of Enterprise Information Management</w:t>
      </w:r>
      <w:r>
        <w:t xml:space="preserve">, </w:t>
      </w:r>
      <w:r>
        <w:rPr>
          <w:i/>
          <w:iCs/>
        </w:rPr>
        <w:t>37</w:t>
      </w:r>
      <w:r>
        <w:t>(3), pp.875-902.</w:t>
      </w:r>
    </w:p>
    <w:p>
      <w:r>
        <w:t xml:space="preserve">Baker, O., (2023). </w:t>
      </w:r>
      <w:r>
        <w:rPr>
          <w:i/>
          <w:iCs/>
        </w:rPr>
        <w:t>The Future of Customer Journeys: Innovations and Trends to Watch</w:t>
      </w:r>
      <w:r>
        <w:t>. [Online] Available at: https://customerthink.com/the-future-of-customer-journeys-innovations-and-trends-to-watch/ [Accessed 19 October 2025].</w:t>
      </w:r>
    </w:p>
    <w:p>
      <w:r>
        <w:t>Baxriddin o‘g‘li, I.S., Shukrullo oʻg‘li, Q.S. and Komil oʻg’li, S.D., (2024). INNOVATIONS IN CUSTOMER EXPERIENCE: ENHANCING ENGAGEMENT AND LOYALTY. </w:t>
      </w:r>
      <w:r>
        <w:rPr>
          <w:i/>
          <w:iCs/>
        </w:rPr>
        <w:t>Web of Discoveries: Journal of Analysis and Inventions</w:t>
      </w:r>
      <w:r>
        <w:t>, </w:t>
      </w:r>
      <w:r>
        <w:rPr>
          <w:i/>
          <w:iCs/>
        </w:rPr>
        <w:t>2</w:t>
      </w:r>
      <w:r>
        <w:t>(3), pp.77-81.</w:t>
      </w:r>
    </w:p>
    <w:p>
      <w:pPr>
        <w:shd w:val="clear" w:color="auto" w:fill="FFFFFF"/>
        <w:rPr>
          <w:rFonts w:eastAsia="Times New Roman"/>
        </w:rPr>
      </w:pPr>
      <w:r>
        <w:rPr>
          <w:rFonts w:eastAsia="Times New Roman"/>
        </w:rPr>
        <w:t xml:space="preserve">Bedford, E., (2025). </w:t>
      </w:r>
      <w:r>
        <w:rPr>
          <w:rFonts w:eastAsia="Times New Roman"/>
          <w:i/>
          <w:iCs/>
        </w:rPr>
        <w:t xml:space="preserve">Supermarkets in the United Kingdom - statistics &amp; facts. </w:t>
      </w:r>
      <w:r>
        <w:rPr>
          <w:rFonts w:eastAsia="Times New Roman"/>
        </w:rPr>
        <w:t>[Online] Available at: https://www.statista.com/topics/1983/supermarkets-in-the-united-kingdom-uk/?srsltid=AfmBOopxe_kbGqD2dZv5vp7vr5pOLfaDlp-al0uCgZldrw6WB44uvhBb [Accessed 19 October 2025].</w:t>
      </w:r>
    </w:p>
    <w:p>
      <w:pPr>
        <w:shd w:val="clear" w:color="auto" w:fill="FFFFFF"/>
        <w:rPr>
          <w:rFonts w:eastAsia="Times New Roman"/>
        </w:rPr>
      </w:pPr>
      <w:r>
        <w:rPr>
          <w:rFonts w:eastAsia="Times New Roman"/>
        </w:rPr>
        <w:t xml:space="preserve">Carroll, N., (2025). </w:t>
      </w:r>
      <w:r>
        <w:rPr>
          <w:rFonts w:eastAsia="Times New Roman"/>
          <w:i/>
          <w:iCs/>
        </w:rPr>
        <w:t xml:space="preserve">Morrisons pledges to ‘work hard’ despite sales growth. </w:t>
      </w:r>
      <w:r>
        <w:rPr>
          <w:rFonts w:eastAsia="Times New Roman"/>
        </w:rPr>
        <w:t>[Online] Available at: https://www.marketingweek.com/morrisons-work-hard-sales-growth/ [Accessed 19 October 2025].</w:t>
      </w:r>
    </w:p>
    <w:p>
      <w:r>
        <w:t>Daisy, E., (2021). The Future of E-commerce: How AI, Automation, and Consumer Trends Are Reshaping Online Business.</w:t>
      </w:r>
    </w:p>
    <w:p>
      <w:pPr>
        <w:shd w:val="clear" w:color="auto" w:fill="FFFFFF"/>
        <w:rPr>
          <w:rFonts w:eastAsia="Times New Roman"/>
        </w:rPr>
      </w:pPr>
      <w:r>
        <w:rPr>
          <w:rFonts w:eastAsia="Times New Roman"/>
        </w:rPr>
        <w:t xml:space="preserve">Davey, J., (2025). </w:t>
      </w:r>
      <w:r>
        <w:rPr>
          <w:rFonts w:eastAsia="Times New Roman"/>
          <w:i/>
          <w:iCs/>
        </w:rPr>
        <w:t xml:space="preserve">UK supermarket Morrisons' sales growth slows in tough market. </w:t>
      </w:r>
      <w:r>
        <w:rPr>
          <w:rFonts w:eastAsia="Times New Roman"/>
        </w:rPr>
        <w:t>[Online] Available at: https://www.reuters.com/business/finance/uk-supermarket-morrisons-sales-growth-slows-tough-market-2025-09-17/ [Accessed 19 October 2025].</w:t>
      </w:r>
    </w:p>
    <w:p>
      <w:r>
        <w:t>Elfeituri, H. and Alfitouri, T., (2025). WORKING CAPITAL MANAGEMENT, COVID-19, AND PROFITABILITY OF UK RETAIL FIRMS.</w:t>
      </w:r>
    </w:p>
    <w:p>
      <w:r>
        <w:t xml:space="preserve">Erdly, C., (2024). </w:t>
      </w:r>
      <w:r>
        <w:rPr>
          <w:i/>
          <w:iCs/>
        </w:rPr>
        <w:t>Rising Costs Force UK Retail Industry To Rethink Amid Budget Pressures</w:t>
      </w:r>
      <w:r>
        <w:t>. [Online] Available at: https://www.forbes.com/sites/catherineerdly/2024/11/06/rising-costs-force-uk-retail-industry-to-rethink-amid-budget-pressures/ [Accessed 19 October 2025].</w:t>
      </w:r>
    </w:p>
    <w:p>
      <w:r>
        <w:t>Falcão, J.D., Ruiz, C., Bannis, A., Noh, H.Y. and Zhang, P., (2021). Isacs: In-store autonomous checkout system for retail. </w:t>
      </w:r>
      <w:r>
        <w:rPr>
          <w:i/>
          <w:iCs/>
        </w:rPr>
        <w:t>Proceedings of the ACM on Interactive, Mobile, Wearable and Ubiquitous Technologies</w:t>
      </w:r>
      <w:r>
        <w:t>, </w:t>
      </w:r>
      <w:r>
        <w:rPr>
          <w:i/>
          <w:iCs/>
        </w:rPr>
        <w:t>5</w:t>
      </w:r>
      <w:r>
        <w:t>(3), pp.1-26.</w:t>
      </w:r>
    </w:p>
    <w:p>
      <w:pPr>
        <w:shd w:val="clear" w:color="auto" w:fill="FFFFFF"/>
        <w:rPr>
          <w:rFonts w:eastAsia="Times New Roman"/>
        </w:rPr>
      </w:pPr>
      <w:r>
        <w:rPr>
          <w:rFonts w:eastAsia="Times New Roman"/>
        </w:rPr>
        <w:t xml:space="preserve">HAWKINS, E., (2025). </w:t>
      </w:r>
      <w:r>
        <w:rPr>
          <w:rFonts w:eastAsia="Times New Roman"/>
          <w:i/>
          <w:iCs/>
        </w:rPr>
        <w:t xml:space="preserve">Morrisons boss flags 'significant cost pressures' amid consumer squeeze. </w:t>
      </w:r>
      <w:r>
        <w:rPr>
          <w:rFonts w:eastAsia="Times New Roman"/>
        </w:rPr>
        <w:t>[Online] Available at: https://www.thisismoney.co.uk/money/markets/article-15107167/Morrisons-boss-flags-significant-cost-pressures-amid-consumer-squeeze.html [Accessed 19 October 2025].</w:t>
      </w:r>
    </w:p>
    <w:p>
      <w:pPr>
        <w:shd w:val="clear" w:color="auto" w:fill="FFFFFF"/>
        <w:rPr>
          <w:rFonts w:eastAsia="Times New Roman"/>
          <w:highlight w:val="white"/>
        </w:rPr>
      </w:pPr>
      <w:r>
        <w:rPr>
          <w:rFonts w:eastAsia="Times New Roman"/>
          <w:highlight w:val="white"/>
        </w:rPr>
        <w:t>Jack, W., (2024). Securing Retail Operations: Leveraging Blockchain and Cybersecurity for Supply Chain Integrity.</w:t>
      </w:r>
    </w:p>
    <w:p>
      <w:r>
        <w:t xml:space="preserve">karlmission, (2024). </w:t>
      </w:r>
      <w:r>
        <w:rPr>
          <w:i/>
          <w:iCs/>
        </w:rPr>
        <w:t>How to Measure Conversion Rate Success in Digital Marketing.</w:t>
      </w:r>
      <w:r>
        <w:t xml:space="preserve"> [Online] Available at: https://www.karlmission.com/blog/how-to-measure-conversion-rate-success-in-digital-marketin [Accessed 20 October 2025].</w:t>
      </w:r>
    </w:p>
    <w:p>
      <w:r>
        <w:t xml:space="preserve">King, S., (2022). </w:t>
      </w:r>
      <w:r>
        <w:rPr>
          <w:i/>
          <w:iCs/>
        </w:rPr>
        <w:t>Morrisons admits to processing error for some some customers making online orders - here are the details and what to do about it.</w:t>
      </w:r>
      <w:r>
        <w:t xml:space="preserve"> [Online] Available at: https://www.moneysavingexpert.com/news/2022/03/morrisons-customers-left-unable-to-place-online-food-orders-afte/ [Accessed 20 October 2025].</w:t>
      </w:r>
    </w:p>
    <w:p>
      <w:r>
        <w:t xml:space="preserve">Morrison, (2025b). </w:t>
      </w:r>
      <w:r>
        <w:rPr>
          <w:i/>
          <w:iCs/>
        </w:rPr>
        <w:t>Market Street Hub</w:t>
      </w:r>
      <w:r>
        <w:t>. [Online] Available at: https://www.morrisons.com/inspiration/shopping-at-morrisons/market-street-hub [Accessed 19 October 2025].</w:t>
      </w:r>
    </w:p>
    <w:p>
      <w:pPr>
        <w:shd w:val="clear" w:color="auto" w:fill="FFFFFF"/>
        <w:rPr>
          <w:rFonts w:eastAsia="Times New Roman"/>
        </w:rPr>
      </w:pPr>
      <w:r>
        <w:rPr>
          <w:rFonts w:eastAsia="Times New Roman"/>
        </w:rPr>
        <w:t xml:space="preserve">morrisons, (2025a). </w:t>
      </w:r>
      <w:r>
        <w:rPr>
          <w:rFonts w:eastAsia="Times New Roman"/>
          <w:i/>
          <w:iCs/>
        </w:rPr>
        <w:t xml:space="preserve">Price Match. </w:t>
      </w:r>
      <w:r>
        <w:rPr>
          <w:rFonts w:eastAsia="Times New Roman"/>
        </w:rPr>
        <w:t>[Online] Available at: https://my.morrisons.com/price-match-terms/#:~:text=We%20match%20our%20products%20with,products%20sold%20at%20Aldi%20&amp;%20Lidl. [Accessed 19 October 2025].</w:t>
      </w:r>
    </w:p>
    <w:p>
      <w:r>
        <w:t xml:space="preserve">morrisons-corporate, (2025). </w:t>
      </w:r>
      <w:r>
        <w:rPr>
          <w:i/>
          <w:iCs/>
        </w:rPr>
        <w:t>Diversity, People &amp; Communities</w:t>
      </w:r>
      <w:r>
        <w:t>. [Online] Available at: https://www.morrisons-corporate.com/morrisons-sustainability/people/ [Accessed 19 October 2025].</w:t>
      </w:r>
    </w:p>
    <w:p>
      <w:r>
        <w:t xml:space="preserve">Panel, E., (2023). </w:t>
      </w:r>
      <w:r>
        <w:rPr>
          <w:i/>
          <w:iCs/>
        </w:rPr>
        <w:t>Revolutionizing Employee Training: Six Benefits Of Virtual And Augmented Reality In The Workplace.</w:t>
      </w:r>
      <w:r>
        <w:t xml:space="preserve"> [Online] Available at: https://www.forbes.com/councils/forbeshumanresourcescouncil/2023/05/11/revolutionizing-employee-training-six-benefits-of-virtual-and-augmented-reality-in-the-workplace/ [Accessed 20 October 2025].</w:t>
      </w:r>
    </w:p>
    <w:p>
      <w:pPr>
        <w:shd w:val="clear" w:color="auto" w:fill="FFFFFF"/>
        <w:rPr>
          <w:rFonts w:eastAsia="Times New Roman"/>
          <w:highlight w:val="white"/>
        </w:rPr>
      </w:pPr>
      <w:r>
        <w:rPr>
          <w:rFonts w:eastAsia="Times New Roman"/>
          <w:highlight w:val="white"/>
        </w:rPr>
        <w:t xml:space="preserve">Popescu, G.H., Valaskova, K. and Horak, J., (2022). Augmented reality shopping experiences, retail business analytics, and machine vision algorithms in the virtual economy of the metaverse. </w:t>
      </w:r>
      <w:r>
        <w:rPr>
          <w:rFonts w:eastAsia="Times New Roman"/>
          <w:i/>
          <w:highlight w:val="white"/>
        </w:rPr>
        <w:t>Journal of Self-Governance and Management Economics</w:t>
      </w:r>
      <w:r>
        <w:rPr>
          <w:rFonts w:eastAsia="Times New Roman"/>
          <w:highlight w:val="white"/>
        </w:rPr>
        <w:t xml:space="preserve">, </w:t>
      </w:r>
      <w:r>
        <w:rPr>
          <w:rFonts w:eastAsia="Times New Roman"/>
          <w:i/>
          <w:highlight w:val="white"/>
        </w:rPr>
        <w:t>10</w:t>
      </w:r>
      <w:r>
        <w:rPr>
          <w:rFonts w:eastAsia="Times New Roman"/>
          <w:highlight w:val="white"/>
        </w:rPr>
        <w:t>(2), pp.67-81.</w:t>
      </w:r>
    </w:p>
    <w:p>
      <w:r>
        <w:t>Santos, S. and Gonçalves, H.M., (2024). Consumer decision journey: Mapping with real-time longitudinal online and offline touchpoint data. </w:t>
      </w:r>
      <w:r>
        <w:rPr>
          <w:i/>
          <w:iCs/>
        </w:rPr>
        <w:t>European Management Journal</w:t>
      </w:r>
      <w:r>
        <w:t>, </w:t>
      </w:r>
      <w:r>
        <w:rPr>
          <w:i/>
          <w:iCs/>
        </w:rPr>
        <w:t>42</w:t>
      </w:r>
      <w:r>
        <w:t>(3), pp.397-413.</w:t>
      </w:r>
    </w:p>
    <w:p>
      <w:pPr>
        <w:shd w:val="clear" w:color="auto" w:fill="FFFFFF"/>
        <w:rPr>
          <w:rFonts w:eastAsia="Times New Roman"/>
          <w:highlight w:val="white"/>
        </w:rPr>
      </w:pPr>
      <w:r>
        <w:rPr>
          <w:rFonts w:eastAsia="Times New Roman"/>
          <w:highlight w:val="white"/>
        </w:rPr>
        <w:t xml:space="preserve">Sipos, D., (2025). The Effects of AI-Powered Personalization on Consumer Trust, Satisfaction, and Purchase Intent. </w:t>
      </w:r>
      <w:r>
        <w:rPr>
          <w:rFonts w:eastAsia="Times New Roman"/>
          <w:i/>
          <w:highlight w:val="white"/>
        </w:rPr>
        <w:t>European Journal of Applied Science, Engineering and Technology</w:t>
      </w:r>
      <w:r>
        <w:rPr>
          <w:rFonts w:eastAsia="Times New Roman"/>
          <w:highlight w:val="white"/>
        </w:rPr>
        <w:t xml:space="preserve">, </w:t>
      </w:r>
      <w:r>
        <w:rPr>
          <w:rFonts w:eastAsia="Times New Roman"/>
          <w:i/>
          <w:highlight w:val="white"/>
        </w:rPr>
        <w:t>3</w:t>
      </w:r>
      <w:r>
        <w:rPr>
          <w:rFonts w:eastAsia="Times New Roman"/>
          <w:highlight w:val="white"/>
        </w:rPr>
        <w:t>(2), pp.14-24.</w:t>
      </w:r>
    </w:p>
    <w:p>
      <w:pPr>
        <w:shd w:val="clear" w:color="auto" w:fill="FFFFFF"/>
        <w:rPr>
          <w:rFonts w:eastAsia="Times New Roman"/>
        </w:rPr>
      </w:pPr>
      <w:r>
        <w:rPr>
          <w:rFonts w:eastAsia="Times New Roman"/>
        </w:rPr>
        <w:t xml:space="preserve">Statista, (2025). </w:t>
      </w:r>
      <w:r>
        <w:rPr>
          <w:rFonts w:eastAsia="Times New Roman"/>
          <w:i/>
          <w:iCs/>
        </w:rPr>
        <w:t xml:space="preserve">Share of consumers engaging in sustainable practices worldwide as of 2023, by region. </w:t>
      </w:r>
      <w:r>
        <w:rPr>
          <w:rFonts w:eastAsia="Times New Roman"/>
        </w:rPr>
        <w:t>[Online] Available at: https://www.statista.com/statistics/1608303/sustainable-practices-worldwide-by-region/?srsltid=AfmBOoqrqIHwp5-5Mzv2N0epLEPCAtUSgV78Vl1i7BGD4-2tAomU-olv [Accessed 19 October 2025].</w:t>
      </w:r>
    </w:p>
    <w:p>
      <w:r>
        <w:t xml:space="preserve">Taherdoost, H., (2023). Analysis and Performance Measurement in E-Business. In </w:t>
      </w:r>
      <w:r>
        <w:rPr>
          <w:i/>
        </w:rPr>
        <w:t>E-Business Essentials: Building a Successful Online Enterprise</w:t>
      </w:r>
      <w:r>
        <w:t xml:space="preserve"> (pp. 351-378). Cham: Springer Nature Switzerland.</w:t>
      </w:r>
    </w:p>
    <w:p>
      <w:r>
        <w:t xml:space="preserve">Tarnanidis, T., Papachristou, E., Karypidis, M. and Manda, V.K. eds., (2025). </w:t>
      </w:r>
      <w:r>
        <w:rPr>
          <w:i/>
          <w:iCs/>
        </w:rPr>
        <w:t>Sustainable Practices in the Fashion and Retail Industry</w:t>
      </w:r>
      <w:r>
        <w:t>. IGI Global.</w:t>
      </w:r>
    </w:p>
    <w:p>
      <w:r>
        <w:t xml:space="preserve">Tharayil, R., (2025). </w:t>
      </w:r>
      <w:r>
        <w:rPr>
          <w:i/>
          <w:iCs/>
        </w:rPr>
        <w:t>Morrisons struggles with supply chain disruption following Blue Yonder cyberattack.</w:t>
      </w:r>
      <w:r>
        <w:t xml:space="preserve"> [Online] Available at: https://www.techmonitor.ai/technology/cybersecurity/morrisons-struggles-supply-chain-disruption-blue-yonder-cyberattack#:~:text=Cybersecurity-,Morrisons%20struggles%20with%20supply%20chain%20disruption%20following%20Blue%20Yonder%20cyberattack,of%20produc [Accessed 20 October 2025].</w:t>
      </w:r>
    </w:p>
    <w:p>
      <w:r>
        <w:t xml:space="preserve">ThinkSys, (2025). </w:t>
      </w:r>
      <w:r>
        <w:rPr>
          <w:i/>
          <w:iCs/>
        </w:rPr>
        <w:t>Understanding the Customer Journey in Convenience Stores</w:t>
      </w:r>
      <w:r>
        <w:t>. [Online] Available at: https://thinksys.com/retail/understanding-customer-journey-in-convenience-stores/ [Accessed 19 October 2025].</w:t>
      </w:r>
    </w:p>
    <w:p>
      <w:r>
        <w:t xml:space="preserve">Twarogal, P., (2025). </w:t>
      </w:r>
      <w:r>
        <w:rPr>
          <w:i/>
          <w:iCs/>
        </w:rPr>
        <w:t>E-Commerce Digital Transformation: A Blueprint</w:t>
      </w:r>
      <w:r>
        <w:t>. [Online] Available at: https://neontri.com/blog/retail-ecommerce-digital-transformation-blueprint/ [Accessed 19 October 2025].</w:t>
      </w:r>
    </w:p>
    <w:p>
      <w:r>
        <w:t>Wang, Q., (2024). The Transformative Role of AI and Machine Learning in Retail: Enhancing Consumer Experience and Engagement-A Case Study of Morrisons. Highlights in Business. </w:t>
      </w:r>
      <w:r>
        <w:rPr>
          <w:i/>
          <w:iCs/>
        </w:rPr>
        <w:t>Economics and Management</w:t>
      </w:r>
      <w:r>
        <w:t>, </w:t>
      </w:r>
      <w:r>
        <w:rPr>
          <w:i/>
          <w:iCs/>
        </w:rPr>
        <w:t>30</w:t>
      </w:r>
      <w:r>
        <w:t>, pp.179-185.</w:t>
      </w:r>
    </w:p>
    <w:p>
      <w:pPr>
        <w:shd w:val="clear" w:color="auto" w:fill="FFFFFF"/>
        <w:rPr>
          <w:rFonts w:eastAsia="Times New Roman"/>
        </w:rPr>
      </w:pPr>
      <w:r>
        <w:rPr>
          <w:rFonts w:eastAsia="Times New Roman"/>
        </w:rPr>
        <w:t xml:space="preserve">Watty, F., (2025). </w:t>
      </w:r>
      <w:r>
        <w:rPr>
          <w:rFonts w:eastAsia="Times New Roman"/>
          <w:i/>
          <w:iCs/>
        </w:rPr>
        <w:t xml:space="preserve">Online shopping behavior in the United Kingdom (UK) - statistics &amp; facts. </w:t>
      </w:r>
      <w:r>
        <w:rPr>
          <w:rFonts w:eastAsia="Times New Roman"/>
        </w:rPr>
        <w:t>[Online] Available at: https://www.statista.com/topics/7887/online-shopping-behavior-in-the-uk/?srsltid=AfmBOorEIkr02mEX7dVO6X8BKvJJfqPL6xMtAiz3qQ31lTIemI0726OI#topicOverview [Accessed 19 October 2025].</w:t>
      </w:r>
      <w:bookmarkStart w:id="51" w:name="_3b1uqsn3nrjl"/>
      <w:bookmarkEnd w:id="51"/>
    </w:p>
    <w:p>
      <w:pPr>
        <w:shd w:val="clear" w:color="auto" w:fill="FFFFFF"/>
        <w:rPr>
          <w:rFonts w:eastAsia="Times New Roman"/>
          <w:highlight w:val="white"/>
        </w:rPr>
      </w:pPr>
      <w:r>
        <w:rPr>
          <w:rFonts w:eastAsia="Times New Roman"/>
          <w:highlight w:val="white"/>
        </w:rPr>
        <w:t>Wilson, G., Johnson, O. and Brown, W., (2024). Exploring the integration of artificial intelligence in retail operations.</w:t>
      </w:r>
    </w:p>
    <w:p>
      <w:r>
        <w:t xml:space="preserve">Xu, Q. and He, Y., (2023). Optimal information disclosure strategies for a retail platform in the blockchain technology era. </w:t>
      </w:r>
      <w:r>
        <w:rPr>
          <w:i/>
        </w:rPr>
        <w:t>International Journal of Production Research</w:t>
      </w:r>
      <w:r>
        <w:t xml:space="preserve">, </w:t>
      </w:r>
      <w:r>
        <w:rPr>
          <w:i/>
        </w:rPr>
        <w:t>61</w:t>
      </w:r>
      <w:r>
        <w:t>(11), pp.3781-3792.</w:t>
      </w:r>
    </w:p>
    <w:p>
      <w:r>
        <w:rPr>
          <w:lang w:val="de-DE"/>
        </w:rPr>
        <w:t xml:space="preserve">Zhang, L., Wu, L., Huang, L. and Zhang, Y., (2025). </w:t>
      </w:r>
      <w:r>
        <w:t xml:space="preserve">Wield the power of omni-channel retailing strategy: a capability and supply chain resilience perspective. </w:t>
      </w:r>
      <w:r>
        <w:rPr>
          <w:i/>
          <w:iCs/>
        </w:rPr>
        <w:t>Journal of Strategic Marketing</w:t>
      </w:r>
      <w:r>
        <w:t xml:space="preserve">, </w:t>
      </w:r>
      <w:r>
        <w:rPr>
          <w:i/>
          <w:iCs/>
        </w:rPr>
        <w:t>33</w:t>
      </w:r>
      <w:r>
        <w:t>(3), pp.416-440.</w:t>
      </w:r>
    </w:p>
    <w:p>
      <w:r>
        <w:t xml:space="preserve">Zimmermann, R., Mora, D., Cirqueira, D., Helfert, M., Bezbradica, M., Werth, D., Weitzl, W.J., Riedl, R. and Auinger, A., (2023). Enhancing brick-and-mortar store shopping experience with an augmented reality shopping assistant application using personalized recommendations and explainable artificial intelligence. </w:t>
      </w:r>
      <w:r>
        <w:rPr>
          <w:i/>
        </w:rPr>
        <w:t>Journal of Research in Interactive Marketing</w:t>
      </w:r>
      <w:r>
        <w:t xml:space="preserve">, </w:t>
      </w:r>
      <w:r>
        <w:rPr>
          <w:i/>
        </w:rPr>
        <w:t>17</w:t>
      </w:r>
      <w:r>
        <w:t>(2), pp.273-298.</w:t>
      </w:r>
    </w:p>
    <w:sectPr>
      <w:headerReference w:type="default" r:id="rId2"/>
      <w:footerReference w:type="default" r:id="rId3"/>
      <w:pgSz w:w="12240" w:h="15840"/>
      <w:pgMar w:top="1440" w:right="1440" w:bottom="1440" w:left="1440" w:header="720" w:footer="720" w:gutter="0"/>
      <w:pgNumType w:start="1"/>
      <w:titlePg/>
      <w:docGrid w:linePitch="299"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7"/>
      <w:tabs>
        <w:tab w:val="center" w:pos="4680"/>
        <w:tab w:val="right" w:pos="9360"/>
      </w:tabs>
      <w:jc w:val="right"/>
      <w:rPr>
        <w:b/>
        <w:bCs/>
      </w:rPr>
    </w:pPr>
    <w:r>
      <w:rPr>
        <w:b/>
        <w:bCs/>
      </w:rPr>
      <w:t xml:space="preserve">Page </w:t>
    </w:r>
    <w:r>
      <w:rPr>
        <w:b/>
        <w:bCs/>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rPr>
        <w:b/>
        <w:bCs/>
      </w:rPr>
      <w:t xml:space="preserve"> of </w:t>
    </w:r>
    <w:r>
      <w:rPr>
        <w:b/>
        <w:bCs/>
      </w:rPr>
      <w:fldChar w:fldCharType="begin"/>
    </w:r>
    <w:r>
      <w:rPr>
        <w:b/>
        <w:bCs/>
      </w:rPr>
      <w:instrText xml:space="preserve"> NUMPAGES  </w:instrText>
    </w:r>
    <w:r>
      <w:rPr>
        <w:b/>
        <w:bCs/>
        <w:sz w:val="24"/>
        <w:szCs w:val="24"/>
      </w:rPr>
      <w:fldChar w:fldCharType="separate"/>
    </w:r>
    <w:r>
      <w:rPr>
        <w:b/>
        <w:bCs/>
      </w:rPr>
      <w:t>2</w:t>
    </w:r>
    <w:r>
      <w:rPr>
        <w:b/>
        <w:bCs/>
        <w:sz w:val="24"/>
        <w:szCs w:val="24"/>
      </w:rPr>
      <w:fldChar w:fldCharType="end"/>
    </w:r>
  </w:p>
  <w:p>
    <w:pPr>
      <w:pStyle w:val="27"/>
      <w:tabs>
        <w:tab w:val="center" w:pos="4680"/>
        <w:tab w:val="right" w:pos="9360"/>
      </w:tabs>
      <w:rPr>
        <w:b/>
        <w:bCs/>
      </w:rPr>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6"/>
      <w:tabs>
        <w:tab w:val="center" w:pos="4680"/>
        <w:tab w:val="right" w:pos="9360"/>
      </w:tabs>
      <w:jc w:val="right"/>
      <w:rPr>
        <w:b/>
        <w:bCs/>
      </w:rPr>
    </w:pPr>
    <w:r>
      <w:rPr>
        <w:b/>
        <w:bCs/>
      </w:rPr>
      <w:t>Design Thinking and Innovation</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FE525C2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01"/>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Arial" w:eastAsia="Arial" w:cs="Arial" w:hAnsi="Arial"/>
      <w:sz w:val="22"/>
      <w:szCs w:val="22"/>
      <w:lang w:val="en-GB" w:eastAsia="en-US" w:bidi="ar-SA"/>
    </w:rPr>
  </w:style>
  <w:style w:type="paragraph" w:styleId="1">
    <w:name w:val="heading 1"/>
    <w:basedOn w:val="0"/>
    <w:next w:val="0"/>
    <w:pPr>
      <w:keepNext/>
      <w:keepLines/>
      <w:outlineLvl w:val="0"/>
    </w:pPr>
    <w:rPr>
      <w:b/>
      <w:sz w:val="28"/>
      <w:szCs w:val="28"/>
    </w:rPr>
  </w:style>
  <w:style w:type="paragraph" w:styleId="2">
    <w:name w:val="heading 2"/>
    <w:basedOn w:val="0"/>
    <w:next w:val="0"/>
    <w:pPr>
      <w:keepNext/>
      <w:keepLines/>
      <w:outlineLvl w:val="1"/>
    </w:pPr>
    <w:rPr>
      <w:b/>
      <w:sz w:val="26"/>
      <w:szCs w:val="26"/>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sz w:val="24"/>
      <w:szCs w:val="24"/>
    </w:rPr>
  </w:style>
  <w:style w:type="paragraph" w:styleId="5">
    <w:name w:val="heading 5"/>
    <w:basedOn w:val="0"/>
    <w:next w:val="0"/>
    <w:pPr>
      <w:keepNext/>
      <w:keepLines/>
      <w:spacing w:before="240" w:after="80"/>
      <w:outlineLvl w:val="4"/>
    </w:pPr>
    <w:rPr>
      <w:color w:val="666666"/>
    </w:rPr>
  </w:style>
  <w:style w:type="paragraph" w:styleId="6">
    <w:name w:val="heading 6"/>
    <w:basedOn w:val="0"/>
    <w:next w:val="0"/>
    <w:pPr>
      <w:keepNext/>
      <w:keepLines/>
      <w:spacing w:before="240" w:after="80"/>
      <w:outlineLvl w:val="5"/>
    </w:pPr>
    <w:rPr>
      <w:i/>
      <w:color w:val="666666"/>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color w:val="666666"/>
      <w:sz w:val="30"/>
      <w:szCs w:val="30"/>
    </w:rPr>
  </w:style>
  <w:style w:type="paragraph" w:styleId="17">
    <w:name w:val="annotation text"/>
    <w:basedOn w:val="0"/>
    <w:pPr>
      <w:spacing w:line="240" w:lineRule="auto"/>
    </w:pPr>
    <w:rPr>
      <w:sz w:val="20"/>
      <w:szCs w:val="20"/>
    </w:rPr>
  </w:style>
  <w:style w:type="character" w:styleId="18">
    <w:name w:val="annotation reference"/>
    <w:basedOn w:val="10"/>
    <w:rPr>
      <w:sz w:val="16"/>
      <w:szCs w:val="16"/>
    </w:rPr>
  </w:style>
  <w:style w:type="paragraph" w:customStyle="1" w:styleId="19">
    <w:name w:val="Bibliography"/>
    <w:basedOn w:val="0"/>
    <w:next w:val="0"/>
  </w:style>
  <w:style w:type="character" w:styleId="20">
    <w:name w:val="Hyperlink"/>
    <w:basedOn w:val="10"/>
    <w:rPr>
      <w:color w:val="0000FF"/>
      <w:u w:val="single"/>
    </w:rPr>
  </w:style>
  <w:style w:type="character" w:customStyle="1" w:styleId="21">
    <w:name w:val="Unresolved Mention"/>
    <w:basedOn w:val="10"/>
    <w:rPr>
      <w:color w:val="605E5C"/>
      <w:shd w:val="clear" w:color="auto" w:fill="E1DFDD"/>
    </w:rPr>
  </w:style>
  <w:style w:type="paragraph" w:customStyle="1" w:styleId="22">
    <w:name w:val="List Paragraph"/>
    <w:basedOn w:val="0"/>
    <w:pPr>
      <w:ind w:left="720"/>
      <w:contextualSpacing/>
    </w:pPr>
  </w:style>
  <w:style w:type="paragraph" w:customStyle="1" w:styleId="23">
    <w:name w:val="TOC Heading"/>
    <w:basedOn w:val="1"/>
    <w:next w:val="0"/>
    <w:pPr>
      <w:spacing w:before="240" w:line="259" w:lineRule="auto"/>
      <w:jc w:val="left"/>
      <w:outlineLvl w:val="9"/>
    </w:pPr>
    <w:rPr>
      <w:rFonts w:ascii="Calibri" w:eastAsia="宋体" w:cs="Times New Roman" w:hAnsi="Calibri"/>
      <w:b w:val="0"/>
      <w:color w:val="365F91"/>
      <w:sz w:val="32"/>
      <w:szCs w:val="32"/>
      <w:lang w:val="en-US"/>
    </w:rPr>
  </w:style>
  <w:style w:type="paragraph" w:styleId="24">
    <w:name w:val="toc 1"/>
    <w:basedOn w:val="0"/>
    <w:autoRedefine/>
    <w:next w:val="0"/>
    <w:pPr>
      <w:spacing w:after="100"/>
    </w:pPr>
  </w:style>
  <w:style w:type="paragraph" w:styleId="25">
    <w:name w:val="toc 2"/>
    <w:basedOn w:val="0"/>
    <w:autoRedefine/>
    <w:next w:val="0"/>
    <w:pPr>
      <w:spacing w:after="100"/>
      <w:ind w:left="220"/>
    </w:pPr>
  </w:style>
  <w:style w:type="paragraph" w:styleId="26">
    <w:name w:val="header"/>
    <w:basedOn w:val="0"/>
    <w:pPr>
      <w:tabs>
        <w:tab w:val="center" w:pos="4680"/>
        <w:tab w:val="right" w:pos="9360"/>
      </w:tabs>
      <w:spacing w:line="240" w:lineRule="auto"/>
    </w:pPr>
  </w:style>
  <w:style w:type="paragraph" w:styleId="27">
    <w:name w:val="footer"/>
    <w:basedOn w:val="0"/>
    <w:pPr>
      <w:tabs>
        <w:tab w:val="center" w:pos="4680"/>
        <w:tab w:val="right" w:pos="9360"/>
      </w:tabs>
      <w:spacing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image" Target="media/8.jpeg"/><Relationship Id="rId7" Type="http://schemas.openxmlformats.org/officeDocument/2006/relationships/image" Target="media/11.jpeg"/><Relationship Id="rId8" Type="http://schemas.openxmlformats.org/officeDocument/2006/relationships/image" Target="media/14.png"/><Relationship Id="rId9" Type="http://schemas.openxmlformats.org/officeDocument/2006/relationships/image" Target="media/17.png"/><Relationship Id="rId10" Type="http://schemas.openxmlformats.org/officeDocument/2006/relationships/image" Target="media/22.png"/><Relationship Id="rId11" Type="http://schemas.openxmlformats.org/officeDocument/2006/relationships/image" Target="media/25.png"/><Relationship Id="rId12" Type="http://schemas.openxmlformats.org/officeDocument/2006/relationships/styles" Target="styles.xml"/><Relationship Id="rId13" Type="http://schemas.openxmlformats.org/officeDocument/2006/relationships/numbering" Target="numbering.xml"/><Relationship Id="rId14" Type="http://schemas.openxmlformats.org/officeDocument/2006/relationships/fontTable" Target="fontTable.xml"/></Relationships>
</file>

<file path=docProps/app.xml><?xml version="1.0" encoding="utf-8"?>
<Properties xmlns="http://schemas.openxmlformats.org/officeDocument/2006/extended-properties">
  <Template>Normal.eit</Template>
  <TotalTime>14</TotalTime>
  <Application>Honor_Office</Application>
  <Pages>27</Pages>
  <Words>5164</Words>
  <Characters>32306</Characters>
  <Lines>636</Lines>
  <Paragraphs>208</Paragraphs>
  <CharactersWithSpaces>37275</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Beniamin</dc:creator>
  <cp:lastModifiedBy>HONOR Docs</cp:lastModifiedBy>
  <cp:revision>3</cp:revision>
  <dcterms:created xsi:type="dcterms:W3CDTF">2025-10-31T08:40:00Z</dcterms:created>
  <dcterms:modified xsi:type="dcterms:W3CDTF">2025-11-22T15:51:50Z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71682def-ce2f-45af-99b9-39c2d36ccf15</vt:lpwstr>
  </property>
</Properties>
</file>