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0AA01" w14:textId="5D0C9176" w:rsidR="003C1FB0" w:rsidRPr="008A0070" w:rsidRDefault="00B00346" w:rsidP="00C048C1">
      <w:pPr>
        <w:jc w:val="center"/>
        <w:rPr>
          <w:rFonts w:ascii="Times New Roman" w:hAnsi="Times New Roman" w:cs="Times New Roman"/>
          <w:b/>
          <w:sz w:val="24"/>
          <w:szCs w:val="24"/>
        </w:rPr>
      </w:pPr>
      <w:r>
        <w:rPr>
          <w:rFonts w:ascii="Times New Roman" w:hAnsi="Times New Roman" w:cs="Times New Roman"/>
          <w:b/>
          <w:sz w:val="24"/>
          <w:szCs w:val="24"/>
        </w:rPr>
        <w:t>ANSELM’S</w:t>
      </w:r>
      <w:r w:rsidR="008006FB">
        <w:rPr>
          <w:rFonts w:ascii="Times New Roman" w:hAnsi="Times New Roman" w:cs="Times New Roman"/>
          <w:b/>
          <w:sz w:val="24"/>
          <w:szCs w:val="24"/>
        </w:rPr>
        <w:t xml:space="preserve"> </w:t>
      </w:r>
      <w:r>
        <w:rPr>
          <w:rFonts w:ascii="Times New Roman" w:hAnsi="Times New Roman" w:cs="Times New Roman"/>
          <w:b/>
          <w:sz w:val="24"/>
          <w:szCs w:val="24"/>
        </w:rPr>
        <w:t>CUR DEUS HOMO?</w:t>
      </w:r>
      <w:r w:rsidR="008006FB">
        <w:rPr>
          <w:rFonts w:ascii="Times New Roman" w:hAnsi="Times New Roman" w:cs="Times New Roman"/>
          <w:b/>
          <w:sz w:val="24"/>
          <w:szCs w:val="24"/>
        </w:rPr>
        <w:t>: A TEXTUAL ANALYSIS</w:t>
      </w:r>
    </w:p>
    <w:p w14:paraId="23EF8F60" w14:textId="46C6146B" w:rsidR="00E42267" w:rsidRDefault="002F35DA" w:rsidP="00963B33">
      <w:pPr>
        <w:spacing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6F43CC" w:rsidRPr="006F43CC">
        <w:rPr>
          <w:rFonts w:ascii="Times New Roman" w:hAnsi="Times New Roman" w:cs="Times New Roman"/>
          <w:b/>
          <w:sz w:val="24"/>
          <w:szCs w:val="24"/>
        </w:rPr>
        <w:t>Anselm, , and Edward S. Prout. Cur Deus Homo =: Why God Became Man. London: Religious Tract Society, 1886.</w:t>
      </w:r>
    </w:p>
    <w:p w14:paraId="13CC6FDA" w14:textId="77777777" w:rsidR="00C048C1" w:rsidRDefault="00C048C1" w:rsidP="00963B33">
      <w:pPr>
        <w:spacing w:line="240" w:lineRule="auto"/>
        <w:rPr>
          <w:rFonts w:ascii="Times New Roman" w:hAnsi="Times New Roman" w:cs="Times New Roman"/>
          <w:sz w:val="24"/>
          <w:szCs w:val="24"/>
        </w:rPr>
      </w:pPr>
    </w:p>
    <w:p w14:paraId="6AD86A06" w14:textId="4389954E" w:rsidR="00963B33" w:rsidRDefault="001F7300" w:rsidP="004C4ED8">
      <w:pPr>
        <w:spacing w:line="480" w:lineRule="auto"/>
        <w:rPr>
          <w:rFonts w:ascii="Times New Roman" w:hAnsi="Times New Roman" w:cs="Times New Roman"/>
          <w:b/>
          <w:sz w:val="24"/>
          <w:szCs w:val="24"/>
        </w:rPr>
      </w:pPr>
      <w:r>
        <w:rPr>
          <w:rFonts w:ascii="Times New Roman" w:hAnsi="Times New Roman" w:cs="Times New Roman"/>
          <w:b/>
          <w:sz w:val="24"/>
          <w:szCs w:val="24"/>
        </w:rPr>
        <w:t>Anselm’s</w:t>
      </w:r>
      <w:r w:rsidR="003344E2" w:rsidRPr="003344E2">
        <w:rPr>
          <w:rFonts w:ascii="Times New Roman" w:hAnsi="Times New Roman" w:cs="Times New Roman"/>
          <w:b/>
          <w:sz w:val="24"/>
          <w:szCs w:val="24"/>
        </w:rPr>
        <w:t xml:space="preserve"> Christology </w:t>
      </w:r>
    </w:p>
    <w:p w14:paraId="1E77F24A" w14:textId="3FDDAB67" w:rsidR="001F7300" w:rsidRDefault="001F7300" w:rsidP="004C4ED8">
      <w:pPr>
        <w:spacing w:line="480" w:lineRule="auto"/>
        <w:rPr>
          <w:rFonts w:ascii="Times New Roman" w:hAnsi="Times New Roman" w:cs="Times New Roman"/>
          <w:sz w:val="24"/>
          <w:szCs w:val="24"/>
        </w:rPr>
      </w:pPr>
      <w:r>
        <w:rPr>
          <w:rFonts w:ascii="Times New Roman" w:hAnsi="Times New Roman" w:cs="Times New Roman"/>
          <w:sz w:val="24"/>
          <w:szCs w:val="24"/>
        </w:rPr>
        <w:t xml:space="preserve">Anselm starts with </w:t>
      </w:r>
      <w:r w:rsidR="004E6E09">
        <w:rPr>
          <w:rFonts w:ascii="Times New Roman" w:hAnsi="Times New Roman" w:cs="Times New Roman"/>
          <w:sz w:val="24"/>
          <w:szCs w:val="24"/>
        </w:rPr>
        <w:t xml:space="preserve">the foundation upon which </w:t>
      </w:r>
      <w:r>
        <w:rPr>
          <w:rFonts w:ascii="Times New Roman" w:hAnsi="Times New Roman" w:cs="Times New Roman"/>
          <w:sz w:val="24"/>
          <w:szCs w:val="24"/>
        </w:rPr>
        <w:t xml:space="preserve">the entire work of Cur Deus Homo rests. </w:t>
      </w:r>
    </w:p>
    <w:p w14:paraId="60CDC9BD" w14:textId="471E3EF9" w:rsidR="0006734F" w:rsidRDefault="001F7300" w:rsidP="00B273BB">
      <w:pPr>
        <w:spacing w:line="480" w:lineRule="auto"/>
        <w:rPr>
          <w:rFonts w:ascii="Times New Roman" w:hAnsi="Times New Roman" w:cs="Times New Roman"/>
          <w:sz w:val="24"/>
          <w:szCs w:val="24"/>
        </w:rPr>
      </w:pPr>
      <w:r>
        <w:rPr>
          <w:rFonts w:ascii="Times New Roman" w:hAnsi="Times New Roman" w:cs="Times New Roman"/>
          <w:sz w:val="24"/>
          <w:szCs w:val="24"/>
        </w:rPr>
        <w:t>“for what cause or necessity, in sooth, God became man, and by his own death, as we believe and affirm, restored life to the world; when he might have done this by means of some other being, angelic or human, or merely by His will.”</w:t>
      </w:r>
      <w:r>
        <w:rPr>
          <w:rStyle w:val="FootnoteReference"/>
          <w:rFonts w:ascii="Times New Roman" w:hAnsi="Times New Roman" w:cs="Times New Roman"/>
          <w:sz w:val="24"/>
          <w:szCs w:val="24"/>
        </w:rPr>
        <w:footnoteReference w:id="1"/>
      </w:r>
    </w:p>
    <w:p w14:paraId="4BB0E28F" w14:textId="4B40F0CA" w:rsidR="00726D62" w:rsidRDefault="001F7300" w:rsidP="00B273B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centrality of the letter is a focus on if God could have restored life to the world by a different means. The questions asked of Cur Deus Homo may not directly address the nature in which Christ needed to be Christ, but as Anselm </w:t>
      </w:r>
      <w:r w:rsidR="006D552A">
        <w:rPr>
          <w:rFonts w:ascii="Times New Roman" w:hAnsi="Times New Roman" w:cs="Times New Roman"/>
          <w:sz w:val="24"/>
          <w:szCs w:val="24"/>
        </w:rPr>
        <w:t xml:space="preserve">answers different questions surrounding this discussion, he addresses </w:t>
      </w:r>
      <w:r w:rsidR="00966A50">
        <w:rPr>
          <w:rFonts w:ascii="Times New Roman" w:hAnsi="Times New Roman" w:cs="Times New Roman"/>
          <w:sz w:val="24"/>
          <w:szCs w:val="24"/>
        </w:rPr>
        <w:t xml:space="preserve">them indirectly. </w:t>
      </w:r>
      <w:r w:rsidR="00726D62" w:rsidRPr="00726D62">
        <w:rPr>
          <w:rFonts w:ascii="Times New Roman" w:hAnsi="Times New Roman" w:cs="Times New Roman"/>
          <w:sz w:val="24"/>
          <w:szCs w:val="24"/>
        </w:rPr>
        <w:t xml:space="preserve">Anselm explains the deeper the individual digs into the depths in which Christ was the sacrifice the more that individual should worship God. The doctrine of Christ for Anselm was not merely a doctrine on its own, but a doctrine that led to doxology. This appropriateness for Anselm is a core belief in Aquinas’ Christology, but Anslem covers it from a different angle. The perspective starts with worship, moving from an individual that ridicules the ‘simple’ doctrine of the incarnation to a worshipful experience of its depth. </w:t>
      </w:r>
    </w:p>
    <w:p w14:paraId="6264ACAA" w14:textId="77777777" w:rsidR="000015F8" w:rsidRDefault="00726D62" w:rsidP="00726D62">
      <w:pPr>
        <w:spacing w:line="480" w:lineRule="auto"/>
        <w:rPr>
          <w:rFonts w:ascii="Times New Roman" w:hAnsi="Times New Roman" w:cs="Times New Roman"/>
          <w:b/>
          <w:sz w:val="24"/>
          <w:szCs w:val="24"/>
        </w:rPr>
      </w:pPr>
      <w:r w:rsidRPr="00726D62">
        <w:rPr>
          <w:rFonts w:ascii="Times New Roman" w:hAnsi="Times New Roman" w:cs="Times New Roman"/>
          <w:b/>
          <w:sz w:val="24"/>
          <w:szCs w:val="24"/>
        </w:rPr>
        <w:t>Anselm’s Contribution to understanding the Trinit</w:t>
      </w:r>
      <w:r>
        <w:rPr>
          <w:rFonts w:ascii="Times New Roman" w:hAnsi="Times New Roman" w:cs="Times New Roman"/>
          <w:b/>
          <w:sz w:val="24"/>
          <w:szCs w:val="24"/>
        </w:rPr>
        <w:t>y</w:t>
      </w:r>
    </w:p>
    <w:p w14:paraId="5529E5A9" w14:textId="379804B2" w:rsidR="0094517F" w:rsidRPr="000015F8" w:rsidRDefault="00726D62" w:rsidP="00726D62">
      <w:pPr>
        <w:spacing w:line="480" w:lineRule="auto"/>
        <w:rPr>
          <w:rFonts w:ascii="Times New Roman" w:hAnsi="Times New Roman" w:cs="Times New Roman"/>
          <w:b/>
          <w:sz w:val="24"/>
          <w:szCs w:val="24"/>
        </w:rPr>
      </w:pPr>
      <w:r>
        <w:rPr>
          <w:rFonts w:ascii="Times New Roman" w:hAnsi="Times New Roman" w:cs="Times New Roman"/>
          <w:sz w:val="24"/>
          <w:szCs w:val="24"/>
        </w:rPr>
        <w:t xml:space="preserve">Anselm’s work has been a foundation on which different doctrines on the Trinity  have derived. Anslem dives deep into the separation between God and humanity and the need for a redemption </w:t>
      </w:r>
      <w:r>
        <w:rPr>
          <w:rFonts w:ascii="Times New Roman" w:hAnsi="Times New Roman" w:cs="Times New Roman"/>
          <w:sz w:val="24"/>
          <w:szCs w:val="24"/>
        </w:rPr>
        <w:lastRenderedPageBreak/>
        <w:t>narrative. He does this by showing the divide between the sinfulness of humanity and the Holiness o</w:t>
      </w:r>
      <w:r w:rsidR="00240C06">
        <w:rPr>
          <w:rFonts w:ascii="Times New Roman" w:hAnsi="Times New Roman" w:cs="Times New Roman"/>
          <w:sz w:val="24"/>
          <w:szCs w:val="24"/>
        </w:rPr>
        <w:t xml:space="preserve">f </w:t>
      </w:r>
      <w:r>
        <w:rPr>
          <w:rFonts w:ascii="Times New Roman" w:hAnsi="Times New Roman" w:cs="Times New Roman"/>
          <w:sz w:val="24"/>
          <w:szCs w:val="24"/>
        </w:rPr>
        <w:t xml:space="preserve">God. </w:t>
      </w:r>
      <w:r w:rsidRPr="00726D62">
        <w:rPr>
          <w:rFonts w:ascii="Times New Roman" w:hAnsi="Times New Roman" w:cs="Times New Roman"/>
          <w:sz w:val="24"/>
          <w:szCs w:val="24"/>
        </w:rPr>
        <w:t xml:space="preserve">The purpose for the Son to die was </w:t>
      </w:r>
      <w:r w:rsidR="00240C06">
        <w:rPr>
          <w:rFonts w:ascii="Times New Roman" w:hAnsi="Times New Roman" w:cs="Times New Roman"/>
          <w:sz w:val="24"/>
          <w:szCs w:val="24"/>
        </w:rPr>
        <w:t>in part to pay for the</w:t>
      </w:r>
      <w:r w:rsidRPr="00726D62">
        <w:rPr>
          <w:rFonts w:ascii="Times New Roman" w:hAnsi="Times New Roman" w:cs="Times New Roman"/>
          <w:sz w:val="24"/>
          <w:szCs w:val="24"/>
        </w:rPr>
        <w:t xml:space="preserve"> sinfulness of humanity. Anslem describes the nature of sin as taking away the </w:t>
      </w:r>
      <w:r w:rsidR="00240C06" w:rsidRPr="00726D62">
        <w:rPr>
          <w:rFonts w:ascii="Times New Roman" w:hAnsi="Times New Roman" w:cs="Times New Roman"/>
          <w:sz w:val="24"/>
          <w:szCs w:val="24"/>
        </w:rPr>
        <w:t>honor</w:t>
      </w:r>
      <w:r w:rsidRPr="00726D62">
        <w:rPr>
          <w:rFonts w:ascii="Times New Roman" w:hAnsi="Times New Roman" w:cs="Times New Roman"/>
          <w:sz w:val="24"/>
          <w:szCs w:val="24"/>
        </w:rPr>
        <w:t xml:space="preserve"> due to the creator.</w:t>
      </w:r>
      <w:r w:rsidRPr="00726D62">
        <w:rPr>
          <w:rFonts w:ascii="Times New Roman" w:hAnsi="Times New Roman" w:cs="Times New Roman"/>
          <w:sz w:val="24"/>
          <w:szCs w:val="24"/>
          <w:vertAlign w:val="superscript"/>
        </w:rPr>
        <w:footnoteReference w:id="2"/>
      </w:r>
      <w:r w:rsidRPr="00726D62">
        <w:rPr>
          <w:rFonts w:ascii="Times New Roman" w:hAnsi="Times New Roman" w:cs="Times New Roman"/>
          <w:sz w:val="24"/>
          <w:szCs w:val="24"/>
        </w:rPr>
        <w:t xml:space="preserve"> How does this tie back to Anselm’s Christology? Jesus takes upon flesh to bring the </w:t>
      </w:r>
      <w:r w:rsidR="00240C06" w:rsidRPr="00726D62">
        <w:rPr>
          <w:rFonts w:ascii="Times New Roman" w:hAnsi="Times New Roman" w:cs="Times New Roman"/>
          <w:sz w:val="24"/>
          <w:szCs w:val="24"/>
        </w:rPr>
        <w:t>honor</w:t>
      </w:r>
      <w:r w:rsidRPr="00726D62">
        <w:rPr>
          <w:rFonts w:ascii="Times New Roman" w:hAnsi="Times New Roman" w:cs="Times New Roman"/>
          <w:sz w:val="24"/>
          <w:szCs w:val="24"/>
        </w:rPr>
        <w:t xml:space="preserve"> and glory back to God.</w:t>
      </w:r>
      <w:r w:rsidR="0094517F">
        <w:rPr>
          <w:rFonts w:ascii="Times New Roman" w:hAnsi="Times New Roman" w:cs="Times New Roman"/>
          <w:sz w:val="24"/>
          <w:szCs w:val="24"/>
        </w:rPr>
        <w:t xml:space="preserve"> As Andrew </w:t>
      </w:r>
      <w:proofErr w:type="spellStart"/>
      <w:r w:rsidR="0094517F">
        <w:rPr>
          <w:rFonts w:ascii="Times New Roman" w:hAnsi="Times New Roman" w:cs="Times New Roman"/>
          <w:sz w:val="24"/>
          <w:szCs w:val="24"/>
        </w:rPr>
        <w:t>Rosato</w:t>
      </w:r>
      <w:proofErr w:type="spellEnd"/>
      <w:r w:rsidR="0094517F">
        <w:rPr>
          <w:rFonts w:ascii="Times New Roman" w:hAnsi="Times New Roman" w:cs="Times New Roman"/>
          <w:sz w:val="24"/>
          <w:szCs w:val="24"/>
        </w:rPr>
        <w:t xml:space="preserve"> puts it,</w:t>
      </w:r>
    </w:p>
    <w:p w14:paraId="2A446D19" w14:textId="6949A01B" w:rsidR="00726D62" w:rsidRPr="00726D62" w:rsidRDefault="0094517F" w:rsidP="00726D62">
      <w:pPr>
        <w:spacing w:line="480" w:lineRule="auto"/>
        <w:rPr>
          <w:rFonts w:ascii="Times New Roman" w:hAnsi="Times New Roman" w:cs="Times New Roman"/>
          <w:sz w:val="24"/>
          <w:szCs w:val="24"/>
        </w:rPr>
      </w:pPr>
      <w:r>
        <w:rPr>
          <w:rFonts w:ascii="Times New Roman" w:hAnsi="Times New Roman" w:cs="Times New Roman"/>
          <w:sz w:val="24"/>
          <w:szCs w:val="24"/>
        </w:rPr>
        <w:t xml:space="preserve"> “Anselm’s Cur Deus Homo covers a number of topics related to redemption, but its main contribution to that doctrine is its account of how Christ’s death makes satisfaction for human sin. According to Anselm, sin incurs a debt that only pays by making satisfaction. Anselm’s satisfaction theory of the Atonement came to dominate soteriology of the scholastic period.”</w:t>
      </w:r>
      <w:r>
        <w:rPr>
          <w:rStyle w:val="FootnoteReference"/>
          <w:rFonts w:ascii="Times New Roman" w:hAnsi="Times New Roman" w:cs="Times New Roman"/>
          <w:sz w:val="24"/>
          <w:szCs w:val="24"/>
        </w:rPr>
        <w:footnoteReference w:id="3"/>
      </w:r>
    </w:p>
    <w:p w14:paraId="36ABBD9B" w14:textId="2F380E26" w:rsidR="00726D62" w:rsidRDefault="0094517F" w:rsidP="00B273BB">
      <w:pPr>
        <w:spacing w:line="480" w:lineRule="auto"/>
        <w:rPr>
          <w:rFonts w:ascii="Times New Roman" w:hAnsi="Times New Roman" w:cs="Times New Roman"/>
          <w:sz w:val="24"/>
          <w:szCs w:val="24"/>
        </w:rPr>
      </w:pPr>
      <w:r>
        <w:rPr>
          <w:rFonts w:ascii="Times New Roman" w:hAnsi="Times New Roman" w:cs="Times New Roman"/>
          <w:sz w:val="24"/>
          <w:szCs w:val="24"/>
        </w:rPr>
        <w:t>Anselm’s atonement</w:t>
      </w:r>
      <w:r w:rsidR="00AC0E6A">
        <w:rPr>
          <w:rFonts w:ascii="Times New Roman" w:hAnsi="Times New Roman" w:cs="Times New Roman"/>
          <w:sz w:val="24"/>
          <w:szCs w:val="24"/>
        </w:rPr>
        <w:t xml:space="preserve"> has been the precursor to the doctrine of penal substitutionary atonement. Where</w:t>
      </w:r>
      <w:r>
        <w:rPr>
          <w:rFonts w:ascii="Times New Roman" w:hAnsi="Times New Roman" w:cs="Times New Roman"/>
          <w:sz w:val="24"/>
          <w:szCs w:val="24"/>
        </w:rPr>
        <w:t xml:space="preserve"> </w:t>
      </w:r>
      <w:r w:rsidR="00AC0E6A">
        <w:rPr>
          <w:rFonts w:ascii="Times New Roman" w:hAnsi="Times New Roman" w:cs="Times New Roman"/>
          <w:sz w:val="24"/>
          <w:szCs w:val="24"/>
        </w:rPr>
        <w:t>the Divine Justice had to be satisfied</w:t>
      </w:r>
      <w:r>
        <w:rPr>
          <w:rFonts w:ascii="Times New Roman" w:hAnsi="Times New Roman" w:cs="Times New Roman"/>
          <w:sz w:val="24"/>
          <w:szCs w:val="24"/>
        </w:rPr>
        <w:t xml:space="preserve"> </w:t>
      </w:r>
      <w:r w:rsidR="00AC0E6A">
        <w:rPr>
          <w:rFonts w:ascii="Times New Roman" w:hAnsi="Times New Roman" w:cs="Times New Roman"/>
          <w:sz w:val="24"/>
          <w:szCs w:val="24"/>
        </w:rPr>
        <w:t>defined by Bernard J.D</w:t>
      </w:r>
      <w:r w:rsidR="001740EE">
        <w:rPr>
          <w:rFonts w:ascii="Times New Roman" w:hAnsi="Times New Roman" w:cs="Times New Roman"/>
          <w:sz w:val="24"/>
          <w:szCs w:val="24"/>
        </w:rPr>
        <w:t>.</w:t>
      </w:r>
      <w:r w:rsidR="00AC0E6A">
        <w:rPr>
          <w:rFonts w:ascii="Times New Roman" w:hAnsi="Times New Roman" w:cs="Times New Roman"/>
          <w:sz w:val="24"/>
          <w:szCs w:val="24"/>
        </w:rPr>
        <w:t xml:space="preserve"> van </w:t>
      </w:r>
      <w:proofErr w:type="spellStart"/>
      <w:r w:rsidR="00AC0E6A">
        <w:rPr>
          <w:rFonts w:ascii="Times New Roman" w:hAnsi="Times New Roman" w:cs="Times New Roman"/>
          <w:sz w:val="24"/>
          <w:szCs w:val="24"/>
        </w:rPr>
        <w:t>Vreeswijk</w:t>
      </w:r>
      <w:proofErr w:type="spellEnd"/>
      <w:r w:rsidR="00AC0E6A">
        <w:rPr>
          <w:rFonts w:ascii="Times New Roman" w:hAnsi="Times New Roman" w:cs="Times New Roman"/>
          <w:sz w:val="24"/>
          <w:szCs w:val="24"/>
        </w:rPr>
        <w:t xml:space="preserve"> as “</w:t>
      </w:r>
      <w:r w:rsidR="00AC0E6A" w:rsidRPr="00AC0E6A">
        <w:rPr>
          <w:rFonts w:ascii="Times New Roman" w:hAnsi="Times New Roman" w:cs="Times New Roman"/>
          <w:sz w:val="24"/>
          <w:szCs w:val="24"/>
        </w:rPr>
        <w:t xml:space="preserve">the reason why God had to become human and had to die for the sins of human beings. By sin humankind has offended God's </w:t>
      </w:r>
      <w:proofErr w:type="spellStart"/>
      <w:r w:rsidR="00AC0E6A" w:rsidRPr="00AC0E6A">
        <w:rPr>
          <w:rFonts w:ascii="Times New Roman" w:hAnsi="Times New Roman" w:cs="Times New Roman"/>
          <w:sz w:val="24"/>
          <w:szCs w:val="24"/>
        </w:rPr>
        <w:t>honour</w:t>
      </w:r>
      <w:proofErr w:type="spellEnd"/>
      <w:r w:rsidR="00AC0E6A" w:rsidRPr="00AC0E6A">
        <w:rPr>
          <w:rFonts w:ascii="Times New Roman" w:hAnsi="Times New Roman" w:cs="Times New Roman"/>
          <w:sz w:val="24"/>
          <w:szCs w:val="24"/>
        </w:rPr>
        <w:t>, and God's justice demands satisfaction for this offence.</w:t>
      </w:r>
      <w:r w:rsidR="00AC0E6A">
        <w:rPr>
          <w:rFonts w:ascii="Times New Roman" w:hAnsi="Times New Roman" w:cs="Times New Roman"/>
          <w:sz w:val="24"/>
          <w:szCs w:val="24"/>
        </w:rPr>
        <w:t>”</w:t>
      </w:r>
      <w:r w:rsidR="00AC0E6A">
        <w:rPr>
          <w:rStyle w:val="FootnoteReference"/>
          <w:rFonts w:ascii="Times New Roman" w:hAnsi="Times New Roman" w:cs="Times New Roman"/>
          <w:sz w:val="24"/>
          <w:szCs w:val="24"/>
        </w:rPr>
        <w:footnoteReference w:id="4"/>
      </w:r>
    </w:p>
    <w:p w14:paraId="2ECACC29" w14:textId="668FDE43" w:rsidR="00AC0E6A" w:rsidRPr="00726D62" w:rsidRDefault="00AC0E6A" w:rsidP="00B273BB">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not too far of a stretch to get there from Anselm, as we see his focus on the redemption narrative portraited in a need for humanity to be rescued. </w:t>
      </w:r>
    </w:p>
    <w:p w14:paraId="325E579F" w14:textId="531FD516" w:rsidR="00CF7973" w:rsidRDefault="00CF7973" w:rsidP="00B273BB">
      <w:pPr>
        <w:spacing w:line="480" w:lineRule="auto"/>
        <w:rPr>
          <w:rFonts w:ascii="Times New Roman" w:hAnsi="Times New Roman" w:cs="Times New Roman"/>
          <w:sz w:val="24"/>
          <w:szCs w:val="24"/>
        </w:rPr>
      </w:pPr>
      <w:r>
        <w:rPr>
          <w:rFonts w:ascii="Times New Roman" w:hAnsi="Times New Roman" w:cs="Times New Roman"/>
          <w:sz w:val="24"/>
          <w:szCs w:val="24"/>
        </w:rPr>
        <w:t xml:space="preserve">“Do you not </w:t>
      </w:r>
      <w:r w:rsidR="001E4013">
        <w:rPr>
          <w:rFonts w:ascii="Times New Roman" w:hAnsi="Times New Roman" w:cs="Times New Roman"/>
          <w:sz w:val="24"/>
          <w:szCs w:val="24"/>
        </w:rPr>
        <w:t>perceive</w:t>
      </w:r>
      <w:r>
        <w:rPr>
          <w:rFonts w:ascii="Times New Roman" w:hAnsi="Times New Roman" w:cs="Times New Roman"/>
          <w:sz w:val="24"/>
          <w:szCs w:val="24"/>
        </w:rPr>
        <w:t xml:space="preserve"> that</w:t>
      </w:r>
      <w:r w:rsidR="004D34BC">
        <w:rPr>
          <w:rFonts w:ascii="Times New Roman" w:hAnsi="Times New Roman" w:cs="Times New Roman"/>
          <w:sz w:val="24"/>
          <w:szCs w:val="24"/>
        </w:rPr>
        <w:t>, if</w:t>
      </w:r>
      <w:r>
        <w:rPr>
          <w:rFonts w:ascii="Times New Roman" w:hAnsi="Times New Roman" w:cs="Times New Roman"/>
          <w:sz w:val="24"/>
          <w:szCs w:val="24"/>
        </w:rPr>
        <w:t xml:space="preserve"> any other being should rescue man from eternal death, man would </w:t>
      </w:r>
      <w:r w:rsidR="00174059">
        <w:rPr>
          <w:rFonts w:ascii="Times New Roman" w:hAnsi="Times New Roman" w:cs="Times New Roman"/>
          <w:sz w:val="24"/>
          <w:szCs w:val="24"/>
        </w:rPr>
        <w:t xml:space="preserve">rightly be adjudged as the servant of that being? Now if this be so, he would in no wise be restored to that dignity which would have been his had he never sinned. For he, who was to be </w:t>
      </w:r>
      <w:r w:rsidR="00174059">
        <w:rPr>
          <w:rFonts w:ascii="Times New Roman" w:hAnsi="Times New Roman" w:cs="Times New Roman"/>
          <w:sz w:val="24"/>
          <w:szCs w:val="24"/>
        </w:rPr>
        <w:lastRenderedPageBreak/>
        <w:t xml:space="preserve">through eternity only the servant of a being God and an equal with the </w:t>
      </w:r>
      <w:r w:rsidR="001E4013">
        <w:rPr>
          <w:rFonts w:ascii="Times New Roman" w:hAnsi="Times New Roman" w:cs="Times New Roman"/>
          <w:sz w:val="24"/>
          <w:szCs w:val="24"/>
        </w:rPr>
        <w:t>holy angels, would now be the servant of a being who was not God, and whom the angels did not serve.”</w:t>
      </w:r>
      <w:r w:rsidR="001E4013">
        <w:rPr>
          <w:rStyle w:val="FootnoteReference"/>
          <w:rFonts w:ascii="Times New Roman" w:hAnsi="Times New Roman" w:cs="Times New Roman"/>
          <w:sz w:val="24"/>
          <w:szCs w:val="24"/>
        </w:rPr>
        <w:footnoteReference w:id="5"/>
      </w:r>
    </w:p>
    <w:p w14:paraId="26DBBA2D" w14:textId="7A67CB59" w:rsidR="009C4ADA" w:rsidRDefault="001E4013" w:rsidP="00B273BB">
      <w:pPr>
        <w:spacing w:line="480" w:lineRule="auto"/>
        <w:rPr>
          <w:rFonts w:ascii="Times New Roman" w:hAnsi="Times New Roman" w:cs="Times New Roman"/>
          <w:sz w:val="24"/>
          <w:szCs w:val="24"/>
        </w:rPr>
      </w:pPr>
      <w:r>
        <w:rPr>
          <w:rFonts w:ascii="Times New Roman" w:hAnsi="Times New Roman" w:cs="Times New Roman"/>
          <w:sz w:val="24"/>
          <w:szCs w:val="24"/>
        </w:rPr>
        <w:t xml:space="preserve">Anslem continues on to discuss the nature in </w:t>
      </w:r>
      <w:r w:rsidR="009C4ADA">
        <w:rPr>
          <w:rFonts w:ascii="Times New Roman" w:hAnsi="Times New Roman" w:cs="Times New Roman"/>
          <w:sz w:val="24"/>
          <w:szCs w:val="24"/>
        </w:rPr>
        <w:t xml:space="preserve">which Christ is both obedient to the Father and is acting completely upon his own will to die upon the cross. </w:t>
      </w:r>
    </w:p>
    <w:p w14:paraId="57E6D8D7" w14:textId="6AFF1D5F" w:rsidR="009C4ADA" w:rsidRDefault="009C4ADA" w:rsidP="00B273BB">
      <w:pPr>
        <w:spacing w:line="480" w:lineRule="auto"/>
        <w:rPr>
          <w:rFonts w:ascii="Times New Roman" w:hAnsi="Times New Roman" w:cs="Times New Roman"/>
          <w:sz w:val="24"/>
          <w:szCs w:val="24"/>
        </w:rPr>
      </w:pPr>
      <w:r>
        <w:rPr>
          <w:rFonts w:ascii="Times New Roman" w:hAnsi="Times New Roman" w:cs="Times New Roman"/>
          <w:sz w:val="24"/>
          <w:szCs w:val="24"/>
        </w:rPr>
        <w:t>“For it is not meant that he could have attained his exaltation in any other way but by obedience unto death; nor is it meant that his exaltation was conferred on him, only as a reward of his obedience; but the expression is used because he had agreed with the Father and the Holy Spirit, that there was no other way to reveal to the world the height of his omnipotence, than by His death.”</w:t>
      </w:r>
      <w:r w:rsidR="00536851">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p>
    <w:p w14:paraId="628F83A9" w14:textId="3B67D7EA" w:rsidR="000B0017" w:rsidRDefault="009C4ADA" w:rsidP="00B273BB">
      <w:pPr>
        <w:spacing w:line="480" w:lineRule="auto"/>
        <w:rPr>
          <w:rFonts w:ascii="Times New Roman" w:hAnsi="Times New Roman" w:cs="Times New Roman"/>
          <w:sz w:val="24"/>
          <w:szCs w:val="24"/>
        </w:rPr>
      </w:pPr>
      <w:r>
        <w:rPr>
          <w:rFonts w:ascii="Times New Roman" w:hAnsi="Times New Roman" w:cs="Times New Roman"/>
          <w:sz w:val="24"/>
          <w:szCs w:val="24"/>
        </w:rPr>
        <w:t>The death of Jesus was not a work that was devoid of his own desire or volition. Jesus humb</w:t>
      </w:r>
      <w:r w:rsidR="006C2B82">
        <w:rPr>
          <w:rFonts w:ascii="Times New Roman" w:hAnsi="Times New Roman" w:cs="Times New Roman"/>
          <w:sz w:val="24"/>
          <w:szCs w:val="24"/>
        </w:rPr>
        <w:t xml:space="preserve">led </w:t>
      </w:r>
      <w:r>
        <w:rPr>
          <w:rFonts w:ascii="Times New Roman" w:hAnsi="Times New Roman" w:cs="Times New Roman"/>
          <w:sz w:val="24"/>
          <w:szCs w:val="24"/>
        </w:rPr>
        <w:t>Himself</w:t>
      </w:r>
      <w:r w:rsidR="00403F76">
        <w:rPr>
          <w:rFonts w:ascii="Times New Roman" w:hAnsi="Times New Roman" w:cs="Times New Roman"/>
          <w:sz w:val="24"/>
          <w:szCs w:val="24"/>
        </w:rPr>
        <w:t xml:space="preserve"> to fulfill the </w:t>
      </w:r>
      <w:r w:rsidR="006C2B82">
        <w:rPr>
          <w:rFonts w:ascii="Times New Roman" w:hAnsi="Times New Roman" w:cs="Times New Roman"/>
          <w:sz w:val="24"/>
          <w:szCs w:val="24"/>
        </w:rPr>
        <w:t xml:space="preserve">punishment that God demanded to rescue the human race. Anselm describes this interaction with Jesus and the will of the Father and how the humanity of Jesus was needed. </w:t>
      </w:r>
      <w:r w:rsidR="000B0017">
        <w:rPr>
          <w:rFonts w:ascii="Times New Roman" w:hAnsi="Times New Roman" w:cs="Times New Roman"/>
          <w:sz w:val="24"/>
          <w:szCs w:val="24"/>
        </w:rPr>
        <w:t xml:space="preserve">This concept of penal substitutionary atonement has had some major issues from scholars today. Rachel Erdman explains it by stating, </w:t>
      </w:r>
    </w:p>
    <w:p w14:paraId="651C8096" w14:textId="117DEF9C" w:rsidR="000B0017" w:rsidRPr="000B0017" w:rsidRDefault="000B0017" w:rsidP="00B273BB">
      <w:pPr>
        <w:spacing w:line="480" w:lineRule="auto"/>
        <w:rPr>
          <w:rFonts w:ascii="Times New Roman" w:hAnsi="Times New Roman" w:cs="Times New Roman"/>
          <w:sz w:val="24"/>
          <w:szCs w:val="24"/>
        </w:rPr>
      </w:pPr>
      <w:r w:rsidRPr="000B0017">
        <w:rPr>
          <w:rFonts w:ascii="Times New Roman" w:hAnsi="Times New Roman" w:cs="Times New Roman"/>
          <w:sz w:val="24"/>
          <w:szCs w:val="24"/>
        </w:rPr>
        <w:t xml:space="preserve"> “Many current Christian thinkers, such as Mark Heim, Michael Hardin, and Brad </w:t>
      </w:r>
      <w:proofErr w:type="spellStart"/>
      <w:r w:rsidRPr="000B0017">
        <w:rPr>
          <w:rFonts w:ascii="Times New Roman" w:hAnsi="Times New Roman" w:cs="Times New Roman"/>
          <w:sz w:val="24"/>
          <w:szCs w:val="24"/>
        </w:rPr>
        <w:t>Jersak</w:t>
      </w:r>
      <w:proofErr w:type="spellEnd"/>
      <w:r w:rsidRPr="000B0017">
        <w:rPr>
          <w:rFonts w:ascii="Times New Roman" w:hAnsi="Times New Roman" w:cs="Times New Roman"/>
          <w:sz w:val="24"/>
          <w:szCs w:val="24"/>
        </w:rPr>
        <w:t xml:space="preserve">, agree with </w:t>
      </w:r>
      <w:proofErr w:type="spellStart"/>
      <w:r w:rsidRPr="000B0017">
        <w:rPr>
          <w:rFonts w:ascii="Times New Roman" w:hAnsi="Times New Roman" w:cs="Times New Roman"/>
          <w:sz w:val="24"/>
          <w:szCs w:val="24"/>
        </w:rPr>
        <w:t>Puhalo</w:t>
      </w:r>
      <w:proofErr w:type="spellEnd"/>
      <w:r w:rsidRPr="000B0017">
        <w:rPr>
          <w:rFonts w:ascii="Times New Roman" w:hAnsi="Times New Roman" w:cs="Times New Roman"/>
          <w:sz w:val="24"/>
          <w:szCs w:val="24"/>
        </w:rPr>
        <w:t>, and blame traditional models of atonement for perpetuating violence. Further, they believe that schemes which include Christ's sacrifice as satisfaction for sin put violence in the heart of God. J. Denny Weaver, in The Nonviolent Atonement, makes room for the notion of sacrifice in his "narrative Christus Victor" theory, but only so long as the sacrifice does not act as "satisfaction" for humanity's sins.”</w:t>
      </w:r>
      <w:r>
        <w:rPr>
          <w:rStyle w:val="FootnoteReference"/>
          <w:rFonts w:ascii="Times New Roman" w:hAnsi="Times New Roman" w:cs="Times New Roman"/>
          <w:sz w:val="24"/>
          <w:szCs w:val="24"/>
        </w:rPr>
        <w:footnoteReference w:id="7"/>
      </w:r>
      <w:r w:rsidRPr="000B0017">
        <w:rPr>
          <w:rFonts w:ascii="Times New Roman" w:hAnsi="Times New Roman" w:cs="Times New Roman"/>
          <w:sz w:val="24"/>
          <w:szCs w:val="24"/>
        </w:rPr>
        <w:t xml:space="preserve"> </w:t>
      </w:r>
    </w:p>
    <w:p w14:paraId="5C88A315" w14:textId="245E809F" w:rsidR="007D77AB" w:rsidRDefault="000B0017" w:rsidP="00B273B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Scholars have had issue with </w:t>
      </w:r>
      <w:r w:rsidR="006C2B82">
        <w:rPr>
          <w:rFonts w:ascii="Times New Roman" w:hAnsi="Times New Roman" w:cs="Times New Roman"/>
          <w:sz w:val="24"/>
          <w:szCs w:val="24"/>
        </w:rPr>
        <w:t>Jesus needed to take on flesh to satisfy the wrath of God against humani</w:t>
      </w:r>
      <w:r w:rsidR="00480F2C">
        <w:rPr>
          <w:rFonts w:ascii="Times New Roman" w:hAnsi="Times New Roman" w:cs="Times New Roman"/>
          <w:sz w:val="24"/>
          <w:szCs w:val="24"/>
        </w:rPr>
        <w:t>ty’s</w:t>
      </w:r>
      <w:r w:rsidR="006C2B82">
        <w:rPr>
          <w:rFonts w:ascii="Times New Roman" w:hAnsi="Times New Roman" w:cs="Times New Roman"/>
          <w:sz w:val="24"/>
          <w:szCs w:val="24"/>
        </w:rPr>
        <w:t xml:space="preserve"> sin. </w:t>
      </w:r>
      <w:r w:rsidR="005A11B1">
        <w:rPr>
          <w:rFonts w:ascii="Times New Roman" w:hAnsi="Times New Roman" w:cs="Times New Roman"/>
          <w:sz w:val="24"/>
          <w:szCs w:val="24"/>
        </w:rPr>
        <w:t>Jesus</w:t>
      </w:r>
      <w:r w:rsidR="00480F2C">
        <w:rPr>
          <w:rFonts w:ascii="Times New Roman" w:hAnsi="Times New Roman" w:cs="Times New Roman"/>
          <w:sz w:val="24"/>
          <w:szCs w:val="24"/>
        </w:rPr>
        <w:t>,</w:t>
      </w:r>
      <w:r w:rsidR="005A11B1">
        <w:rPr>
          <w:rFonts w:ascii="Times New Roman" w:hAnsi="Times New Roman" w:cs="Times New Roman"/>
          <w:sz w:val="24"/>
          <w:szCs w:val="24"/>
        </w:rPr>
        <w:t xml:space="preserve"> as Anselm says, “preferred to suffer. Rather than that the human race should be lost...”</w:t>
      </w:r>
      <w:r w:rsidR="005A11B1">
        <w:rPr>
          <w:rStyle w:val="FootnoteReference"/>
          <w:rFonts w:ascii="Times New Roman" w:hAnsi="Times New Roman" w:cs="Times New Roman"/>
          <w:sz w:val="24"/>
          <w:szCs w:val="24"/>
        </w:rPr>
        <w:footnoteReference w:id="8"/>
      </w:r>
      <w:r w:rsidR="005A11B1">
        <w:rPr>
          <w:rFonts w:ascii="Times New Roman" w:hAnsi="Times New Roman" w:cs="Times New Roman"/>
          <w:sz w:val="24"/>
          <w:szCs w:val="24"/>
        </w:rPr>
        <w:t xml:space="preserve"> </w:t>
      </w:r>
      <w:r w:rsidR="007D77AB">
        <w:rPr>
          <w:rFonts w:ascii="Times New Roman" w:hAnsi="Times New Roman" w:cs="Times New Roman"/>
          <w:sz w:val="24"/>
          <w:szCs w:val="24"/>
        </w:rPr>
        <w:t xml:space="preserve">Part of the issue for the scholars is that Anselm’s view of the wrath of God needing  to be satisfied focuses far more on a violent </w:t>
      </w:r>
      <w:r w:rsidR="00536851">
        <w:rPr>
          <w:rFonts w:ascii="Times New Roman" w:hAnsi="Times New Roman" w:cs="Times New Roman"/>
          <w:sz w:val="24"/>
          <w:szCs w:val="24"/>
        </w:rPr>
        <w:t>g</w:t>
      </w:r>
      <w:r w:rsidR="007D77AB">
        <w:rPr>
          <w:rFonts w:ascii="Times New Roman" w:hAnsi="Times New Roman" w:cs="Times New Roman"/>
          <w:sz w:val="24"/>
          <w:szCs w:val="24"/>
        </w:rPr>
        <w:t xml:space="preserve">od than a loving God. This is where you get Weaver discussing the non-violent atonement. But Anselm seems far more concerned about viewing </w:t>
      </w:r>
      <w:r w:rsidR="00C73F45">
        <w:rPr>
          <w:rFonts w:ascii="Times New Roman" w:hAnsi="Times New Roman" w:cs="Times New Roman"/>
          <w:sz w:val="24"/>
          <w:szCs w:val="24"/>
        </w:rPr>
        <w:t xml:space="preserve">Jesus dying on the cross for the sin of the world </w:t>
      </w:r>
      <w:r w:rsidR="007D77AB">
        <w:rPr>
          <w:rFonts w:ascii="Times New Roman" w:hAnsi="Times New Roman" w:cs="Times New Roman"/>
          <w:sz w:val="24"/>
          <w:szCs w:val="24"/>
        </w:rPr>
        <w:t xml:space="preserve">primarily to </w:t>
      </w:r>
      <w:r w:rsidR="00C73F45">
        <w:rPr>
          <w:rFonts w:ascii="Times New Roman" w:hAnsi="Times New Roman" w:cs="Times New Roman"/>
          <w:sz w:val="24"/>
          <w:szCs w:val="24"/>
        </w:rPr>
        <w:t xml:space="preserve">bring praise and glory </w:t>
      </w:r>
      <w:r w:rsidR="007D77AB">
        <w:rPr>
          <w:rFonts w:ascii="Times New Roman" w:hAnsi="Times New Roman" w:cs="Times New Roman"/>
          <w:sz w:val="24"/>
          <w:szCs w:val="24"/>
        </w:rPr>
        <w:t xml:space="preserve">to God not as a means of punishment or blood lust of the Father, but rather a fullness of enjoyment for God’s creation. Rachel Erdman continues by showing some of the errors of scholars wanting to throw Anselm’s doctrine of atonement out with the </w:t>
      </w:r>
      <w:r w:rsidR="00855647">
        <w:rPr>
          <w:rFonts w:ascii="Times New Roman" w:hAnsi="Times New Roman" w:cs="Times New Roman"/>
          <w:sz w:val="24"/>
          <w:szCs w:val="24"/>
        </w:rPr>
        <w:t>proverbial</w:t>
      </w:r>
      <w:r w:rsidR="007D77AB">
        <w:rPr>
          <w:rFonts w:ascii="Times New Roman" w:hAnsi="Times New Roman" w:cs="Times New Roman"/>
          <w:sz w:val="24"/>
          <w:szCs w:val="24"/>
        </w:rPr>
        <w:t xml:space="preserve"> bath water by stating</w:t>
      </w:r>
      <w:r w:rsidR="00855647">
        <w:rPr>
          <w:rFonts w:ascii="Times New Roman" w:hAnsi="Times New Roman" w:cs="Times New Roman"/>
          <w:sz w:val="24"/>
          <w:szCs w:val="24"/>
        </w:rPr>
        <w:t>,</w:t>
      </w:r>
      <w:r w:rsidR="007D77AB">
        <w:rPr>
          <w:rFonts w:ascii="Times New Roman" w:hAnsi="Times New Roman" w:cs="Times New Roman"/>
          <w:sz w:val="24"/>
          <w:szCs w:val="24"/>
        </w:rPr>
        <w:t xml:space="preserve"> </w:t>
      </w:r>
    </w:p>
    <w:p w14:paraId="20047507" w14:textId="20AACB2C" w:rsidR="00726D62" w:rsidRDefault="007D77AB" w:rsidP="007D77AB">
      <w:pPr>
        <w:spacing w:line="480" w:lineRule="auto"/>
        <w:rPr>
          <w:rFonts w:ascii="Times New Roman" w:hAnsi="Times New Roman" w:cs="Times New Roman"/>
          <w:sz w:val="24"/>
          <w:szCs w:val="24"/>
        </w:rPr>
      </w:pPr>
      <w:r>
        <w:rPr>
          <w:rFonts w:ascii="Times New Roman" w:hAnsi="Times New Roman" w:cs="Times New Roman"/>
          <w:sz w:val="24"/>
          <w:szCs w:val="24"/>
        </w:rPr>
        <w:t>“</w:t>
      </w:r>
      <w:r w:rsidRPr="007D77AB">
        <w:rPr>
          <w:rFonts w:ascii="Times New Roman" w:hAnsi="Times New Roman" w:cs="Times New Roman"/>
          <w:sz w:val="24"/>
          <w:szCs w:val="24"/>
        </w:rPr>
        <w:t xml:space="preserve">The notion of Christs passion and death on the cross "for our sins" is one of the earliest in Christian understanding. Early Christian thought, attested in the Pauline epistles, understood this notion through the imagery of Jewish sacrificial rituals. Anselm, Aquinas, and countless church liturgies have also employed the idea and images of sacrifice to make sense of Christs passion and death. Though many scholars have begun to malign such imagery as violent and oppressive, I believe an understanding of Christ's work on the cross as "sacrifice" is worthwhile, and worth retrieving. By recognizing Christ's sacrifice as inherently relational and sacramental, we gain a more accurate idea of </w:t>
      </w:r>
      <w:proofErr w:type="spellStart"/>
      <w:r w:rsidRPr="007D77AB">
        <w:rPr>
          <w:rFonts w:ascii="Times New Roman" w:hAnsi="Times New Roman" w:cs="Times New Roman"/>
          <w:sz w:val="24"/>
          <w:szCs w:val="24"/>
        </w:rPr>
        <w:t>Anselms</w:t>
      </w:r>
      <w:proofErr w:type="spellEnd"/>
      <w:r w:rsidRPr="007D77AB">
        <w:rPr>
          <w:rFonts w:ascii="Times New Roman" w:hAnsi="Times New Roman" w:cs="Times New Roman"/>
          <w:sz w:val="24"/>
          <w:szCs w:val="24"/>
        </w:rPr>
        <w:t xml:space="preserve"> theory of atonement. Satisfaction becomes not the appeasement of an angry god, but a superabundant gift offered in obedience and love for the purpose of restoring a relationship broken by humanity.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p>
    <w:p w14:paraId="53411DB7" w14:textId="2C514C74" w:rsidR="00855647" w:rsidRDefault="00855647" w:rsidP="007D77AB">
      <w:pPr>
        <w:spacing w:line="480" w:lineRule="auto"/>
        <w:rPr>
          <w:rFonts w:ascii="Times New Roman" w:hAnsi="Times New Roman" w:cs="Times New Roman"/>
          <w:sz w:val="24"/>
          <w:szCs w:val="24"/>
        </w:rPr>
      </w:pPr>
      <w:r>
        <w:rPr>
          <w:rFonts w:ascii="Times New Roman" w:hAnsi="Times New Roman" w:cs="Times New Roman"/>
          <w:sz w:val="24"/>
          <w:szCs w:val="24"/>
        </w:rPr>
        <w:t xml:space="preserve">As understood by Erdman, there is a need to retrieve the doctrine of atonement from Anselm. The reason is not that Anselm points to an overly graphic portrayal of sacrifice to appease a </w:t>
      </w:r>
      <w:r>
        <w:rPr>
          <w:rFonts w:ascii="Times New Roman" w:hAnsi="Times New Roman" w:cs="Times New Roman"/>
          <w:sz w:val="24"/>
          <w:szCs w:val="24"/>
        </w:rPr>
        <w:lastRenderedPageBreak/>
        <w:t xml:space="preserve">blood thirsty god, rather Satisfaction is a gift offered “in obedience and love for the purpose of restoring a relationship broken by humanity.” A helpful turn in the argument is to look at Anselm through the lenses of love. That the atonement is an emphasis more on the gift to humanity than the satisfaction of a rightfully vengeful God. </w:t>
      </w:r>
    </w:p>
    <w:p w14:paraId="0ED6C2C6" w14:textId="560889F6" w:rsidR="00D12526" w:rsidRDefault="00E33B6A" w:rsidP="00B273BB">
      <w:pPr>
        <w:spacing w:line="480" w:lineRule="auto"/>
        <w:rPr>
          <w:rFonts w:ascii="Times New Roman" w:hAnsi="Times New Roman" w:cs="Times New Roman"/>
          <w:sz w:val="24"/>
          <w:szCs w:val="24"/>
        </w:rPr>
      </w:pPr>
      <w:r>
        <w:rPr>
          <w:rFonts w:ascii="Times New Roman" w:hAnsi="Times New Roman" w:cs="Times New Roman"/>
          <w:sz w:val="24"/>
          <w:szCs w:val="24"/>
        </w:rPr>
        <w:t>Supporting this</w:t>
      </w:r>
      <w:r w:rsidR="000C6985">
        <w:rPr>
          <w:rFonts w:ascii="Times New Roman" w:hAnsi="Times New Roman" w:cs="Times New Roman"/>
          <w:sz w:val="24"/>
          <w:szCs w:val="24"/>
        </w:rPr>
        <w:t xml:space="preserve"> conundrum </w:t>
      </w:r>
      <w:r>
        <w:rPr>
          <w:rFonts w:ascii="Times New Roman" w:hAnsi="Times New Roman" w:cs="Times New Roman"/>
          <w:sz w:val="24"/>
          <w:szCs w:val="24"/>
        </w:rPr>
        <w:t>can be seen in the life and work of</w:t>
      </w:r>
      <w:r w:rsidR="000C6985">
        <w:rPr>
          <w:rFonts w:ascii="Times New Roman" w:hAnsi="Times New Roman" w:cs="Times New Roman"/>
          <w:sz w:val="24"/>
          <w:szCs w:val="24"/>
        </w:rPr>
        <w:t xml:space="preserve"> Johnathan Edwards. Edwards was known for his belief in Penal Substitutionary Atonement.</w:t>
      </w:r>
      <w:r w:rsidR="009A4BDA">
        <w:rPr>
          <w:rFonts w:ascii="Times New Roman" w:hAnsi="Times New Roman" w:cs="Times New Roman"/>
          <w:sz w:val="24"/>
          <w:szCs w:val="24"/>
        </w:rPr>
        <w:t xml:space="preserve"> </w:t>
      </w:r>
      <w:r w:rsidR="000C6985">
        <w:rPr>
          <w:rFonts w:ascii="Times New Roman" w:hAnsi="Times New Roman" w:cs="Times New Roman"/>
          <w:sz w:val="24"/>
          <w:szCs w:val="24"/>
        </w:rPr>
        <w:t>One of the most famous sermons he ever preached was named “Sinners in the Hands of an Angry God</w:t>
      </w:r>
      <w:r>
        <w:rPr>
          <w:rFonts w:ascii="Times New Roman" w:hAnsi="Times New Roman" w:cs="Times New Roman"/>
          <w:sz w:val="24"/>
          <w:szCs w:val="24"/>
        </w:rPr>
        <w:t>” which later</w:t>
      </w:r>
      <w:r w:rsidR="000C6985">
        <w:rPr>
          <w:rFonts w:ascii="Times New Roman" w:hAnsi="Times New Roman" w:cs="Times New Roman"/>
          <w:sz w:val="24"/>
          <w:szCs w:val="24"/>
        </w:rPr>
        <w:t xml:space="preserve"> has been used to </w:t>
      </w:r>
      <w:r w:rsidR="009A4BDA">
        <w:rPr>
          <w:rFonts w:ascii="Times New Roman" w:hAnsi="Times New Roman" w:cs="Times New Roman"/>
          <w:sz w:val="24"/>
          <w:szCs w:val="24"/>
        </w:rPr>
        <w:t>defend the death penalty</w:t>
      </w:r>
      <w:r>
        <w:rPr>
          <w:rFonts w:ascii="Times New Roman" w:hAnsi="Times New Roman" w:cs="Times New Roman"/>
          <w:sz w:val="24"/>
          <w:szCs w:val="24"/>
        </w:rPr>
        <w:t>.</w:t>
      </w:r>
      <w:r w:rsidR="009A4BDA">
        <w:rPr>
          <w:rStyle w:val="FootnoteReference"/>
          <w:rFonts w:ascii="Times New Roman" w:hAnsi="Times New Roman" w:cs="Times New Roman"/>
          <w:sz w:val="24"/>
          <w:szCs w:val="24"/>
        </w:rPr>
        <w:footnoteReference w:id="10"/>
      </w:r>
      <w:r w:rsidR="009A4BDA">
        <w:rPr>
          <w:rFonts w:ascii="Times New Roman" w:hAnsi="Times New Roman" w:cs="Times New Roman"/>
          <w:sz w:val="24"/>
          <w:szCs w:val="24"/>
        </w:rPr>
        <w:t xml:space="preserve"> </w:t>
      </w:r>
      <w:r>
        <w:rPr>
          <w:rFonts w:ascii="Times New Roman" w:hAnsi="Times New Roman" w:cs="Times New Roman"/>
          <w:sz w:val="24"/>
          <w:szCs w:val="24"/>
        </w:rPr>
        <w:t>Anslem and Edwards were both misunderstood in their views of the Atonement</w:t>
      </w:r>
      <w:r w:rsidR="009A4BDA">
        <w:rPr>
          <w:rFonts w:ascii="Times New Roman" w:hAnsi="Times New Roman" w:cs="Times New Roman"/>
          <w:sz w:val="24"/>
          <w:szCs w:val="24"/>
        </w:rPr>
        <w:t>. Edwards is far more concerned with “t</w:t>
      </w:r>
      <w:r w:rsidR="009A4BDA" w:rsidRPr="009A4BDA">
        <w:rPr>
          <w:rFonts w:ascii="Times New Roman" w:hAnsi="Times New Roman" w:cs="Times New Roman"/>
          <w:sz w:val="24"/>
          <w:szCs w:val="24"/>
        </w:rPr>
        <w:t>he infinite love of the Father to the Son is thereby manifested, in that for his [the Son’s] sake he would forgive an infinite debt, would be reconciled with and receive into his favor and to his enjoyment those who had rebelled against him and injured his infinite majesty.”</w:t>
      </w:r>
      <w:r w:rsidR="009A4BDA">
        <w:rPr>
          <w:rStyle w:val="FootnoteReference"/>
          <w:rFonts w:ascii="Times New Roman" w:hAnsi="Times New Roman" w:cs="Times New Roman"/>
          <w:sz w:val="24"/>
          <w:szCs w:val="24"/>
        </w:rPr>
        <w:footnoteReference w:id="11"/>
      </w:r>
      <w:r w:rsidR="009A4BDA">
        <w:rPr>
          <w:rFonts w:ascii="Times New Roman" w:hAnsi="Times New Roman" w:cs="Times New Roman"/>
          <w:sz w:val="24"/>
          <w:szCs w:val="24"/>
        </w:rPr>
        <w:t xml:space="preserve"> The enjoyment and favor of humanity being reconciled to the Holy God for joy is the driver for Anselm and Edwards and a fair amount of scholars that would follow. The Atonement was never focused on a wrath-filled glory mongering, blood </w:t>
      </w:r>
      <w:r>
        <w:rPr>
          <w:rFonts w:ascii="Times New Roman" w:hAnsi="Times New Roman" w:cs="Times New Roman"/>
          <w:sz w:val="24"/>
          <w:szCs w:val="24"/>
        </w:rPr>
        <w:t>ravenous</w:t>
      </w:r>
      <w:r w:rsidR="009A4BDA">
        <w:rPr>
          <w:rFonts w:ascii="Times New Roman" w:hAnsi="Times New Roman" w:cs="Times New Roman"/>
          <w:sz w:val="24"/>
          <w:szCs w:val="24"/>
        </w:rPr>
        <w:t xml:space="preserve"> god, but a loving God wanting to see His creation fulfilling its joy. </w:t>
      </w:r>
    </w:p>
    <w:p w14:paraId="06ED5482" w14:textId="77777777" w:rsidR="00D12526" w:rsidRDefault="00D12526" w:rsidP="00B273BB">
      <w:pPr>
        <w:spacing w:line="480" w:lineRule="auto"/>
        <w:rPr>
          <w:rFonts w:ascii="Times New Roman" w:hAnsi="Times New Roman" w:cs="Times New Roman"/>
          <w:sz w:val="24"/>
          <w:szCs w:val="24"/>
        </w:rPr>
      </w:pPr>
    </w:p>
    <w:p w14:paraId="32E0CAB1" w14:textId="3A90BD05" w:rsidR="00C73F45" w:rsidRPr="0006734F" w:rsidRDefault="00A55445" w:rsidP="00B273B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C35455">
        <w:rPr>
          <w:rFonts w:ascii="Times New Roman" w:hAnsi="Times New Roman" w:cs="Times New Roman"/>
          <w:sz w:val="24"/>
          <w:szCs w:val="24"/>
        </w:rPr>
        <w:t>602</w:t>
      </w:r>
      <w:bookmarkStart w:id="0" w:name="_GoBack"/>
      <w:bookmarkEnd w:id="0"/>
      <w:r>
        <w:rPr>
          <w:rFonts w:ascii="Times New Roman" w:hAnsi="Times New Roman" w:cs="Times New Roman"/>
          <w:sz w:val="24"/>
          <w:szCs w:val="24"/>
        </w:rPr>
        <w:t xml:space="preserve"> Words</w:t>
      </w:r>
    </w:p>
    <w:sectPr w:rsidR="00C73F45" w:rsidRPr="0006734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81751" w14:textId="77777777" w:rsidR="00A71B99" w:rsidRDefault="00A71B99" w:rsidP="00727C9C">
      <w:pPr>
        <w:spacing w:after="0" w:line="240" w:lineRule="auto"/>
      </w:pPr>
      <w:r>
        <w:separator/>
      </w:r>
    </w:p>
  </w:endnote>
  <w:endnote w:type="continuationSeparator" w:id="0">
    <w:p w14:paraId="6EEA4901" w14:textId="77777777" w:rsidR="00A71B99" w:rsidRDefault="00A71B99" w:rsidP="00727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726AB" w14:textId="77777777" w:rsidR="00A71B99" w:rsidRDefault="00A71B99" w:rsidP="00727C9C">
      <w:pPr>
        <w:spacing w:after="0" w:line="240" w:lineRule="auto"/>
      </w:pPr>
      <w:r>
        <w:separator/>
      </w:r>
    </w:p>
  </w:footnote>
  <w:footnote w:type="continuationSeparator" w:id="0">
    <w:p w14:paraId="69FD492F" w14:textId="77777777" w:rsidR="00A71B99" w:rsidRDefault="00A71B99" w:rsidP="00727C9C">
      <w:pPr>
        <w:spacing w:after="0" w:line="240" w:lineRule="auto"/>
      </w:pPr>
      <w:r>
        <w:continuationSeparator/>
      </w:r>
    </w:p>
  </w:footnote>
  <w:footnote w:id="1">
    <w:p w14:paraId="7B32D13F" w14:textId="19901264" w:rsidR="001F7300" w:rsidRDefault="001F7300">
      <w:pPr>
        <w:pStyle w:val="FootnoteText"/>
      </w:pPr>
      <w:r>
        <w:rPr>
          <w:rStyle w:val="FootnoteReference"/>
        </w:rPr>
        <w:footnoteRef/>
      </w:r>
      <w:r>
        <w:t xml:space="preserve"> </w:t>
      </w:r>
      <w:r w:rsidRPr="001F7300">
        <w:t>Anselm, , and Edward S. Prout. Cur Deus Homo =: Why God Became Man. London: Religious Tract Society, 1886.</w:t>
      </w:r>
      <w:r>
        <w:t xml:space="preserve"> Pg. 4</w:t>
      </w:r>
    </w:p>
  </w:footnote>
  <w:footnote w:id="2">
    <w:p w14:paraId="1E1A2782" w14:textId="77777777" w:rsidR="00726D62" w:rsidRDefault="00726D62" w:rsidP="00726D62">
      <w:pPr>
        <w:pStyle w:val="FootnoteText"/>
      </w:pPr>
      <w:r>
        <w:rPr>
          <w:rStyle w:val="FootnoteReference"/>
        </w:rPr>
        <w:footnoteRef/>
      </w:r>
      <w:r>
        <w:t xml:space="preserve"> Ibid. pg. 15</w:t>
      </w:r>
    </w:p>
  </w:footnote>
  <w:footnote w:id="3">
    <w:p w14:paraId="48900B7E" w14:textId="7DB30D6E" w:rsidR="0094517F" w:rsidRDefault="0094517F">
      <w:pPr>
        <w:pStyle w:val="FootnoteText"/>
      </w:pPr>
      <w:r>
        <w:rPr>
          <w:rStyle w:val="FootnoteReference"/>
        </w:rPr>
        <w:footnoteRef/>
      </w:r>
      <w:r>
        <w:t xml:space="preserve"> </w:t>
      </w:r>
      <w:proofErr w:type="spellStart"/>
      <w:r w:rsidRPr="0094517F">
        <w:t>Rosato</w:t>
      </w:r>
      <w:proofErr w:type="spellEnd"/>
      <w:r w:rsidRPr="0094517F">
        <w:t>, Andrew. "The Interpretation of Anselm's Teaching on Christ's Satisfaction for Sin in the Franciscan Tradition from Alexander of Hales to Duns Scotus." Franciscan Studies 71 (2013): 411-44. Accessed August 1, 2021. http://www.jstor.org/stable/43855979.</w:t>
      </w:r>
    </w:p>
  </w:footnote>
  <w:footnote w:id="4">
    <w:p w14:paraId="085F7DFC" w14:textId="6A0AF252" w:rsidR="00AC0E6A" w:rsidRDefault="00AC0E6A">
      <w:pPr>
        <w:pStyle w:val="FootnoteText"/>
      </w:pPr>
      <w:r>
        <w:rPr>
          <w:rStyle w:val="FootnoteReference"/>
        </w:rPr>
        <w:footnoteRef/>
      </w:r>
      <w:r>
        <w:t xml:space="preserve"> </w:t>
      </w:r>
      <w:r w:rsidRPr="00AC0E6A">
        <w:t xml:space="preserve">Van </w:t>
      </w:r>
      <w:proofErr w:type="spellStart"/>
      <w:r w:rsidRPr="00AC0E6A">
        <w:t>Vreeswijk</w:t>
      </w:r>
      <w:proofErr w:type="spellEnd"/>
      <w:r w:rsidRPr="00AC0E6A">
        <w:t>, B. (2016). Interpreting Anselm's thought about divine justice: Dealing with loose ends. </w:t>
      </w:r>
      <w:r w:rsidRPr="00AC0E6A">
        <w:rPr>
          <w:i/>
          <w:iCs/>
        </w:rPr>
        <w:t>Scottish Journal of Theology,</w:t>
      </w:r>
      <w:r w:rsidRPr="00AC0E6A">
        <w:t> </w:t>
      </w:r>
      <w:r w:rsidRPr="00AC0E6A">
        <w:rPr>
          <w:i/>
          <w:iCs/>
        </w:rPr>
        <w:t>69</w:t>
      </w:r>
      <w:r w:rsidRPr="00AC0E6A">
        <w:t>(4), 417-431. doi:10.1017/S0036930616000399</w:t>
      </w:r>
    </w:p>
  </w:footnote>
  <w:footnote w:id="5">
    <w:p w14:paraId="14308AE1" w14:textId="783EE4C8" w:rsidR="001E4013" w:rsidRDefault="001E4013">
      <w:pPr>
        <w:pStyle w:val="FootnoteText"/>
      </w:pPr>
      <w:r>
        <w:rPr>
          <w:rStyle w:val="FootnoteReference"/>
        </w:rPr>
        <w:footnoteRef/>
      </w:r>
      <w:r>
        <w:t xml:space="preserve"> </w:t>
      </w:r>
      <w:r w:rsidR="000B0017" w:rsidRPr="000B0017">
        <w:rPr>
          <w:vertAlign w:val="superscript"/>
        </w:rPr>
        <w:footnoteRef/>
      </w:r>
      <w:r w:rsidR="000B0017" w:rsidRPr="000B0017">
        <w:t xml:space="preserve"> Anselm, Cur Deus Homo. London: Religious Tract Society, 1886. Pg. </w:t>
      </w:r>
      <w:r w:rsidR="000B0017">
        <w:t>5</w:t>
      </w:r>
    </w:p>
  </w:footnote>
  <w:footnote w:id="6">
    <w:p w14:paraId="272E8B1E" w14:textId="63404E3B" w:rsidR="00536851" w:rsidRDefault="00536851">
      <w:pPr>
        <w:pStyle w:val="FootnoteText"/>
      </w:pPr>
      <w:r>
        <w:rPr>
          <w:rStyle w:val="FootnoteReference"/>
        </w:rPr>
        <w:footnoteRef/>
      </w:r>
      <w:r>
        <w:t xml:space="preserve"> Ibid. pg. 9</w:t>
      </w:r>
    </w:p>
  </w:footnote>
  <w:footnote w:id="7">
    <w:p w14:paraId="46FA07D7" w14:textId="1FDBC704" w:rsidR="000B0017" w:rsidRDefault="000B0017">
      <w:pPr>
        <w:pStyle w:val="FootnoteText"/>
      </w:pPr>
      <w:r>
        <w:rPr>
          <w:rStyle w:val="FootnoteReference"/>
        </w:rPr>
        <w:footnoteRef/>
      </w:r>
      <w:r>
        <w:t xml:space="preserve"> </w:t>
      </w:r>
      <w:r w:rsidRPr="000B0017">
        <w:t>Erdman, Rachel.</w:t>
      </w:r>
      <w:r>
        <w:t xml:space="preserve"> </w:t>
      </w:r>
      <w:r w:rsidRPr="000B0017">
        <w:rPr>
          <w:b/>
          <w:bCs/>
        </w:rPr>
        <w:t>Anglican Theological Review; Evanston</w:t>
      </w:r>
      <w:r w:rsidRPr="000B0017">
        <w:t> Vol. 96, </w:t>
      </w:r>
      <w:proofErr w:type="spellStart"/>
      <w:r w:rsidRPr="000B0017">
        <w:t>Iss</w:t>
      </w:r>
      <w:proofErr w:type="spellEnd"/>
      <w:r w:rsidRPr="000B0017">
        <w:t>. 3,  (Summer 2014): 461-480.</w:t>
      </w:r>
    </w:p>
  </w:footnote>
  <w:footnote w:id="8">
    <w:p w14:paraId="5742B1D7" w14:textId="58F4ABA2" w:rsidR="005A11B1" w:rsidRDefault="005A11B1">
      <w:pPr>
        <w:pStyle w:val="FootnoteText"/>
      </w:pPr>
      <w:r>
        <w:rPr>
          <w:rStyle w:val="FootnoteReference"/>
        </w:rPr>
        <w:footnoteRef/>
      </w:r>
      <w:r>
        <w:t xml:space="preserve"> </w:t>
      </w:r>
      <w:r w:rsidR="000B0017" w:rsidRPr="000B0017">
        <w:t xml:space="preserve">Anselm, Cur Deus Homo. London: Religious Tract Society, 1886. Pg. </w:t>
      </w:r>
      <w:r>
        <w:t>10</w:t>
      </w:r>
    </w:p>
  </w:footnote>
  <w:footnote w:id="9">
    <w:p w14:paraId="734DBCE0" w14:textId="2B8B6926" w:rsidR="007D77AB" w:rsidRDefault="007D77AB">
      <w:pPr>
        <w:pStyle w:val="FootnoteText"/>
      </w:pPr>
      <w:r>
        <w:rPr>
          <w:rStyle w:val="FootnoteReference"/>
        </w:rPr>
        <w:footnoteRef/>
      </w:r>
      <w:r>
        <w:t xml:space="preserve"> </w:t>
      </w:r>
      <w:r w:rsidRPr="000B0017">
        <w:t>Erdman.</w:t>
      </w:r>
      <w:r>
        <w:t xml:space="preserve"> </w:t>
      </w:r>
      <w:r w:rsidRPr="000B0017">
        <w:rPr>
          <w:b/>
          <w:bCs/>
        </w:rPr>
        <w:t>Anglican Theological Review; Evanston</w:t>
      </w:r>
      <w:r w:rsidRPr="000B0017">
        <w:t> </w:t>
      </w:r>
      <w:r>
        <w:t>461-480</w:t>
      </w:r>
    </w:p>
  </w:footnote>
  <w:footnote w:id="10">
    <w:p w14:paraId="564C75F7" w14:textId="746529B4" w:rsidR="009A4BDA" w:rsidRDefault="009A4BDA">
      <w:pPr>
        <w:pStyle w:val="FootnoteText"/>
      </w:pPr>
      <w:r>
        <w:rPr>
          <w:rStyle w:val="FootnoteReference"/>
        </w:rPr>
        <w:footnoteRef/>
      </w:r>
      <w:r>
        <w:t xml:space="preserve"> </w:t>
      </w:r>
      <w:r w:rsidRPr="009A4BDA">
        <w:t xml:space="preserve">BONES, P. D. C.; SABRISEILABI, S. Sinners in the Hands of an Angry God: An Exploration of Religious Forces on Support for the Death Penalty. Journal for the Scientific Study of Religion, [s. l.], v. 57, n. 4, p. 707–722, 2018. DOI 10.1111/jssr.12553. </w:t>
      </w:r>
      <w:proofErr w:type="spellStart"/>
      <w:r w:rsidRPr="009A4BDA">
        <w:t>Disponível</w:t>
      </w:r>
      <w:proofErr w:type="spellEnd"/>
      <w:r w:rsidRPr="009A4BDA">
        <w:t xml:space="preserve"> </w:t>
      </w:r>
      <w:proofErr w:type="spellStart"/>
      <w:r w:rsidRPr="009A4BDA">
        <w:t>em</w:t>
      </w:r>
      <w:proofErr w:type="spellEnd"/>
      <w:r w:rsidRPr="009A4BDA">
        <w:t xml:space="preserve">: https://search-ebscohost-com.ezproxy.uwtsd.ac.uk/login.aspx?direct=true&amp;db=aph&amp;AN=133500455&amp;site=ehost-live. </w:t>
      </w:r>
      <w:proofErr w:type="spellStart"/>
      <w:r w:rsidRPr="009A4BDA">
        <w:t>Acesso</w:t>
      </w:r>
      <w:proofErr w:type="spellEnd"/>
      <w:r w:rsidRPr="009A4BDA">
        <w:t xml:space="preserve"> </w:t>
      </w:r>
      <w:proofErr w:type="spellStart"/>
      <w:r w:rsidRPr="009A4BDA">
        <w:t>em</w:t>
      </w:r>
      <w:proofErr w:type="spellEnd"/>
      <w:r w:rsidRPr="009A4BDA">
        <w:t>: 1 ago. 2021.</w:t>
      </w:r>
    </w:p>
  </w:footnote>
  <w:footnote w:id="11">
    <w:p w14:paraId="2D8C756E" w14:textId="77777777" w:rsidR="009A4BDA" w:rsidRPr="009A4BDA" w:rsidRDefault="009A4BDA" w:rsidP="009A4BDA">
      <w:pPr>
        <w:pStyle w:val="FootnoteText"/>
      </w:pPr>
      <w:r>
        <w:rPr>
          <w:rStyle w:val="FootnoteReference"/>
        </w:rPr>
        <w:footnoteRef/>
      </w:r>
      <w:r>
        <w:t xml:space="preserve"> </w:t>
      </w:r>
      <w:r w:rsidRPr="009A4BDA">
        <w:t> Jonathan Edwards, The Works of Jonathan Edwards, vol. 13: </w:t>
      </w:r>
      <w:r w:rsidRPr="009A4BDA">
        <w:rPr>
          <w:i/>
          <w:iCs/>
        </w:rPr>
        <w:t>The “Miscellanies,” Entry Nos. a-z, aa-zz,1-500</w:t>
      </w:r>
      <w:r w:rsidRPr="009A4BDA">
        <w:t>, ed. Thomas Schafer (New Haven, CT: Yale University Press, 1994), 406. Misc. 327(a).</w:t>
      </w:r>
    </w:p>
    <w:p w14:paraId="32EB9989" w14:textId="79F14EFE" w:rsidR="009A4BDA" w:rsidRDefault="009A4BD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FB0"/>
    <w:rsid w:val="000015F8"/>
    <w:rsid w:val="000066A1"/>
    <w:rsid w:val="00012D9E"/>
    <w:rsid w:val="00040B18"/>
    <w:rsid w:val="00042E82"/>
    <w:rsid w:val="000465EF"/>
    <w:rsid w:val="00065577"/>
    <w:rsid w:val="0006734F"/>
    <w:rsid w:val="000827F1"/>
    <w:rsid w:val="00082A9D"/>
    <w:rsid w:val="00086D6A"/>
    <w:rsid w:val="000B0017"/>
    <w:rsid w:val="000C6985"/>
    <w:rsid w:val="000C6D5E"/>
    <w:rsid w:val="000D0BE1"/>
    <w:rsid w:val="000F06C0"/>
    <w:rsid w:val="0011695D"/>
    <w:rsid w:val="0012120A"/>
    <w:rsid w:val="001376DE"/>
    <w:rsid w:val="00143B6B"/>
    <w:rsid w:val="00163D8E"/>
    <w:rsid w:val="00166429"/>
    <w:rsid w:val="00174059"/>
    <w:rsid w:val="001740EE"/>
    <w:rsid w:val="001A2797"/>
    <w:rsid w:val="001B1942"/>
    <w:rsid w:val="001B72BC"/>
    <w:rsid w:val="001D17C0"/>
    <w:rsid w:val="001E4013"/>
    <w:rsid w:val="001E42F7"/>
    <w:rsid w:val="001E7882"/>
    <w:rsid w:val="001F7300"/>
    <w:rsid w:val="00205EA2"/>
    <w:rsid w:val="00234695"/>
    <w:rsid w:val="00235F16"/>
    <w:rsid w:val="00237B96"/>
    <w:rsid w:val="00240C06"/>
    <w:rsid w:val="00241D01"/>
    <w:rsid w:val="0029419E"/>
    <w:rsid w:val="00296424"/>
    <w:rsid w:val="002969E4"/>
    <w:rsid w:val="002A1761"/>
    <w:rsid w:val="002A6697"/>
    <w:rsid w:val="002B206E"/>
    <w:rsid w:val="002C28DD"/>
    <w:rsid w:val="002C6401"/>
    <w:rsid w:val="002C6706"/>
    <w:rsid w:val="002E3D77"/>
    <w:rsid w:val="002F35DA"/>
    <w:rsid w:val="00305712"/>
    <w:rsid w:val="00314CB5"/>
    <w:rsid w:val="003243AB"/>
    <w:rsid w:val="0032587B"/>
    <w:rsid w:val="003344E2"/>
    <w:rsid w:val="0036395E"/>
    <w:rsid w:val="00366CC9"/>
    <w:rsid w:val="00366EB3"/>
    <w:rsid w:val="00384445"/>
    <w:rsid w:val="00395F23"/>
    <w:rsid w:val="003A476E"/>
    <w:rsid w:val="003A57A7"/>
    <w:rsid w:val="003A6F7F"/>
    <w:rsid w:val="003B102F"/>
    <w:rsid w:val="003B2714"/>
    <w:rsid w:val="003B3123"/>
    <w:rsid w:val="003B5D0D"/>
    <w:rsid w:val="003B6070"/>
    <w:rsid w:val="003C1FB0"/>
    <w:rsid w:val="003C7CCE"/>
    <w:rsid w:val="003D2EF6"/>
    <w:rsid w:val="003D7A4C"/>
    <w:rsid w:val="003E46B0"/>
    <w:rsid w:val="00403F76"/>
    <w:rsid w:val="00411B4F"/>
    <w:rsid w:val="004220D4"/>
    <w:rsid w:val="00433653"/>
    <w:rsid w:val="00446DEC"/>
    <w:rsid w:val="0047376C"/>
    <w:rsid w:val="00480F2C"/>
    <w:rsid w:val="0048292E"/>
    <w:rsid w:val="00487284"/>
    <w:rsid w:val="004A243E"/>
    <w:rsid w:val="004A5B88"/>
    <w:rsid w:val="004C4ED8"/>
    <w:rsid w:val="004D34BC"/>
    <w:rsid w:val="004D495B"/>
    <w:rsid w:val="004D6DCF"/>
    <w:rsid w:val="004E1F64"/>
    <w:rsid w:val="004E6E09"/>
    <w:rsid w:val="004F6785"/>
    <w:rsid w:val="00507418"/>
    <w:rsid w:val="00514501"/>
    <w:rsid w:val="00520736"/>
    <w:rsid w:val="00536851"/>
    <w:rsid w:val="00547ECF"/>
    <w:rsid w:val="00552FBE"/>
    <w:rsid w:val="00567F4C"/>
    <w:rsid w:val="00590D29"/>
    <w:rsid w:val="00592360"/>
    <w:rsid w:val="005A11B1"/>
    <w:rsid w:val="005A447B"/>
    <w:rsid w:val="005B10CA"/>
    <w:rsid w:val="005B7EA5"/>
    <w:rsid w:val="005C02FE"/>
    <w:rsid w:val="005C3FFC"/>
    <w:rsid w:val="005C589E"/>
    <w:rsid w:val="005C5C46"/>
    <w:rsid w:val="005E4B54"/>
    <w:rsid w:val="005E7561"/>
    <w:rsid w:val="005F1578"/>
    <w:rsid w:val="005F1FE9"/>
    <w:rsid w:val="00605F4C"/>
    <w:rsid w:val="00606EDA"/>
    <w:rsid w:val="00613CD3"/>
    <w:rsid w:val="0061403A"/>
    <w:rsid w:val="006360D8"/>
    <w:rsid w:val="00662583"/>
    <w:rsid w:val="00675C4C"/>
    <w:rsid w:val="0068330A"/>
    <w:rsid w:val="006C2B82"/>
    <w:rsid w:val="006C4E90"/>
    <w:rsid w:val="006D552A"/>
    <w:rsid w:val="006E6E4E"/>
    <w:rsid w:val="006F1FFD"/>
    <w:rsid w:val="006F43CC"/>
    <w:rsid w:val="006F4B49"/>
    <w:rsid w:val="00701EBC"/>
    <w:rsid w:val="0071283B"/>
    <w:rsid w:val="00726D62"/>
    <w:rsid w:val="00727C9C"/>
    <w:rsid w:val="0073154D"/>
    <w:rsid w:val="00734B43"/>
    <w:rsid w:val="00743B5D"/>
    <w:rsid w:val="0075000E"/>
    <w:rsid w:val="00753E65"/>
    <w:rsid w:val="007564B2"/>
    <w:rsid w:val="00772B00"/>
    <w:rsid w:val="00781DCB"/>
    <w:rsid w:val="0078753E"/>
    <w:rsid w:val="007A0D94"/>
    <w:rsid w:val="007C1DD0"/>
    <w:rsid w:val="007C1DE3"/>
    <w:rsid w:val="007D77AB"/>
    <w:rsid w:val="007E0230"/>
    <w:rsid w:val="008006FB"/>
    <w:rsid w:val="0083224F"/>
    <w:rsid w:val="00834E81"/>
    <w:rsid w:val="00855647"/>
    <w:rsid w:val="00876DA0"/>
    <w:rsid w:val="00884397"/>
    <w:rsid w:val="00892BBF"/>
    <w:rsid w:val="0089435F"/>
    <w:rsid w:val="008A0070"/>
    <w:rsid w:val="008B1670"/>
    <w:rsid w:val="008B5867"/>
    <w:rsid w:val="008C47D3"/>
    <w:rsid w:val="008C665A"/>
    <w:rsid w:val="008F3D3D"/>
    <w:rsid w:val="00901D95"/>
    <w:rsid w:val="00932A8E"/>
    <w:rsid w:val="0094517F"/>
    <w:rsid w:val="00951E5D"/>
    <w:rsid w:val="00963B33"/>
    <w:rsid w:val="00966A50"/>
    <w:rsid w:val="00972778"/>
    <w:rsid w:val="009A0EFD"/>
    <w:rsid w:val="009A4BDA"/>
    <w:rsid w:val="009A6AD0"/>
    <w:rsid w:val="009B05CE"/>
    <w:rsid w:val="009C4ADA"/>
    <w:rsid w:val="009C7CFE"/>
    <w:rsid w:val="009F04F5"/>
    <w:rsid w:val="009F2193"/>
    <w:rsid w:val="00A04495"/>
    <w:rsid w:val="00A07603"/>
    <w:rsid w:val="00A3144C"/>
    <w:rsid w:val="00A33316"/>
    <w:rsid w:val="00A33CF9"/>
    <w:rsid w:val="00A442FB"/>
    <w:rsid w:val="00A45AC7"/>
    <w:rsid w:val="00A55445"/>
    <w:rsid w:val="00A559AE"/>
    <w:rsid w:val="00A71B99"/>
    <w:rsid w:val="00A83F68"/>
    <w:rsid w:val="00AA76AF"/>
    <w:rsid w:val="00AB053F"/>
    <w:rsid w:val="00AB2217"/>
    <w:rsid w:val="00AB73AE"/>
    <w:rsid w:val="00AC0E6A"/>
    <w:rsid w:val="00AE69DF"/>
    <w:rsid w:val="00AF577B"/>
    <w:rsid w:val="00B00346"/>
    <w:rsid w:val="00B13E64"/>
    <w:rsid w:val="00B22FAB"/>
    <w:rsid w:val="00B273BB"/>
    <w:rsid w:val="00B63829"/>
    <w:rsid w:val="00B6755A"/>
    <w:rsid w:val="00B76E43"/>
    <w:rsid w:val="00B81F4E"/>
    <w:rsid w:val="00BB0F9B"/>
    <w:rsid w:val="00BB261D"/>
    <w:rsid w:val="00BB3839"/>
    <w:rsid w:val="00BD1C61"/>
    <w:rsid w:val="00BE039C"/>
    <w:rsid w:val="00BF02FA"/>
    <w:rsid w:val="00C048C1"/>
    <w:rsid w:val="00C214FC"/>
    <w:rsid w:val="00C221FC"/>
    <w:rsid w:val="00C35455"/>
    <w:rsid w:val="00C40DF4"/>
    <w:rsid w:val="00C55301"/>
    <w:rsid w:val="00C64C52"/>
    <w:rsid w:val="00C73F45"/>
    <w:rsid w:val="00C84772"/>
    <w:rsid w:val="00C906F6"/>
    <w:rsid w:val="00C93641"/>
    <w:rsid w:val="00CA7FE0"/>
    <w:rsid w:val="00CB7AD6"/>
    <w:rsid w:val="00CC0286"/>
    <w:rsid w:val="00CC3CB5"/>
    <w:rsid w:val="00CE1D9A"/>
    <w:rsid w:val="00CE5171"/>
    <w:rsid w:val="00CE7F06"/>
    <w:rsid w:val="00CF7973"/>
    <w:rsid w:val="00D0294A"/>
    <w:rsid w:val="00D07858"/>
    <w:rsid w:val="00D12526"/>
    <w:rsid w:val="00D13AC1"/>
    <w:rsid w:val="00D24E25"/>
    <w:rsid w:val="00D259E7"/>
    <w:rsid w:val="00D80FDF"/>
    <w:rsid w:val="00DA1314"/>
    <w:rsid w:val="00DC5A9F"/>
    <w:rsid w:val="00DF098C"/>
    <w:rsid w:val="00DF4F09"/>
    <w:rsid w:val="00E0333E"/>
    <w:rsid w:val="00E04A2D"/>
    <w:rsid w:val="00E06B77"/>
    <w:rsid w:val="00E200F0"/>
    <w:rsid w:val="00E23ABA"/>
    <w:rsid w:val="00E33B6A"/>
    <w:rsid w:val="00E373DF"/>
    <w:rsid w:val="00E42267"/>
    <w:rsid w:val="00E47031"/>
    <w:rsid w:val="00E52F98"/>
    <w:rsid w:val="00E6206E"/>
    <w:rsid w:val="00E71569"/>
    <w:rsid w:val="00E7575F"/>
    <w:rsid w:val="00E86045"/>
    <w:rsid w:val="00E92784"/>
    <w:rsid w:val="00E97419"/>
    <w:rsid w:val="00EA1541"/>
    <w:rsid w:val="00EB2DAB"/>
    <w:rsid w:val="00EC00F5"/>
    <w:rsid w:val="00EF6C8A"/>
    <w:rsid w:val="00F0098C"/>
    <w:rsid w:val="00F015B3"/>
    <w:rsid w:val="00F1065C"/>
    <w:rsid w:val="00F11B03"/>
    <w:rsid w:val="00F26B1A"/>
    <w:rsid w:val="00F427CB"/>
    <w:rsid w:val="00F67652"/>
    <w:rsid w:val="00F7003D"/>
    <w:rsid w:val="00F843CB"/>
    <w:rsid w:val="00F93375"/>
    <w:rsid w:val="00F934DF"/>
    <w:rsid w:val="00FB7E8F"/>
    <w:rsid w:val="00FD0FD6"/>
    <w:rsid w:val="00FD5A5D"/>
    <w:rsid w:val="00FE3C9B"/>
    <w:rsid w:val="00FE4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3A44E"/>
  <w15:chartTrackingRefBased/>
  <w15:docId w15:val="{DE1DBE94-F6F9-4293-B8E7-960D9DCEE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27C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7C9C"/>
    <w:rPr>
      <w:sz w:val="20"/>
      <w:szCs w:val="20"/>
    </w:rPr>
  </w:style>
  <w:style w:type="character" w:styleId="FootnoteReference">
    <w:name w:val="footnote reference"/>
    <w:basedOn w:val="DefaultParagraphFont"/>
    <w:uiPriority w:val="99"/>
    <w:semiHidden/>
    <w:unhideWhenUsed/>
    <w:rsid w:val="00727C9C"/>
    <w:rPr>
      <w:vertAlign w:val="superscript"/>
    </w:rPr>
  </w:style>
  <w:style w:type="paragraph" w:styleId="NormalWeb">
    <w:name w:val="Normal (Web)"/>
    <w:basedOn w:val="Normal"/>
    <w:uiPriority w:val="99"/>
    <w:semiHidden/>
    <w:unhideWhenUsed/>
    <w:rsid w:val="000B001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07160">
      <w:bodyDiv w:val="1"/>
      <w:marLeft w:val="0"/>
      <w:marRight w:val="0"/>
      <w:marTop w:val="0"/>
      <w:marBottom w:val="0"/>
      <w:divBdr>
        <w:top w:val="none" w:sz="0" w:space="0" w:color="auto"/>
        <w:left w:val="none" w:sz="0" w:space="0" w:color="auto"/>
        <w:bottom w:val="none" w:sz="0" w:space="0" w:color="auto"/>
        <w:right w:val="none" w:sz="0" w:space="0" w:color="auto"/>
      </w:divBdr>
    </w:div>
    <w:div w:id="164788478">
      <w:bodyDiv w:val="1"/>
      <w:marLeft w:val="0"/>
      <w:marRight w:val="0"/>
      <w:marTop w:val="0"/>
      <w:marBottom w:val="0"/>
      <w:divBdr>
        <w:top w:val="none" w:sz="0" w:space="0" w:color="auto"/>
        <w:left w:val="none" w:sz="0" w:space="0" w:color="auto"/>
        <w:bottom w:val="none" w:sz="0" w:space="0" w:color="auto"/>
        <w:right w:val="none" w:sz="0" w:space="0" w:color="auto"/>
      </w:divBdr>
    </w:div>
    <w:div w:id="181435420">
      <w:bodyDiv w:val="1"/>
      <w:marLeft w:val="0"/>
      <w:marRight w:val="0"/>
      <w:marTop w:val="0"/>
      <w:marBottom w:val="0"/>
      <w:divBdr>
        <w:top w:val="none" w:sz="0" w:space="0" w:color="auto"/>
        <w:left w:val="none" w:sz="0" w:space="0" w:color="auto"/>
        <w:bottom w:val="none" w:sz="0" w:space="0" w:color="auto"/>
        <w:right w:val="none" w:sz="0" w:space="0" w:color="auto"/>
      </w:divBdr>
    </w:div>
    <w:div w:id="341973968">
      <w:bodyDiv w:val="1"/>
      <w:marLeft w:val="0"/>
      <w:marRight w:val="0"/>
      <w:marTop w:val="0"/>
      <w:marBottom w:val="0"/>
      <w:divBdr>
        <w:top w:val="none" w:sz="0" w:space="0" w:color="auto"/>
        <w:left w:val="none" w:sz="0" w:space="0" w:color="auto"/>
        <w:bottom w:val="none" w:sz="0" w:space="0" w:color="auto"/>
        <w:right w:val="none" w:sz="0" w:space="0" w:color="auto"/>
      </w:divBdr>
    </w:div>
    <w:div w:id="519395310">
      <w:bodyDiv w:val="1"/>
      <w:marLeft w:val="0"/>
      <w:marRight w:val="0"/>
      <w:marTop w:val="0"/>
      <w:marBottom w:val="0"/>
      <w:divBdr>
        <w:top w:val="none" w:sz="0" w:space="0" w:color="auto"/>
        <w:left w:val="none" w:sz="0" w:space="0" w:color="auto"/>
        <w:bottom w:val="none" w:sz="0" w:space="0" w:color="auto"/>
        <w:right w:val="none" w:sz="0" w:space="0" w:color="auto"/>
      </w:divBdr>
    </w:div>
    <w:div w:id="599139838">
      <w:bodyDiv w:val="1"/>
      <w:marLeft w:val="0"/>
      <w:marRight w:val="0"/>
      <w:marTop w:val="0"/>
      <w:marBottom w:val="0"/>
      <w:divBdr>
        <w:top w:val="none" w:sz="0" w:space="0" w:color="auto"/>
        <w:left w:val="none" w:sz="0" w:space="0" w:color="auto"/>
        <w:bottom w:val="none" w:sz="0" w:space="0" w:color="auto"/>
        <w:right w:val="none" w:sz="0" w:space="0" w:color="auto"/>
      </w:divBdr>
      <w:divsChild>
        <w:div w:id="2001688369">
          <w:marLeft w:val="0"/>
          <w:marRight w:val="0"/>
          <w:marTop w:val="0"/>
          <w:marBottom w:val="0"/>
          <w:divBdr>
            <w:top w:val="none" w:sz="0" w:space="0" w:color="auto"/>
            <w:left w:val="none" w:sz="0" w:space="0" w:color="auto"/>
            <w:bottom w:val="none" w:sz="0" w:space="0" w:color="auto"/>
            <w:right w:val="none" w:sz="0" w:space="0" w:color="auto"/>
          </w:divBdr>
          <w:divsChild>
            <w:div w:id="344523025">
              <w:marLeft w:val="0"/>
              <w:marRight w:val="0"/>
              <w:marTop w:val="0"/>
              <w:marBottom w:val="0"/>
              <w:divBdr>
                <w:top w:val="none" w:sz="0" w:space="0" w:color="auto"/>
                <w:left w:val="none" w:sz="0" w:space="0" w:color="auto"/>
                <w:bottom w:val="none" w:sz="0" w:space="0" w:color="auto"/>
                <w:right w:val="none" w:sz="0" w:space="0" w:color="auto"/>
              </w:divBdr>
              <w:divsChild>
                <w:div w:id="4949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50225">
      <w:bodyDiv w:val="1"/>
      <w:marLeft w:val="0"/>
      <w:marRight w:val="0"/>
      <w:marTop w:val="0"/>
      <w:marBottom w:val="0"/>
      <w:divBdr>
        <w:top w:val="none" w:sz="0" w:space="0" w:color="auto"/>
        <w:left w:val="none" w:sz="0" w:space="0" w:color="auto"/>
        <w:bottom w:val="none" w:sz="0" w:space="0" w:color="auto"/>
        <w:right w:val="none" w:sz="0" w:space="0" w:color="auto"/>
      </w:divBdr>
    </w:div>
    <w:div w:id="1141849063">
      <w:bodyDiv w:val="1"/>
      <w:marLeft w:val="0"/>
      <w:marRight w:val="0"/>
      <w:marTop w:val="0"/>
      <w:marBottom w:val="0"/>
      <w:divBdr>
        <w:top w:val="none" w:sz="0" w:space="0" w:color="auto"/>
        <w:left w:val="none" w:sz="0" w:space="0" w:color="auto"/>
        <w:bottom w:val="none" w:sz="0" w:space="0" w:color="auto"/>
        <w:right w:val="none" w:sz="0" w:space="0" w:color="auto"/>
      </w:divBdr>
    </w:div>
    <w:div w:id="1172405705">
      <w:bodyDiv w:val="1"/>
      <w:marLeft w:val="0"/>
      <w:marRight w:val="0"/>
      <w:marTop w:val="0"/>
      <w:marBottom w:val="0"/>
      <w:divBdr>
        <w:top w:val="none" w:sz="0" w:space="0" w:color="auto"/>
        <w:left w:val="none" w:sz="0" w:space="0" w:color="auto"/>
        <w:bottom w:val="none" w:sz="0" w:space="0" w:color="auto"/>
        <w:right w:val="none" w:sz="0" w:space="0" w:color="auto"/>
      </w:divBdr>
    </w:div>
    <w:div w:id="1281645382">
      <w:bodyDiv w:val="1"/>
      <w:marLeft w:val="0"/>
      <w:marRight w:val="0"/>
      <w:marTop w:val="0"/>
      <w:marBottom w:val="0"/>
      <w:divBdr>
        <w:top w:val="none" w:sz="0" w:space="0" w:color="auto"/>
        <w:left w:val="none" w:sz="0" w:space="0" w:color="auto"/>
        <w:bottom w:val="none" w:sz="0" w:space="0" w:color="auto"/>
        <w:right w:val="none" w:sz="0" w:space="0" w:color="auto"/>
      </w:divBdr>
      <w:divsChild>
        <w:div w:id="1252542608">
          <w:marLeft w:val="0"/>
          <w:marRight w:val="0"/>
          <w:marTop w:val="0"/>
          <w:marBottom w:val="0"/>
          <w:divBdr>
            <w:top w:val="none" w:sz="0" w:space="0" w:color="auto"/>
            <w:left w:val="none" w:sz="0" w:space="0" w:color="auto"/>
            <w:bottom w:val="none" w:sz="0" w:space="0" w:color="auto"/>
            <w:right w:val="none" w:sz="0" w:space="0" w:color="auto"/>
          </w:divBdr>
          <w:divsChild>
            <w:div w:id="1648122141">
              <w:marLeft w:val="0"/>
              <w:marRight w:val="0"/>
              <w:marTop w:val="0"/>
              <w:marBottom w:val="0"/>
              <w:divBdr>
                <w:top w:val="none" w:sz="0" w:space="0" w:color="auto"/>
                <w:left w:val="none" w:sz="0" w:space="0" w:color="auto"/>
                <w:bottom w:val="none" w:sz="0" w:space="0" w:color="auto"/>
                <w:right w:val="none" w:sz="0" w:space="0" w:color="auto"/>
              </w:divBdr>
              <w:divsChild>
                <w:div w:id="182238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230121">
      <w:bodyDiv w:val="1"/>
      <w:marLeft w:val="0"/>
      <w:marRight w:val="0"/>
      <w:marTop w:val="0"/>
      <w:marBottom w:val="0"/>
      <w:divBdr>
        <w:top w:val="none" w:sz="0" w:space="0" w:color="auto"/>
        <w:left w:val="none" w:sz="0" w:space="0" w:color="auto"/>
        <w:bottom w:val="none" w:sz="0" w:space="0" w:color="auto"/>
        <w:right w:val="none" w:sz="0" w:space="0" w:color="auto"/>
      </w:divBdr>
    </w:div>
    <w:div w:id="1386101340">
      <w:bodyDiv w:val="1"/>
      <w:marLeft w:val="0"/>
      <w:marRight w:val="0"/>
      <w:marTop w:val="0"/>
      <w:marBottom w:val="0"/>
      <w:divBdr>
        <w:top w:val="none" w:sz="0" w:space="0" w:color="auto"/>
        <w:left w:val="none" w:sz="0" w:space="0" w:color="auto"/>
        <w:bottom w:val="none" w:sz="0" w:space="0" w:color="auto"/>
        <w:right w:val="none" w:sz="0" w:space="0" w:color="auto"/>
      </w:divBdr>
    </w:div>
    <w:div w:id="1392197604">
      <w:bodyDiv w:val="1"/>
      <w:marLeft w:val="0"/>
      <w:marRight w:val="0"/>
      <w:marTop w:val="0"/>
      <w:marBottom w:val="0"/>
      <w:divBdr>
        <w:top w:val="none" w:sz="0" w:space="0" w:color="auto"/>
        <w:left w:val="none" w:sz="0" w:space="0" w:color="auto"/>
        <w:bottom w:val="none" w:sz="0" w:space="0" w:color="auto"/>
        <w:right w:val="none" w:sz="0" w:space="0" w:color="auto"/>
      </w:divBdr>
    </w:div>
    <w:div w:id="1469977438">
      <w:bodyDiv w:val="1"/>
      <w:marLeft w:val="0"/>
      <w:marRight w:val="0"/>
      <w:marTop w:val="0"/>
      <w:marBottom w:val="0"/>
      <w:divBdr>
        <w:top w:val="none" w:sz="0" w:space="0" w:color="auto"/>
        <w:left w:val="none" w:sz="0" w:space="0" w:color="auto"/>
        <w:bottom w:val="none" w:sz="0" w:space="0" w:color="auto"/>
        <w:right w:val="none" w:sz="0" w:space="0" w:color="auto"/>
      </w:divBdr>
    </w:div>
    <w:div w:id="1508593312">
      <w:bodyDiv w:val="1"/>
      <w:marLeft w:val="0"/>
      <w:marRight w:val="0"/>
      <w:marTop w:val="0"/>
      <w:marBottom w:val="0"/>
      <w:divBdr>
        <w:top w:val="none" w:sz="0" w:space="0" w:color="auto"/>
        <w:left w:val="none" w:sz="0" w:space="0" w:color="auto"/>
        <w:bottom w:val="none" w:sz="0" w:space="0" w:color="auto"/>
        <w:right w:val="none" w:sz="0" w:space="0" w:color="auto"/>
      </w:divBdr>
    </w:div>
    <w:div w:id="1523744267">
      <w:bodyDiv w:val="1"/>
      <w:marLeft w:val="0"/>
      <w:marRight w:val="0"/>
      <w:marTop w:val="0"/>
      <w:marBottom w:val="0"/>
      <w:divBdr>
        <w:top w:val="none" w:sz="0" w:space="0" w:color="auto"/>
        <w:left w:val="none" w:sz="0" w:space="0" w:color="auto"/>
        <w:bottom w:val="none" w:sz="0" w:space="0" w:color="auto"/>
        <w:right w:val="none" w:sz="0" w:space="0" w:color="auto"/>
      </w:divBdr>
    </w:div>
    <w:div w:id="1692995597">
      <w:bodyDiv w:val="1"/>
      <w:marLeft w:val="0"/>
      <w:marRight w:val="0"/>
      <w:marTop w:val="0"/>
      <w:marBottom w:val="0"/>
      <w:divBdr>
        <w:top w:val="none" w:sz="0" w:space="0" w:color="auto"/>
        <w:left w:val="none" w:sz="0" w:space="0" w:color="auto"/>
        <w:bottom w:val="none" w:sz="0" w:space="0" w:color="auto"/>
        <w:right w:val="none" w:sz="0" w:space="0" w:color="auto"/>
      </w:divBdr>
    </w:div>
    <w:div w:id="1843085958">
      <w:bodyDiv w:val="1"/>
      <w:marLeft w:val="0"/>
      <w:marRight w:val="0"/>
      <w:marTop w:val="0"/>
      <w:marBottom w:val="0"/>
      <w:divBdr>
        <w:top w:val="none" w:sz="0" w:space="0" w:color="auto"/>
        <w:left w:val="none" w:sz="0" w:space="0" w:color="auto"/>
        <w:bottom w:val="none" w:sz="0" w:space="0" w:color="auto"/>
        <w:right w:val="none" w:sz="0" w:space="0" w:color="auto"/>
      </w:divBdr>
    </w:div>
    <w:div w:id="1844054170">
      <w:bodyDiv w:val="1"/>
      <w:marLeft w:val="0"/>
      <w:marRight w:val="0"/>
      <w:marTop w:val="0"/>
      <w:marBottom w:val="0"/>
      <w:divBdr>
        <w:top w:val="none" w:sz="0" w:space="0" w:color="auto"/>
        <w:left w:val="none" w:sz="0" w:space="0" w:color="auto"/>
        <w:bottom w:val="none" w:sz="0" w:space="0" w:color="auto"/>
        <w:right w:val="none" w:sz="0" w:space="0" w:color="auto"/>
      </w:divBdr>
    </w:div>
    <w:div w:id="2005280418">
      <w:bodyDiv w:val="1"/>
      <w:marLeft w:val="0"/>
      <w:marRight w:val="0"/>
      <w:marTop w:val="0"/>
      <w:marBottom w:val="0"/>
      <w:divBdr>
        <w:top w:val="none" w:sz="0" w:space="0" w:color="auto"/>
        <w:left w:val="none" w:sz="0" w:space="0" w:color="auto"/>
        <w:bottom w:val="none" w:sz="0" w:space="0" w:color="auto"/>
        <w:right w:val="none" w:sz="0" w:space="0" w:color="auto"/>
      </w:divBdr>
      <w:divsChild>
        <w:div w:id="842470581">
          <w:marLeft w:val="0"/>
          <w:marRight w:val="0"/>
          <w:marTop w:val="0"/>
          <w:marBottom w:val="0"/>
          <w:divBdr>
            <w:top w:val="none" w:sz="0" w:space="0" w:color="auto"/>
            <w:left w:val="none" w:sz="0" w:space="0" w:color="auto"/>
            <w:bottom w:val="none" w:sz="0" w:space="0" w:color="auto"/>
            <w:right w:val="none" w:sz="0" w:space="0" w:color="auto"/>
          </w:divBdr>
          <w:divsChild>
            <w:div w:id="880552607">
              <w:marLeft w:val="0"/>
              <w:marRight w:val="0"/>
              <w:marTop w:val="0"/>
              <w:marBottom w:val="0"/>
              <w:divBdr>
                <w:top w:val="none" w:sz="0" w:space="0" w:color="auto"/>
                <w:left w:val="none" w:sz="0" w:space="0" w:color="auto"/>
                <w:bottom w:val="none" w:sz="0" w:space="0" w:color="auto"/>
                <w:right w:val="none" w:sz="0" w:space="0" w:color="auto"/>
              </w:divBdr>
              <w:divsChild>
                <w:div w:id="174117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1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C7CD4-A4E7-E74C-A2D5-E253CB55E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5</Pages>
  <Words>1463</Words>
  <Characters>6676</Characters>
  <Application>Microsoft Office Word</Application>
  <DocSecurity>0</DocSecurity>
  <Lines>104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Watson</dc:creator>
  <cp:keywords/>
  <dc:description/>
  <cp:lastModifiedBy>Will Watson</cp:lastModifiedBy>
  <cp:revision>25</cp:revision>
  <dcterms:created xsi:type="dcterms:W3CDTF">2021-03-31T14:11:00Z</dcterms:created>
  <dcterms:modified xsi:type="dcterms:W3CDTF">2021-08-01T19:19:00Z</dcterms:modified>
</cp:coreProperties>
</file>