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B841F" w14:textId="77777777" w:rsidR="00DD5A7A" w:rsidRDefault="00DD5A7A" w:rsidP="00DD5A7A">
      <w:pPr>
        <w:spacing w:after="0" w:line="480" w:lineRule="auto"/>
        <w:contextualSpacing/>
        <w:jc w:val="center"/>
        <w:rPr>
          <w:rFonts w:ascii="Times New Roman" w:hAnsi="Times New Roman" w:cs="Times New Roman"/>
          <w:b/>
          <w:bCs/>
          <w:sz w:val="24"/>
          <w:szCs w:val="24"/>
        </w:rPr>
      </w:pPr>
    </w:p>
    <w:p w14:paraId="6A17BA66" w14:textId="77777777" w:rsidR="00DD5A7A" w:rsidRDefault="00DD5A7A" w:rsidP="00DD5A7A">
      <w:pPr>
        <w:spacing w:after="0" w:line="480" w:lineRule="auto"/>
        <w:contextualSpacing/>
        <w:jc w:val="center"/>
        <w:rPr>
          <w:rFonts w:ascii="Times New Roman" w:hAnsi="Times New Roman" w:cs="Times New Roman"/>
          <w:b/>
          <w:bCs/>
          <w:sz w:val="24"/>
          <w:szCs w:val="24"/>
        </w:rPr>
      </w:pPr>
    </w:p>
    <w:p w14:paraId="3CC78C19" w14:textId="778A5FEC" w:rsidR="00DD5A7A" w:rsidRDefault="00DD5A7A" w:rsidP="00DD5A7A">
      <w:pPr>
        <w:spacing w:after="0" w:line="480" w:lineRule="auto"/>
        <w:contextualSpacing/>
        <w:jc w:val="center"/>
        <w:rPr>
          <w:rFonts w:ascii="Times New Roman" w:hAnsi="Times New Roman" w:cs="Times New Roman"/>
          <w:b/>
          <w:bCs/>
          <w:sz w:val="24"/>
          <w:szCs w:val="24"/>
        </w:rPr>
      </w:pPr>
    </w:p>
    <w:p w14:paraId="7682A0A7" w14:textId="77777777" w:rsidR="00DD5A7A" w:rsidRDefault="00DD5A7A" w:rsidP="00DD5A7A">
      <w:pPr>
        <w:spacing w:after="0" w:line="480" w:lineRule="auto"/>
        <w:contextualSpacing/>
        <w:jc w:val="center"/>
        <w:rPr>
          <w:rFonts w:ascii="Times New Roman" w:hAnsi="Times New Roman" w:cs="Times New Roman"/>
          <w:b/>
          <w:bCs/>
          <w:sz w:val="24"/>
          <w:szCs w:val="24"/>
        </w:rPr>
      </w:pPr>
    </w:p>
    <w:p w14:paraId="4AB44CC5" w14:textId="4E5A3A7D" w:rsidR="004A609A" w:rsidRDefault="00DD5A7A" w:rsidP="00DD5A7A">
      <w:pPr>
        <w:spacing w:after="0" w:line="480" w:lineRule="auto"/>
        <w:contextualSpacing/>
        <w:jc w:val="center"/>
        <w:rPr>
          <w:rFonts w:ascii="Times New Roman" w:hAnsi="Times New Roman" w:cs="Times New Roman"/>
          <w:b/>
          <w:bCs/>
          <w:sz w:val="24"/>
          <w:szCs w:val="24"/>
        </w:rPr>
      </w:pPr>
      <w:r w:rsidRPr="00DD5A7A">
        <w:rPr>
          <w:rFonts w:ascii="Times New Roman" w:hAnsi="Times New Roman" w:cs="Times New Roman"/>
          <w:b/>
          <w:bCs/>
          <w:sz w:val="24"/>
          <w:szCs w:val="24"/>
        </w:rPr>
        <w:t>DIRECT EFFECT, INDIRECT EFFECT AND MEMBER STATE LIABILITY</w:t>
      </w:r>
    </w:p>
    <w:p w14:paraId="17104CD3" w14:textId="2F0BB3E1" w:rsidR="00DD5A7A" w:rsidRDefault="00DD5A7A" w:rsidP="0080124F">
      <w:pPr>
        <w:spacing w:after="0" w:line="480" w:lineRule="auto"/>
        <w:ind w:firstLine="720"/>
        <w:contextualSpacing/>
        <w:jc w:val="center"/>
        <w:rPr>
          <w:rFonts w:ascii="Times New Roman" w:hAnsi="Times New Roman" w:cs="Times New Roman"/>
          <w:b/>
          <w:bCs/>
          <w:sz w:val="24"/>
          <w:szCs w:val="24"/>
        </w:rPr>
      </w:pPr>
    </w:p>
    <w:p w14:paraId="64F96FDB" w14:textId="2D166DA8" w:rsidR="00DD5A7A" w:rsidRPr="0020311B" w:rsidRDefault="00DD5A7A" w:rsidP="00DD5A7A">
      <w:pPr>
        <w:spacing w:after="0" w:line="480" w:lineRule="auto"/>
        <w:jc w:val="center"/>
        <w:rPr>
          <w:rFonts w:ascii="Times New Roman" w:hAnsi="Times New Roman" w:cs="Times New Roman"/>
          <w:bCs/>
          <w:sz w:val="24"/>
          <w:szCs w:val="24"/>
        </w:rPr>
      </w:pPr>
      <w:r w:rsidRPr="0020311B">
        <w:rPr>
          <w:rFonts w:ascii="Times New Roman" w:hAnsi="Times New Roman" w:cs="Times New Roman"/>
          <w:bCs/>
          <w:sz w:val="24"/>
          <w:szCs w:val="24"/>
        </w:rPr>
        <w:t xml:space="preserve">by </w:t>
      </w:r>
      <w:r w:rsidR="00494E43">
        <w:rPr>
          <w:rFonts w:ascii="Times New Roman" w:hAnsi="Times New Roman" w:cs="Times New Roman"/>
          <w:bCs/>
          <w:sz w:val="24"/>
          <w:szCs w:val="24"/>
        </w:rPr>
        <w:t>Adnan Faisal Shamsdin</w:t>
      </w:r>
    </w:p>
    <w:p w14:paraId="50451614" w14:textId="77777777" w:rsidR="00DD5A7A" w:rsidRPr="0020311B" w:rsidRDefault="00DD5A7A" w:rsidP="00DD5A7A">
      <w:pPr>
        <w:spacing w:after="0" w:line="480" w:lineRule="auto"/>
        <w:jc w:val="center"/>
        <w:rPr>
          <w:rFonts w:ascii="Times New Roman" w:hAnsi="Times New Roman" w:cs="Times New Roman"/>
          <w:bCs/>
          <w:sz w:val="24"/>
          <w:szCs w:val="24"/>
        </w:rPr>
      </w:pPr>
    </w:p>
    <w:p w14:paraId="056CCEDE" w14:textId="1D2B31A1" w:rsidR="00DD5A7A" w:rsidRPr="0020311B" w:rsidRDefault="00494E43" w:rsidP="00DD5A7A">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EU Law Assignment 2</w:t>
      </w:r>
    </w:p>
    <w:p w14:paraId="3A48C6B5" w14:textId="4B372FD3" w:rsidR="00DD5A7A" w:rsidRPr="0020311B" w:rsidRDefault="00494E43" w:rsidP="00DD5A7A">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Laura Knight</w:t>
      </w:r>
    </w:p>
    <w:p w14:paraId="35219D45" w14:textId="16BFF7F3" w:rsidR="00DD5A7A" w:rsidRDefault="00494E43" w:rsidP="00494E43">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UWTSD Swansea</w:t>
      </w:r>
    </w:p>
    <w:p w14:paraId="5BF2CA8F" w14:textId="7C8B13F0" w:rsidR="00DD5A7A" w:rsidRDefault="00DD5A7A" w:rsidP="00DD5A7A">
      <w:pPr>
        <w:spacing w:after="0" w:line="480" w:lineRule="auto"/>
        <w:jc w:val="center"/>
        <w:rPr>
          <w:rFonts w:ascii="Times New Roman" w:hAnsi="Times New Roman" w:cs="Times New Roman"/>
          <w:bCs/>
          <w:sz w:val="24"/>
          <w:szCs w:val="24"/>
        </w:rPr>
      </w:pPr>
    </w:p>
    <w:p w14:paraId="7E88D2D9" w14:textId="4B2BDE6D" w:rsidR="00DD5A7A" w:rsidRDefault="00DD5A7A" w:rsidP="00DD5A7A">
      <w:pPr>
        <w:spacing w:after="0" w:line="480" w:lineRule="auto"/>
        <w:jc w:val="center"/>
        <w:rPr>
          <w:rFonts w:ascii="Times New Roman" w:hAnsi="Times New Roman" w:cs="Times New Roman"/>
          <w:bCs/>
          <w:sz w:val="24"/>
          <w:szCs w:val="24"/>
        </w:rPr>
      </w:pPr>
    </w:p>
    <w:p w14:paraId="6D00D7D5" w14:textId="081C0E7C" w:rsidR="00DD5A7A" w:rsidRDefault="00DD5A7A" w:rsidP="00DD5A7A">
      <w:pPr>
        <w:spacing w:after="0" w:line="480" w:lineRule="auto"/>
        <w:jc w:val="center"/>
        <w:rPr>
          <w:rFonts w:ascii="Times New Roman" w:hAnsi="Times New Roman" w:cs="Times New Roman"/>
          <w:bCs/>
          <w:sz w:val="24"/>
          <w:szCs w:val="24"/>
        </w:rPr>
      </w:pPr>
    </w:p>
    <w:p w14:paraId="37645CBA" w14:textId="3A1975A9" w:rsidR="00DD5A7A" w:rsidRDefault="00DD5A7A" w:rsidP="00DD5A7A">
      <w:pPr>
        <w:spacing w:after="0" w:line="480" w:lineRule="auto"/>
        <w:jc w:val="center"/>
        <w:rPr>
          <w:rFonts w:ascii="Times New Roman" w:hAnsi="Times New Roman" w:cs="Times New Roman"/>
          <w:bCs/>
          <w:sz w:val="24"/>
          <w:szCs w:val="24"/>
        </w:rPr>
      </w:pPr>
    </w:p>
    <w:p w14:paraId="7DC3A23E" w14:textId="68E8C83C" w:rsidR="00DD5A7A" w:rsidRDefault="00DD5A7A" w:rsidP="00DD5A7A">
      <w:pPr>
        <w:spacing w:after="0" w:line="480" w:lineRule="auto"/>
        <w:jc w:val="center"/>
        <w:rPr>
          <w:rFonts w:ascii="Times New Roman" w:hAnsi="Times New Roman" w:cs="Times New Roman"/>
          <w:bCs/>
          <w:sz w:val="24"/>
          <w:szCs w:val="24"/>
        </w:rPr>
      </w:pPr>
    </w:p>
    <w:p w14:paraId="455685C5" w14:textId="7828EC40" w:rsidR="00DD5A7A" w:rsidRDefault="00DD5A7A" w:rsidP="00DD5A7A">
      <w:pPr>
        <w:spacing w:after="0" w:line="480" w:lineRule="auto"/>
        <w:jc w:val="center"/>
        <w:rPr>
          <w:rFonts w:ascii="Times New Roman" w:hAnsi="Times New Roman" w:cs="Times New Roman"/>
          <w:bCs/>
          <w:sz w:val="24"/>
          <w:szCs w:val="24"/>
        </w:rPr>
      </w:pPr>
    </w:p>
    <w:p w14:paraId="3E7E832C" w14:textId="5FA10666" w:rsidR="00DD5A7A" w:rsidRPr="0020311B" w:rsidRDefault="00DD5A7A" w:rsidP="00DD5A7A">
      <w:pPr>
        <w:spacing w:after="0" w:line="480" w:lineRule="auto"/>
        <w:jc w:val="center"/>
        <w:rPr>
          <w:rFonts w:ascii="Times New Roman" w:hAnsi="Times New Roman" w:cs="Times New Roman"/>
          <w:bCs/>
          <w:sz w:val="24"/>
          <w:szCs w:val="24"/>
        </w:rPr>
      </w:pPr>
    </w:p>
    <w:p w14:paraId="6F008565" w14:textId="5D97E27E" w:rsidR="00DD5A7A" w:rsidRDefault="00DD5A7A" w:rsidP="0080124F">
      <w:pPr>
        <w:spacing w:after="0" w:line="480" w:lineRule="auto"/>
        <w:ind w:firstLine="720"/>
        <w:contextualSpacing/>
        <w:jc w:val="center"/>
        <w:rPr>
          <w:rFonts w:ascii="Times New Roman" w:hAnsi="Times New Roman" w:cs="Times New Roman"/>
          <w:b/>
          <w:bCs/>
          <w:sz w:val="24"/>
          <w:szCs w:val="24"/>
        </w:rPr>
      </w:pPr>
    </w:p>
    <w:p w14:paraId="26D8E4FA" w14:textId="69D4FF31" w:rsidR="00494E43" w:rsidRDefault="00494E43" w:rsidP="0080124F">
      <w:pPr>
        <w:spacing w:after="0" w:line="480" w:lineRule="auto"/>
        <w:ind w:firstLine="720"/>
        <w:contextualSpacing/>
        <w:jc w:val="center"/>
        <w:rPr>
          <w:rFonts w:ascii="Times New Roman" w:hAnsi="Times New Roman" w:cs="Times New Roman"/>
          <w:b/>
          <w:bCs/>
          <w:sz w:val="24"/>
          <w:szCs w:val="24"/>
        </w:rPr>
      </w:pPr>
    </w:p>
    <w:p w14:paraId="2B4EF9BB" w14:textId="0FCF493D" w:rsidR="00494E43" w:rsidRDefault="00494E43" w:rsidP="0080124F">
      <w:pPr>
        <w:spacing w:after="0" w:line="480" w:lineRule="auto"/>
        <w:ind w:firstLine="720"/>
        <w:contextualSpacing/>
        <w:jc w:val="center"/>
        <w:rPr>
          <w:rFonts w:ascii="Times New Roman" w:hAnsi="Times New Roman" w:cs="Times New Roman"/>
          <w:b/>
          <w:bCs/>
          <w:sz w:val="24"/>
          <w:szCs w:val="24"/>
        </w:rPr>
      </w:pPr>
    </w:p>
    <w:p w14:paraId="1E395585" w14:textId="1892972D" w:rsidR="00494E43" w:rsidRDefault="00494E43" w:rsidP="0080124F">
      <w:pPr>
        <w:spacing w:after="0" w:line="480" w:lineRule="auto"/>
        <w:ind w:firstLine="720"/>
        <w:contextualSpacing/>
        <w:jc w:val="center"/>
        <w:rPr>
          <w:rFonts w:ascii="Times New Roman" w:hAnsi="Times New Roman" w:cs="Times New Roman"/>
          <w:b/>
          <w:bCs/>
          <w:sz w:val="24"/>
          <w:szCs w:val="24"/>
        </w:rPr>
      </w:pPr>
    </w:p>
    <w:p w14:paraId="4ABE543E" w14:textId="77777777" w:rsidR="00494E43" w:rsidRPr="00DD5A7A" w:rsidRDefault="00494E43" w:rsidP="0080124F">
      <w:pPr>
        <w:spacing w:after="0" w:line="480" w:lineRule="auto"/>
        <w:ind w:firstLine="720"/>
        <w:contextualSpacing/>
        <w:jc w:val="center"/>
        <w:rPr>
          <w:rFonts w:ascii="Times New Roman" w:hAnsi="Times New Roman" w:cs="Times New Roman"/>
          <w:b/>
          <w:bCs/>
          <w:sz w:val="24"/>
          <w:szCs w:val="24"/>
        </w:rPr>
      </w:pPr>
    </w:p>
    <w:p w14:paraId="15373364" w14:textId="77777777" w:rsidR="00DD5A7A" w:rsidRDefault="00DD5A7A" w:rsidP="00DD5A7A">
      <w:pPr>
        <w:spacing w:after="0" w:line="480" w:lineRule="auto"/>
        <w:contextualSpacing/>
        <w:jc w:val="center"/>
        <w:rPr>
          <w:rFonts w:ascii="Times New Roman" w:hAnsi="Times New Roman" w:cs="Times New Roman"/>
          <w:b/>
          <w:bCs/>
          <w:sz w:val="24"/>
          <w:szCs w:val="24"/>
        </w:rPr>
      </w:pPr>
      <w:r w:rsidRPr="00DD5A7A">
        <w:rPr>
          <w:rFonts w:ascii="Times New Roman" w:hAnsi="Times New Roman" w:cs="Times New Roman"/>
          <w:b/>
          <w:bCs/>
          <w:sz w:val="24"/>
          <w:szCs w:val="24"/>
        </w:rPr>
        <w:lastRenderedPageBreak/>
        <w:t>DIRECT EFFECT, INDIRECT EFFECT AND MEMBER STATE LIABILITY</w:t>
      </w:r>
    </w:p>
    <w:p w14:paraId="0E0C40CB" w14:textId="77777777" w:rsidR="00DD5A7A" w:rsidRDefault="00DD5A7A" w:rsidP="00DD5A7A">
      <w:pPr>
        <w:spacing w:after="0" w:line="480" w:lineRule="auto"/>
        <w:contextualSpacing/>
        <w:jc w:val="center"/>
        <w:rPr>
          <w:rFonts w:ascii="Times New Roman" w:hAnsi="Times New Roman" w:cs="Times New Roman"/>
          <w:sz w:val="24"/>
          <w:szCs w:val="24"/>
        </w:rPr>
      </w:pPr>
      <w:r w:rsidRPr="00DD5A7A">
        <w:rPr>
          <w:rFonts w:ascii="Times New Roman" w:hAnsi="Times New Roman" w:cs="Times New Roman"/>
          <w:b/>
          <w:sz w:val="24"/>
          <w:szCs w:val="24"/>
        </w:rPr>
        <w:t>Introduction</w:t>
      </w:r>
    </w:p>
    <w:p w14:paraId="20F171B5" w14:textId="78FFF2A3" w:rsidR="000A293D" w:rsidRPr="00DD5A7A" w:rsidRDefault="0076485E"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 xml:space="preserve">The European Union is under the auspices of several principles that govern how affairs are conducted. It These principles are tailored in a manner that governs interpersonal relationship between the artificial and natural principles. Among the notable principles are the direct effect, indirect </w:t>
      </w:r>
      <w:proofErr w:type="gramStart"/>
      <w:r w:rsidRPr="00DD5A7A">
        <w:rPr>
          <w:rFonts w:ascii="Times New Roman" w:hAnsi="Times New Roman" w:cs="Times New Roman"/>
          <w:sz w:val="24"/>
          <w:szCs w:val="24"/>
        </w:rPr>
        <w:t>effect</w:t>
      </w:r>
      <w:proofErr w:type="gramEnd"/>
      <w:r w:rsidRPr="00DD5A7A">
        <w:rPr>
          <w:rFonts w:ascii="Times New Roman" w:hAnsi="Times New Roman" w:cs="Times New Roman"/>
          <w:sz w:val="24"/>
          <w:szCs w:val="24"/>
        </w:rPr>
        <w:t xml:space="preserve"> and member state liability. The applicability of three doctrines is based on the various laws of the European Union that have been formulated with the key goal being to regulate how the State members deliver on the responsibilities expected of them within the European Union (EU).  </w:t>
      </w:r>
      <w:r w:rsidR="006854DE" w:rsidRPr="00DD5A7A">
        <w:rPr>
          <w:rFonts w:ascii="Times New Roman" w:hAnsi="Times New Roman" w:cs="Times New Roman"/>
          <w:sz w:val="24"/>
          <w:szCs w:val="24"/>
        </w:rPr>
        <w:t>Courts on their part have attempted to interpret the applicability of these principles by anchoring their arguments on the prevailing circumstances in relation to the aspect of law. In addition, the Treaty on the Functioning of the European (TFEU)</w:t>
      </w:r>
      <w:r w:rsidR="000A293D" w:rsidRPr="00DD5A7A">
        <w:rPr>
          <w:rFonts w:ascii="Times New Roman" w:hAnsi="Times New Roman" w:cs="Times New Roman"/>
          <w:sz w:val="24"/>
          <w:szCs w:val="24"/>
        </w:rPr>
        <w:t xml:space="preserve"> and the Treaty of European Union (TEU)</w:t>
      </w:r>
      <w:r w:rsidR="006854DE" w:rsidRPr="00DD5A7A">
        <w:rPr>
          <w:rFonts w:ascii="Times New Roman" w:hAnsi="Times New Roman" w:cs="Times New Roman"/>
          <w:sz w:val="24"/>
          <w:szCs w:val="24"/>
        </w:rPr>
        <w:t xml:space="preserve"> offer a good understanding of how the principles of direct and indirect effect applies. Besides, TFEU </w:t>
      </w:r>
      <w:r w:rsidR="000A293D" w:rsidRPr="00DD5A7A">
        <w:rPr>
          <w:rFonts w:ascii="Times New Roman" w:hAnsi="Times New Roman" w:cs="Times New Roman"/>
          <w:sz w:val="24"/>
          <w:szCs w:val="24"/>
        </w:rPr>
        <w:t xml:space="preserve">and TEU </w:t>
      </w:r>
      <w:r w:rsidR="006854DE" w:rsidRPr="00DD5A7A">
        <w:rPr>
          <w:rFonts w:ascii="Times New Roman" w:hAnsi="Times New Roman" w:cs="Times New Roman"/>
          <w:sz w:val="24"/>
          <w:szCs w:val="24"/>
        </w:rPr>
        <w:t>ha</w:t>
      </w:r>
      <w:r w:rsidR="000A293D" w:rsidRPr="00DD5A7A">
        <w:rPr>
          <w:rFonts w:ascii="Times New Roman" w:hAnsi="Times New Roman" w:cs="Times New Roman"/>
          <w:sz w:val="24"/>
          <w:szCs w:val="24"/>
        </w:rPr>
        <w:t>ve</w:t>
      </w:r>
      <w:r w:rsidR="006854DE" w:rsidRPr="00DD5A7A">
        <w:rPr>
          <w:rFonts w:ascii="Times New Roman" w:hAnsi="Times New Roman" w:cs="Times New Roman"/>
          <w:sz w:val="24"/>
          <w:szCs w:val="24"/>
        </w:rPr>
        <w:t xml:space="preserve"> provisions that are geared towards highlighting what the member state liability espouses and how the same should be interpreted. The salient provisions of TFEU </w:t>
      </w:r>
      <w:r w:rsidR="000A293D" w:rsidRPr="00DD5A7A">
        <w:rPr>
          <w:rFonts w:ascii="Times New Roman" w:hAnsi="Times New Roman" w:cs="Times New Roman"/>
          <w:sz w:val="24"/>
          <w:szCs w:val="24"/>
        </w:rPr>
        <w:t xml:space="preserve">and TEU </w:t>
      </w:r>
      <w:r w:rsidR="006854DE" w:rsidRPr="00DD5A7A">
        <w:rPr>
          <w:rFonts w:ascii="Times New Roman" w:hAnsi="Times New Roman" w:cs="Times New Roman"/>
          <w:sz w:val="24"/>
          <w:szCs w:val="24"/>
        </w:rPr>
        <w:t xml:space="preserve">that are of importance in understanding the principles of direct effect and indirect effect are </w:t>
      </w:r>
      <w:r w:rsidR="000A293D" w:rsidRPr="00DD5A7A">
        <w:rPr>
          <w:rFonts w:ascii="Times New Roman" w:hAnsi="Times New Roman" w:cs="Times New Roman"/>
          <w:sz w:val="24"/>
          <w:szCs w:val="24"/>
        </w:rPr>
        <w:t xml:space="preserve">Art 288 TFEU, Art 258 TFEU and Art 4.3 TEU. A clear understanding </w:t>
      </w:r>
      <w:r w:rsidR="0080124F" w:rsidRPr="00DD5A7A">
        <w:rPr>
          <w:rFonts w:ascii="Times New Roman" w:hAnsi="Times New Roman" w:cs="Times New Roman"/>
          <w:sz w:val="24"/>
          <w:szCs w:val="24"/>
        </w:rPr>
        <w:t xml:space="preserve">of </w:t>
      </w:r>
      <w:r w:rsidR="000A293D" w:rsidRPr="00DD5A7A">
        <w:rPr>
          <w:rFonts w:ascii="Times New Roman" w:hAnsi="Times New Roman" w:cs="Times New Roman"/>
          <w:sz w:val="24"/>
          <w:szCs w:val="24"/>
        </w:rPr>
        <w:t xml:space="preserve">the applicability of these principles in natural persons is anchored in case law as the various provisions of both the TFEU and TEU. </w:t>
      </w:r>
    </w:p>
    <w:p w14:paraId="3F614694" w14:textId="64E2B53F" w:rsidR="000A293D" w:rsidRPr="00DD5A7A" w:rsidRDefault="00C83D22"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The European Union</w:t>
      </w:r>
      <w:r w:rsidR="00190F13" w:rsidRPr="00DD5A7A">
        <w:rPr>
          <w:rFonts w:ascii="Times New Roman" w:hAnsi="Times New Roman" w:cs="Times New Roman"/>
          <w:sz w:val="24"/>
          <w:szCs w:val="24"/>
        </w:rPr>
        <w:t xml:space="preserve"> </w:t>
      </w:r>
      <w:r w:rsidRPr="00DD5A7A">
        <w:rPr>
          <w:rFonts w:ascii="Times New Roman" w:hAnsi="Times New Roman" w:cs="Times New Roman"/>
          <w:sz w:val="24"/>
          <w:szCs w:val="24"/>
        </w:rPr>
        <w:t xml:space="preserve">(EU) law is designed in such a manner that it is applied and enforced in a decentralized manner which implies that the national authorities are the ones in charge of the affairs </w:t>
      </w:r>
      <w:r w:rsidR="005A330F" w:rsidRPr="00DD5A7A">
        <w:rPr>
          <w:rFonts w:ascii="Times New Roman" w:hAnsi="Times New Roman" w:cs="Times New Roman"/>
          <w:sz w:val="24"/>
          <w:szCs w:val="24"/>
        </w:rPr>
        <w:t>o</w:t>
      </w:r>
      <w:r w:rsidRPr="00DD5A7A">
        <w:rPr>
          <w:rFonts w:ascii="Times New Roman" w:hAnsi="Times New Roman" w:cs="Times New Roman"/>
          <w:sz w:val="24"/>
          <w:szCs w:val="24"/>
        </w:rPr>
        <w:t xml:space="preserve">f the Member States in different jurisdictions. Many are the times that the European Court of Justice (CJEU) has attempted to elaborate on the application of these principles in such a manner that its applicability. In </w:t>
      </w:r>
      <w:r w:rsidR="00190F13" w:rsidRPr="00DD5A7A">
        <w:rPr>
          <w:rFonts w:ascii="Times New Roman" w:hAnsi="Times New Roman" w:cs="Times New Roman"/>
          <w:sz w:val="24"/>
          <w:szCs w:val="24"/>
        </w:rPr>
        <w:t>addition,</w:t>
      </w:r>
      <w:r w:rsidRPr="00DD5A7A">
        <w:rPr>
          <w:rFonts w:ascii="Times New Roman" w:hAnsi="Times New Roman" w:cs="Times New Roman"/>
          <w:sz w:val="24"/>
          <w:szCs w:val="24"/>
        </w:rPr>
        <w:t xml:space="preserve"> the CJEU has decided several cases </w:t>
      </w:r>
      <w:r w:rsidRPr="00DD5A7A">
        <w:rPr>
          <w:rFonts w:ascii="Times New Roman" w:hAnsi="Times New Roman" w:cs="Times New Roman"/>
          <w:sz w:val="24"/>
          <w:szCs w:val="24"/>
        </w:rPr>
        <w:lastRenderedPageBreak/>
        <w:t xml:space="preserve">that touch on the concept of member state liability with the main goal being to elaborate on how states within the EU law are structured. CJEU has </w:t>
      </w:r>
      <w:r w:rsidR="00190F13" w:rsidRPr="00DD5A7A">
        <w:rPr>
          <w:rFonts w:ascii="Times New Roman" w:hAnsi="Times New Roman" w:cs="Times New Roman"/>
          <w:sz w:val="24"/>
          <w:szCs w:val="24"/>
        </w:rPr>
        <w:t>elaborated</w:t>
      </w:r>
      <w:r w:rsidRPr="00DD5A7A">
        <w:rPr>
          <w:rFonts w:ascii="Times New Roman" w:hAnsi="Times New Roman" w:cs="Times New Roman"/>
          <w:sz w:val="24"/>
          <w:szCs w:val="24"/>
        </w:rPr>
        <w:t xml:space="preserve"> on the </w:t>
      </w:r>
      <w:r w:rsidR="00190F13" w:rsidRPr="00DD5A7A">
        <w:rPr>
          <w:rFonts w:ascii="Times New Roman" w:hAnsi="Times New Roman" w:cs="Times New Roman"/>
          <w:sz w:val="24"/>
          <w:szCs w:val="24"/>
        </w:rPr>
        <w:t>applicability</w:t>
      </w:r>
      <w:r w:rsidRPr="00DD5A7A">
        <w:rPr>
          <w:rFonts w:ascii="Times New Roman" w:hAnsi="Times New Roman" w:cs="Times New Roman"/>
          <w:sz w:val="24"/>
          <w:szCs w:val="24"/>
        </w:rPr>
        <w:t xml:space="preserve"> of both the direct and indirect effect </w:t>
      </w:r>
      <w:r w:rsidR="00190F13" w:rsidRPr="00DD5A7A">
        <w:rPr>
          <w:rFonts w:ascii="Times New Roman" w:hAnsi="Times New Roman" w:cs="Times New Roman"/>
          <w:sz w:val="24"/>
          <w:szCs w:val="24"/>
        </w:rPr>
        <w:t>through</w:t>
      </w:r>
      <w:r w:rsidRPr="00DD5A7A">
        <w:rPr>
          <w:rFonts w:ascii="Times New Roman" w:hAnsi="Times New Roman" w:cs="Times New Roman"/>
          <w:sz w:val="24"/>
          <w:szCs w:val="24"/>
        </w:rPr>
        <w:t xml:space="preserve"> giving elaborate </w:t>
      </w:r>
      <w:r w:rsidR="00190F13" w:rsidRPr="00DD5A7A">
        <w:rPr>
          <w:rFonts w:ascii="Times New Roman" w:hAnsi="Times New Roman" w:cs="Times New Roman"/>
          <w:sz w:val="24"/>
          <w:szCs w:val="24"/>
        </w:rPr>
        <w:t>interpretation</w:t>
      </w:r>
      <w:r w:rsidRPr="00DD5A7A">
        <w:rPr>
          <w:rFonts w:ascii="Times New Roman" w:hAnsi="Times New Roman" w:cs="Times New Roman"/>
          <w:sz w:val="24"/>
          <w:szCs w:val="24"/>
        </w:rPr>
        <w:t xml:space="preserve"> of how the Treaty touching on these two principles are to be applied. </w:t>
      </w:r>
      <w:r w:rsidR="00190F13" w:rsidRPr="00DD5A7A">
        <w:rPr>
          <w:rFonts w:ascii="Times New Roman" w:hAnsi="Times New Roman" w:cs="Times New Roman"/>
          <w:sz w:val="24"/>
          <w:szCs w:val="24"/>
        </w:rPr>
        <w:t xml:space="preserve">Additionally, there are </w:t>
      </w:r>
      <w:proofErr w:type="gramStart"/>
      <w:r w:rsidR="00190F13" w:rsidRPr="00DD5A7A">
        <w:rPr>
          <w:rFonts w:ascii="Times New Roman" w:hAnsi="Times New Roman" w:cs="Times New Roman"/>
          <w:sz w:val="24"/>
          <w:szCs w:val="24"/>
        </w:rPr>
        <w:t>a number of</w:t>
      </w:r>
      <w:proofErr w:type="gramEnd"/>
      <w:r w:rsidR="00190F13" w:rsidRPr="00DD5A7A">
        <w:rPr>
          <w:rFonts w:ascii="Times New Roman" w:hAnsi="Times New Roman" w:cs="Times New Roman"/>
          <w:sz w:val="24"/>
          <w:szCs w:val="24"/>
        </w:rPr>
        <w:t xml:space="preserve"> notable authors who have explicitly attempted to elaborate on the application of these principles from different perspectives. For instance</w:t>
      </w:r>
      <w:r w:rsidR="00475488" w:rsidRPr="00DD5A7A">
        <w:rPr>
          <w:rFonts w:ascii="Times New Roman" w:hAnsi="Times New Roman" w:cs="Times New Roman"/>
          <w:sz w:val="24"/>
          <w:szCs w:val="24"/>
        </w:rPr>
        <w:t xml:space="preserve">, </w:t>
      </w:r>
      <w:r w:rsidR="0080124F" w:rsidRPr="00DD5A7A">
        <w:rPr>
          <w:rFonts w:ascii="Times New Roman" w:hAnsi="Times New Roman" w:cs="Times New Roman"/>
          <w:sz w:val="24"/>
          <w:szCs w:val="24"/>
        </w:rPr>
        <w:t xml:space="preserve">in </w:t>
      </w:r>
      <w:r w:rsidR="00190F13" w:rsidRPr="00DD5A7A">
        <w:rPr>
          <w:rFonts w:ascii="Times New Roman" w:hAnsi="Times New Roman" w:cs="Times New Roman"/>
          <w:sz w:val="24"/>
          <w:szCs w:val="24"/>
        </w:rPr>
        <w:t>the case of Von Colson in 1986,</w:t>
      </w:r>
      <w:r w:rsidR="0080124F" w:rsidRPr="00DD5A7A">
        <w:rPr>
          <w:rFonts w:ascii="Times New Roman" w:hAnsi="Times New Roman" w:cs="Times New Roman"/>
          <w:sz w:val="24"/>
          <w:szCs w:val="24"/>
        </w:rPr>
        <w:t xml:space="preserve"> Drake notes that </w:t>
      </w:r>
      <w:r w:rsidR="00190F13" w:rsidRPr="00DD5A7A">
        <w:rPr>
          <w:rFonts w:ascii="Times New Roman" w:hAnsi="Times New Roman" w:cs="Times New Roman"/>
          <w:iCs/>
          <w:sz w:val="24"/>
          <w:szCs w:val="24"/>
        </w:rPr>
        <w:t xml:space="preserve">“the Court's case law clearly illustrates that ‘indirect effect’ has played a key role in protecting citizens' rights, particularly in the absence of the horizontal direct effect of </w:t>
      </w:r>
      <w:r w:rsidR="00475488" w:rsidRPr="00DD5A7A">
        <w:rPr>
          <w:rFonts w:ascii="Times New Roman" w:hAnsi="Times New Roman" w:cs="Times New Roman"/>
          <w:iCs/>
          <w:sz w:val="24"/>
          <w:szCs w:val="24"/>
        </w:rPr>
        <w:t>Directives</w:t>
      </w:r>
      <w:r w:rsidR="0080124F" w:rsidRPr="00DD5A7A">
        <w:rPr>
          <w:rFonts w:ascii="Times New Roman" w:hAnsi="Times New Roman" w:cs="Times New Roman"/>
          <w:iCs/>
          <w:sz w:val="24"/>
          <w:szCs w:val="24"/>
        </w:rPr>
        <w:t>.</w:t>
      </w:r>
      <w:r w:rsidR="00475488" w:rsidRPr="00DD5A7A">
        <w:rPr>
          <w:rFonts w:ascii="Times New Roman" w:hAnsi="Times New Roman" w:cs="Times New Roman"/>
          <w:iCs/>
          <w:sz w:val="24"/>
          <w:szCs w:val="24"/>
        </w:rPr>
        <w:t xml:space="preserve">” </w:t>
      </w:r>
      <w:r w:rsidR="00475488" w:rsidRPr="00DD5A7A">
        <w:rPr>
          <w:rFonts w:ascii="Times New Roman" w:hAnsi="Times New Roman" w:cs="Times New Roman"/>
          <w:sz w:val="24"/>
          <w:szCs w:val="24"/>
        </w:rPr>
        <w:t>This</w:t>
      </w:r>
      <w:r w:rsidR="00190F13" w:rsidRPr="00DD5A7A">
        <w:rPr>
          <w:rFonts w:ascii="Times New Roman" w:hAnsi="Times New Roman" w:cs="Times New Roman"/>
          <w:sz w:val="24"/>
          <w:szCs w:val="24"/>
        </w:rPr>
        <w:t xml:space="preserve"> is a clear depiction of how important it is for the two principles within the European Union. </w:t>
      </w:r>
    </w:p>
    <w:p w14:paraId="18FC2010" w14:textId="0DB6014B" w:rsidR="00190F13" w:rsidRPr="00DD5A7A" w:rsidRDefault="00190F13"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 xml:space="preserve">Direct effect in the realm of EU law is seen as an unwritten </w:t>
      </w:r>
      <w:r w:rsidR="00475488" w:rsidRPr="00DD5A7A">
        <w:rPr>
          <w:rFonts w:ascii="Times New Roman" w:hAnsi="Times New Roman" w:cs="Times New Roman"/>
          <w:sz w:val="24"/>
          <w:szCs w:val="24"/>
        </w:rPr>
        <w:t>principle</w:t>
      </w:r>
      <w:r w:rsidRPr="00DD5A7A">
        <w:rPr>
          <w:rFonts w:ascii="Times New Roman" w:hAnsi="Times New Roman" w:cs="Times New Roman"/>
          <w:sz w:val="24"/>
          <w:szCs w:val="24"/>
        </w:rPr>
        <w:t xml:space="preserve"> of law even though its 50</w:t>
      </w:r>
      <w:r w:rsidR="00475488" w:rsidRPr="00DD5A7A">
        <w:rPr>
          <w:rFonts w:ascii="Times New Roman" w:hAnsi="Times New Roman" w:cs="Times New Roman"/>
          <w:sz w:val="24"/>
          <w:szCs w:val="24"/>
        </w:rPr>
        <w:t xml:space="preserve"> </w:t>
      </w:r>
      <w:r w:rsidRPr="00DD5A7A">
        <w:rPr>
          <w:rFonts w:ascii="Times New Roman" w:hAnsi="Times New Roman" w:cs="Times New Roman"/>
          <w:sz w:val="24"/>
          <w:szCs w:val="24"/>
        </w:rPr>
        <w:t xml:space="preserve">years since it was formulated. It is neither codified or contained in any treaty or regulation. </w:t>
      </w:r>
      <w:r w:rsidR="00475488" w:rsidRPr="00DD5A7A">
        <w:rPr>
          <w:rFonts w:ascii="Times New Roman" w:hAnsi="Times New Roman" w:cs="Times New Roman"/>
          <w:sz w:val="24"/>
          <w:szCs w:val="24"/>
        </w:rPr>
        <w:t>However</w:t>
      </w:r>
      <w:r w:rsidRPr="00DD5A7A">
        <w:rPr>
          <w:rFonts w:ascii="Times New Roman" w:hAnsi="Times New Roman" w:cs="Times New Roman"/>
          <w:sz w:val="24"/>
          <w:szCs w:val="24"/>
        </w:rPr>
        <w:t xml:space="preserve">, it is accepted in all </w:t>
      </w:r>
      <w:r w:rsidR="00475488" w:rsidRPr="00DD5A7A">
        <w:rPr>
          <w:rFonts w:ascii="Times New Roman" w:hAnsi="Times New Roman" w:cs="Times New Roman"/>
          <w:sz w:val="24"/>
          <w:szCs w:val="24"/>
        </w:rPr>
        <w:t>regions</w:t>
      </w:r>
      <w:r w:rsidRPr="00DD5A7A">
        <w:rPr>
          <w:rFonts w:ascii="Times New Roman" w:hAnsi="Times New Roman" w:cs="Times New Roman"/>
          <w:sz w:val="24"/>
          <w:szCs w:val="24"/>
        </w:rPr>
        <w:t xml:space="preserve"> with exception of some few regions which do not align with this principle. The CJEU gives </w:t>
      </w:r>
      <w:r w:rsidR="00475488" w:rsidRPr="00DD5A7A">
        <w:rPr>
          <w:rFonts w:ascii="Times New Roman" w:hAnsi="Times New Roman" w:cs="Times New Roman"/>
          <w:sz w:val="24"/>
          <w:szCs w:val="24"/>
        </w:rPr>
        <w:t>simplest</w:t>
      </w:r>
      <w:r w:rsidRPr="00DD5A7A">
        <w:rPr>
          <w:rFonts w:ascii="Times New Roman" w:hAnsi="Times New Roman" w:cs="Times New Roman"/>
          <w:sz w:val="24"/>
          <w:szCs w:val="24"/>
        </w:rPr>
        <w:t xml:space="preserve"> definition of direct effect where it notes is as the </w:t>
      </w:r>
      <w:r w:rsidR="00475488" w:rsidRPr="00DD5A7A">
        <w:rPr>
          <w:rFonts w:ascii="Times New Roman" w:hAnsi="Times New Roman" w:cs="Times New Roman"/>
          <w:sz w:val="24"/>
          <w:szCs w:val="24"/>
        </w:rPr>
        <w:t>“creation of </w:t>
      </w:r>
      <w:r w:rsidR="00475488" w:rsidRPr="00DD5A7A">
        <w:rPr>
          <w:rFonts w:ascii="Times New Roman" w:hAnsi="Times New Roman" w:cs="Times New Roman"/>
          <w:i/>
          <w:iCs/>
          <w:sz w:val="24"/>
          <w:szCs w:val="24"/>
        </w:rPr>
        <w:t>rights</w:t>
      </w:r>
      <w:r w:rsidR="00475488" w:rsidRPr="00DD5A7A">
        <w:rPr>
          <w:rFonts w:ascii="Times New Roman" w:hAnsi="Times New Roman" w:cs="Times New Roman"/>
          <w:sz w:val="24"/>
          <w:szCs w:val="24"/>
        </w:rPr>
        <w:t xml:space="preserve"> for individuals” that national courts must protect” Besides this narrow definition, there exists other definition espoused in the norms of EU law which form the subjective approach of defining the concept. According to Craig &amp; </w:t>
      </w:r>
      <w:proofErr w:type="spellStart"/>
      <w:r w:rsidR="00475488" w:rsidRPr="00DD5A7A">
        <w:rPr>
          <w:rFonts w:ascii="Times New Roman" w:hAnsi="Times New Roman" w:cs="Times New Roman"/>
          <w:sz w:val="24"/>
          <w:szCs w:val="24"/>
        </w:rPr>
        <w:t>Burca</w:t>
      </w:r>
      <w:proofErr w:type="spellEnd"/>
      <w:r w:rsidR="0080124F" w:rsidRPr="00DD5A7A">
        <w:rPr>
          <w:rFonts w:ascii="Times New Roman" w:hAnsi="Times New Roman" w:cs="Times New Roman"/>
          <w:sz w:val="24"/>
          <w:szCs w:val="24"/>
        </w:rPr>
        <w:t xml:space="preserve"> </w:t>
      </w:r>
      <w:r w:rsidR="00475488" w:rsidRPr="00DD5A7A">
        <w:rPr>
          <w:rFonts w:ascii="Times New Roman" w:hAnsi="Times New Roman" w:cs="Times New Roman"/>
          <w:sz w:val="24"/>
          <w:szCs w:val="24"/>
        </w:rPr>
        <w:t xml:space="preserve">(2021), direct effect connotes binding provisions of EU law that are </w:t>
      </w:r>
      <w:r w:rsidR="00475488" w:rsidRPr="00DD5A7A">
        <w:rPr>
          <w:rFonts w:ascii="Times New Roman" w:hAnsi="Times New Roman" w:cs="Times New Roman"/>
          <w:iCs/>
          <w:sz w:val="24"/>
          <w:szCs w:val="24"/>
        </w:rPr>
        <w:t>“sufficiently clear, precise, and unconditional to be considered justiciable can be invoked and relied on by individuals before national courts</w:t>
      </w:r>
      <w:r w:rsidR="0080124F" w:rsidRPr="00DD5A7A">
        <w:rPr>
          <w:rFonts w:ascii="Times New Roman" w:hAnsi="Times New Roman" w:cs="Times New Roman"/>
          <w:iCs/>
          <w:sz w:val="24"/>
          <w:szCs w:val="24"/>
        </w:rPr>
        <w:t>.</w:t>
      </w:r>
      <w:r w:rsidR="00475488" w:rsidRPr="00DD5A7A">
        <w:rPr>
          <w:rFonts w:ascii="Times New Roman" w:hAnsi="Times New Roman" w:cs="Times New Roman"/>
          <w:iCs/>
          <w:sz w:val="24"/>
          <w:szCs w:val="24"/>
        </w:rPr>
        <w:t>”</w:t>
      </w:r>
      <w:r w:rsidR="00184C7C" w:rsidRPr="00DD5A7A">
        <w:rPr>
          <w:rFonts w:ascii="Times New Roman" w:hAnsi="Times New Roman" w:cs="Times New Roman"/>
          <w:sz w:val="24"/>
          <w:szCs w:val="24"/>
        </w:rPr>
        <w:t xml:space="preserve"> The principle of direct effect was developed with the aim of securing effectiveness of the Member States within the framework of EU law</w:t>
      </w:r>
      <w:r w:rsidR="0080124F" w:rsidRPr="00DD5A7A">
        <w:rPr>
          <w:rFonts w:ascii="Times New Roman" w:hAnsi="Times New Roman" w:cs="Times New Roman"/>
          <w:sz w:val="24"/>
          <w:szCs w:val="24"/>
        </w:rPr>
        <w:t xml:space="preserve"> </w:t>
      </w:r>
      <w:r w:rsidR="005A330F" w:rsidRPr="00DD5A7A">
        <w:rPr>
          <w:rFonts w:ascii="Times New Roman" w:hAnsi="Times New Roman" w:cs="Times New Roman"/>
          <w:sz w:val="24"/>
          <w:szCs w:val="24"/>
        </w:rPr>
        <w:t>(</w:t>
      </w:r>
      <w:proofErr w:type="spellStart"/>
      <w:r w:rsidR="005A330F" w:rsidRPr="00DD5A7A">
        <w:rPr>
          <w:rFonts w:ascii="Times New Roman" w:hAnsi="Times New Roman" w:cs="Times New Roman"/>
          <w:sz w:val="24"/>
          <w:szCs w:val="24"/>
        </w:rPr>
        <w:t>Pescatire</w:t>
      </w:r>
      <w:proofErr w:type="spellEnd"/>
      <w:r w:rsidR="005A330F" w:rsidRPr="00DD5A7A">
        <w:rPr>
          <w:rFonts w:ascii="Times New Roman" w:hAnsi="Times New Roman" w:cs="Times New Roman"/>
          <w:sz w:val="24"/>
          <w:szCs w:val="24"/>
        </w:rPr>
        <w:t>, 2015)</w:t>
      </w:r>
      <w:r w:rsidR="00184C7C" w:rsidRPr="00DD5A7A">
        <w:rPr>
          <w:rFonts w:ascii="Times New Roman" w:hAnsi="Times New Roman" w:cs="Times New Roman"/>
          <w:sz w:val="24"/>
          <w:szCs w:val="24"/>
        </w:rPr>
        <w:t xml:space="preserve">. Besides, it was developed to offer good grounds upon which members could challenge the various actions taken by the member states in their capacity of natural persons. Since its establishment in 1963, the principle puts the individual and the protection of citizen’s rights in the center. </w:t>
      </w:r>
    </w:p>
    <w:p w14:paraId="6097C1B1" w14:textId="61B9E867" w:rsidR="008D313B" w:rsidRPr="00DD5A7A" w:rsidRDefault="008D313B"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lastRenderedPageBreak/>
        <w:t xml:space="preserve">Principally, the principle of direct effect within EU law has its foundation on the case of Van </w:t>
      </w:r>
      <w:proofErr w:type="spellStart"/>
      <w:r w:rsidRPr="00DD5A7A">
        <w:rPr>
          <w:rFonts w:ascii="Times New Roman" w:hAnsi="Times New Roman" w:cs="Times New Roman"/>
          <w:sz w:val="24"/>
          <w:szCs w:val="24"/>
        </w:rPr>
        <w:t>Gend</w:t>
      </w:r>
      <w:proofErr w:type="spellEnd"/>
      <w:r w:rsidRPr="00DD5A7A">
        <w:rPr>
          <w:rFonts w:ascii="Times New Roman" w:hAnsi="Times New Roman" w:cs="Times New Roman"/>
          <w:sz w:val="24"/>
          <w:szCs w:val="24"/>
        </w:rPr>
        <w:t xml:space="preserve"> </w:t>
      </w:r>
      <w:proofErr w:type="spellStart"/>
      <w:r w:rsidRPr="00DD5A7A">
        <w:rPr>
          <w:rFonts w:ascii="Times New Roman" w:hAnsi="Times New Roman" w:cs="Times New Roman"/>
          <w:sz w:val="24"/>
          <w:szCs w:val="24"/>
        </w:rPr>
        <w:t>en</w:t>
      </w:r>
      <w:proofErr w:type="spellEnd"/>
      <w:r w:rsidRPr="00DD5A7A">
        <w:rPr>
          <w:rFonts w:ascii="Times New Roman" w:hAnsi="Times New Roman" w:cs="Times New Roman"/>
          <w:sz w:val="24"/>
          <w:szCs w:val="24"/>
        </w:rPr>
        <w:t xml:space="preserve"> Loos v. </w:t>
      </w:r>
      <w:proofErr w:type="spellStart"/>
      <w:r w:rsidRPr="00DD5A7A">
        <w:rPr>
          <w:rFonts w:ascii="Times New Roman" w:hAnsi="Times New Roman" w:cs="Times New Roman"/>
          <w:sz w:val="24"/>
          <w:szCs w:val="24"/>
        </w:rPr>
        <w:t>Nederlandse</w:t>
      </w:r>
      <w:proofErr w:type="spellEnd"/>
      <w:r w:rsidRPr="00DD5A7A">
        <w:rPr>
          <w:rFonts w:ascii="Times New Roman" w:hAnsi="Times New Roman" w:cs="Times New Roman"/>
          <w:sz w:val="24"/>
          <w:szCs w:val="24"/>
        </w:rPr>
        <w:t xml:space="preserve"> </w:t>
      </w:r>
      <w:proofErr w:type="spellStart"/>
      <w:r w:rsidRPr="00DD5A7A">
        <w:rPr>
          <w:rFonts w:ascii="Times New Roman" w:hAnsi="Times New Roman" w:cs="Times New Roman"/>
          <w:sz w:val="24"/>
          <w:szCs w:val="24"/>
        </w:rPr>
        <w:t>Administratie</w:t>
      </w:r>
      <w:proofErr w:type="spellEnd"/>
      <w:r w:rsidRPr="00DD5A7A">
        <w:rPr>
          <w:rFonts w:ascii="Times New Roman" w:hAnsi="Times New Roman" w:cs="Times New Roman"/>
          <w:sz w:val="24"/>
          <w:szCs w:val="24"/>
        </w:rPr>
        <w:t xml:space="preserve"> der </w:t>
      </w:r>
      <w:proofErr w:type="spellStart"/>
      <w:r w:rsidRPr="00DD5A7A">
        <w:rPr>
          <w:rFonts w:ascii="Times New Roman" w:hAnsi="Times New Roman" w:cs="Times New Roman"/>
          <w:sz w:val="24"/>
          <w:szCs w:val="24"/>
        </w:rPr>
        <w:t>Belastingen</w:t>
      </w:r>
      <w:proofErr w:type="spellEnd"/>
      <w:r w:rsidR="0080124F" w:rsidRPr="00DD5A7A">
        <w:rPr>
          <w:rFonts w:ascii="Times New Roman" w:hAnsi="Times New Roman" w:cs="Times New Roman"/>
          <w:sz w:val="24"/>
          <w:szCs w:val="24"/>
        </w:rPr>
        <w:t xml:space="preserve"> </w:t>
      </w:r>
      <w:r w:rsidRPr="00DD5A7A">
        <w:rPr>
          <w:rFonts w:ascii="Times New Roman" w:hAnsi="Times New Roman" w:cs="Times New Roman"/>
          <w:sz w:val="24"/>
          <w:szCs w:val="24"/>
        </w:rPr>
        <w:t xml:space="preserve">[1963]. Since </w:t>
      </w:r>
      <w:proofErr w:type="gramStart"/>
      <w:r w:rsidRPr="00DD5A7A">
        <w:rPr>
          <w:rFonts w:ascii="Times New Roman" w:hAnsi="Times New Roman" w:cs="Times New Roman"/>
          <w:sz w:val="24"/>
          <w:szCs w:val="24"/>
        </w:rPr>
        <w:t>then</w:t>
      </w:r>
      <w:proofErr w:type="gramEnd"/>
      <w:r w:rsidRPr="00DD5A7A">
        <w:rPr>
          <w:rFonts w:ascii="Times New Roman" w:hAnsi="Times New Roman" w:cs="Times New Roman"/>
          <w:sz w:val="24"/>
          <w:szCs w:val="24"/>
        </w:rPr>
        <w:t xml:space="preserve"> </w:t>
      </w:r>
      <w:r w:rsidR="005E6C36" w:rsidRPr="00DD5A7A">
        <w:rPr>
          <w:rFonts w:ascii="Times New Roman" w:hAnsi="Times New Roman" w:cs="Times New Roman"/>
          <w:sz w:val="24"/>
          <w:szCs w:val="24"/>
        </w:rPr>
        <w:t>treaties</w:t>
      </w:r>
      <w:r w:rsidRPr="00DD5A7A">
        <w:rPr>
          <w:rFonts w:ascii="Times New Roman" w:hAnsi="Times New Roman" w:cs="Times New Roman"/>
          <w:sz w:val="24"/>
          <w:szCs w:val="24"/>
        </w:rPr>
        <w:t xml:space="preserve"> have been trying to come up with some provisions in a</w:t>
      </w:r>
      <w:r w:rsidR="005E6C36" w:rsidRPr="00DD5A7A">
        <w:rPr>
          <w:rFonts w:ascii="Times New Roman" w:hAnsi="Times New Roman" w:cs="Times New Roman"/>
          <w:sz w:val="24"/>
          <w:szCs w:val="24"/>
        </w:rPr>
        <w:t xml:space="preserve"> </w:t>
      </w:r>
      <w:r w:rsidRPr="00DD5A7A">
        <w:rPr>
          <w:rFonts w:ascii="Times New Roman" w:hAnsi="Times New Roman" w:cs="Times New Roman"/>
          <w:sz w:val="24"/>
          <w:szCs w:val="24"/>
        </w:rPr>
        <w:t>b</w:t>
      </w:r>
      <w:r w:rsidR="001846D1" w:rsidRPr="00DD5A7A">
        <w:rPr>
          <w:rFonts w:ascii="Times New Roman" w:hAnsi="Times New Roman" w:cs="Times New Roman"/>
          <w:sz w:val="24"/>
          <w:szCs w:val="24"/>
        </w:rPr>
        <w:t>i</w:t>
      </w:r>
      <w:r w:rsidRPr="00DD5A7A">
        <w:rPr>
          <w:rFonts w:ascii="Times New Roman" w:hAnsi="Times New Roman" w:cs="Times New Roman"/>
          <w:sz w:val="24"/>
          <w:szCs w:val="24"/>
        </w:rPr>
        <w:t xml:space="preserve">d to accommodate it. On the other hand, the European Court of </w:t>
      </w:r>
      <w:r w:rsidR="005E6C36" w:rsidRPr="00DD5A7A">
        <w:rPr>
          <w:rFonts w:ascii="Times New Roman" w:hAnsi="Times New Roman" w:cs="Times New Roman"/>
          <w:sz w:val="24"/>
          <w:szCs w:val="24"/>
        </w:rPr>
        <w:t>Justice</w:t>
      </w:r>
      <w:r w:rsidRPr="00DD5A7A">
        <w:rPr>
          <w:rFonts w:ascii="Times New Roman" w:hAnsi="Times New Roman" w:cs="Times New Roman"/>
          <w:sz w:val="24"/>
          <w:szCs w:val="24"/>
        </w:rPr>
        <w:t xml:space="preserve"> has devised ways of giving it breath in </w:t>
      </w:r>
      <w:r w:rsidR="005E6C36" w:rsidRPr="00DD5A7A">
        <w:rPr>
          <w:rFonts w:ascii="Times New Roman" w:hAnsi="Times New Roman" w:cs="Times New Roman"/>
          <w:sz w:val="24"/>
          <w:szCs w:val="24"/>
        </w:rPr>
        <w:t>determination</w:t>
      </w:r>
      <w:r w:rsidRPr="00DD5A7A">
        <w:rPr>
          <w:rFonts w:ascii="Times New Roman" w:hAnsi="Times New Roman" w:cs="Times New Roman"/>
          <w:sz w:val="24"/>
          <w:szCs w:val="24"/>
        </w:rPr>
        <w:t xml:space="preserve"> of the issues that are presented by natural persons within the </w:t>
      </w:r>
      <w:r w:rsidR="005E6C36" w:rsidRPr="00DD5A7A">
        <w:rPr>
          <w:rFonts w:ascii="Times New Roman" w:hAnsi="Times New Roman" w:cs="Times New Roman"/>
          <w:sz w:val="24"/>
          <w:szCs w:val="24"/>
        </w:rPr>
        <w:t>European</w:t>
      </w:r>
      <w:r w:rsidRPr="00DD5A7A">
        <w:rPr>
          <w:rFonts w:ascii="Times New Roman" w:hAnsi="Times New Roman" w:cs="Times New Roman"/>
          <w:sz w:val="24"/>
          <w:szCs w:val="24"/>
        </w:rPr>
        <w:t xml:space="preserve"> Union law. ECJ has noted in </w:t>
      </w:r>
      <w:proofErr w:type="gramStart"/>
      <w:r w:rsidRPr="00DD5A7A">
        <w:rPr>
          <w:rFonts w:ascii="Times New Roman" w:hAnsi="Times New Roman" w:cs="Times New Roman"/>
          <w:sz w:val="24"/>
          <w:szCs w:val="24"/>
        </w:rPr>
        <w:t>a number of</w:t>
      </w:r>
      <w:proofErr w:type="gramEnd"/>
      <w:r w:rsidRPr="00DD5A7A">
        <w:rPr>
          <w:rFonts w:ascii="Times New Roman" w:hAnsi="Times New Roman" w:cs="Times New Roman"/>
          <w:sz w:val="24"/>
          <w:szCs w:val="24"/>
        </w:rPr>
        <w:t xml:space="preserve"> cases that the </w:t>
      </w:r>
      <w:r w:rsidR="005E6C36" w:rsidRPr="00DD5A7A">
        <w:rPr>
          <w:rFonts w:ascii="Times New Roman" w:hAnsi="Times New Roman" w:cs="Times New Roman"/>
          <w:sz w:val="24"/>
          <w:szCs w:val="24"/>
        </w:rPr>
        <w:t>principle</w:t>
      </w:r>
      <w:r w:rsidRPr="00DD5A7A">
        <w:rPr>
          <w:rFonts w:ascii="Times New Roman" w:hAnsi="Times New Roman" w:cs="Times New Roman"/>
          <w:sz w:val="24"/>
          <w:szCs w:val="24"/>
        </w:rPr>
        <w:t xml:space="preserve"> of direct effect can be applied in almost all legal </w:t>
      </w:r>
      <w:r w:rsidR="005E6C36" w:rsidRPr="00DD5A7A">
        <w:rPr>
          <w:rFonts w:ascii="Times New Roman" w:hAnsi="Times New Roman" w:cs="Times New Roman"/>
          <w:sz w:val="24"/>
          <w:szCs w:val="24"/>
        </w:rPr>
        <w:t>scenarios</w:t>
      </w:r>
      <w:r w:rsidRPr="00DD5A7A">
        <w:rPr>
          <w:rFonts w:ascii="Times New Roman" w:hAnsi="Times New Roman" w:cs="Times New Roman"/>
          <w:sz w:val="24"/>
          <w:szCs w:val="24"/>
        </w:rPr>
        <w:t xml:space="preserve"> that arise within the EU law. The Van Gen den Loos laid down the </w:t>
      </w:r>
      <w:r w:rsidR="005E6C36" w:rsidRPr="00DD5A7A">
        <w:rPr>
          <w:rFonts w:ascii="Times New Roman" w:hAnsi="Times New Roman" w:cs="Times New Roman"/>
          <w:sz w:val="24"/>
          <w:szCs w:val="24"/>
        </w:rPr>
        <w:t>principles</w:t>
      </w:r>
      <w:r w:rsidRPr="00DD5A7A">
        <w:rPr>
          <w:rFonts w:ascii="Times New Roman" w:hAnsi="Times New Roman" w:cs="Times New Roman"/>
          <w:sz w:val="24"/>
          <w:szCs w:val="24"/>
        </w:rPr>
        <w:t xml:space="preserve"> that need to be followed when deciding on the applicability of the principle of direct effect. The court indicated that for an EU article to have the direct effect in it ought to be clear, have a negative obligation, unconditional, contains no reservation for the member states and is not dependent on any nation implementing measure</w:t>
      </w:r>
      <w:r w:rsidR="0080124F" w:rsidRPr="00DD5A7A">
        <w:rPr>
          <w:rFonts w:ascii="Times New Roman" w:hAnsi="Times New Roman" w:cs="Times New Roman"/>
          <w:sz w:val="24"/>
          <w:szCs w:val="24"/>
        </w:rPr>
        <w:t xml:space="preserve"> </w:t>
      </w:r>
      <w:r w:rsidR="005A330F" w:rsidRPr="00DD5A7A">
        <w:rPr>
          <w:rFonts w:ascii="Times New Roman" w:hAnsi="Times New Roman" w:cs="Times New Roman"/>
          <w:sz w:val="24"/>
          <w:szCs w:val="24"/>
        </w:rPr>
        <w:t>(</w:t>
      </w:r>
      <w:proofErr w:type="spellStart"/>
      <w:r w:rsidR="005A330F" w:rsidRPr="00DD5A7A">
        <w:rPr>
          <w:rFonts w:ascii="Times New Roman" w:hAnsi="Times New Roman" w:cs="Times New Roman"/>
          <w:sz w:val="24"/>
          <w:szCs w:val="24"/>
        </w:rPr>
        <w:t>Squintani</w:t>
      </w:r>
      <w:proofErr w:type="spellEnd"/>
      <w:r w:rsidR="005A330F" w:rsidRPr="00DD5A7A">
        <w:rPr>
          <w:rFonts w:ascii="Times New Roman" w:hAnsi="Times New Roman" w:cs="Times New Roman"/>
          <w:sz w:val="24"/>
          <w:szCs w:val="24"/>
        </w:rPr>
        <w:t xml:space="preserve"> &amp; </w:t>
      </w:r>
      <w:proofErr w:type="spellStart"/>
      <w:r w:rsidR="005A330F" w:rsidRPr="00DD5A7A">
        <w:rPr>
          <w:rFonts w:ascii="Times New Roman" w:hAnsi="Times New Roman" w:cs="Times New Roman"/>
          <w:sz w:val="24"/>
          <w:szCs w:val="24"/>
        </w:rPr>
        <w:t>Lindeboom</w:t>
      </w:r>
      <w:proofErr w:type="spellEnd"/>
      <w:r w:rsidR="005A330F" w:rsidRPr="00DD5A7A">
        <w:rPr>
          <w:rFonts w:ascii="Times New Roman" w:hAnsi="Times New Roman" w:cs="Times New Roman"/>
          <w:sz w:val="24"/>
          <w:szCs w:val="24"/>
        </w:rPr>
        <w:t>, 2019)</w:t>
      </w:r>
      <w:r w:rsidRPr="00DD5A7A">
        <w:rPr>
          <w:rFonts w:ascii="Times New Roman" w:hAnsi="Times New Roman" w:cs="Times New Roman"/>
          <w:sz w:val="24"/>
          <w:szCs w:val="24"/>
        </w:rPr>
        <w:t xml:space="preserve">. In </w:t>
      </w:r>
      <w:r w:rsidR="005E6C36" w:rsidRPr="00DD5A7A">
        <w:rPr>
          <w:rFonts w:ascii="Times New Roman" w:hAnsi="Times New Roman" w:cs="Times New Roman"/>
          <w:sz w:val="24"/>
          <w:szCs w:val="24"/>
        </w:rPr>
        <w:t>effect,</w:t>
      </w:r>
      <w:r w:rsidRPr="00DD5A7A">
        <w:rPr>
          <w:rFonts w:ascii="Times New Roman" w:hAnsi="Times New Roman" w:cs="Times New Roman"/>
          <w:sz w:val="24"/>
          <w:szCs w:val="24"/>
        </w:rPr>
        <w:t xml:space="preserve"> this implies that if a natural person </w:t>
      </w:r>
      <w:proofErr w:type="gramStart"/>
      <w:r w:rsidRPr="00DD5A7A">
        <w:rPr>
          <w:rFonts w:ascii="Times New Roman" w:hAnsi="Times New Roman" w:cs="Times New Roman"/>
          <w:sz w:val="24"/>
          <w:szCs w:val="24"/>
        </w:rPr>
        <w:t>has to</w:t>
      </w:r>
      <w:proofErr w:type="gramEnd"/>
      <w:r w:rsidRPr="00DD5A7A">
        <w:rPr>
          <w:rFonts w:ascii="Times New Roman" w:hAnsi="Times New Roman" w:cs="Times New Roman"/>
          <w:sz w:val="24"/>
          <w:szCs w:val="24"/>
        </w:rPr>
        <w:t xml:space="preserve"> move to court to </w:t>
      </w:r>
      <w:r w:rsidR="005E6C36" w:rsidRPr="00DD5A7A">
        <w:rPr>
          <w:rFonts w:ascii="Times New Roman" w:hAnsi="Times New Roman" w:cs="Times New Roman"/>
          <w:sz w:val="24"/>
          <w:szCs w:val="24"/>
        </w:rPr>
        <w:t xml:space="preserve">pursue justice within the realm of direct effect principle, they must satisfy the elements that were established in the case. The case, </w:t>
      </w:r>
      <w:proofErr w:type="gramStart"/>
      <w:r w:rsidR="005E6C36" w:rsidRPr="00DD5A7A">
        <w:rPr>
          <w:rFonts w:ascii="Times New Roman" w:hAnsi="Times New Roman" w:cs="Times New Roman"/>
          <w:sz w:val="24"/>
          <w:szCs w:val="24"/>
        </w:rPr>
        <w:t>however</w:t>
      </w:r>
      <w:proofErr w:type="gramEnd"/>
      <w:r w:rsidR="005E6C36" w:rsidRPr="00DD5A7A">
        <w:rPr>
          <w:rFonts w:ascii="Times New Roman" w:hAnsi="Times New Roman" w:cs="Times New Roman"/>
          <w:sz w:val="24"/>
          <w:szCs w:val="24"/>
        </w:rPr>
        <w:t xml:space="preserve"> did not elaborate on whether principle of direct effect applies when the dispute at hand involves two natural persons as opposed to a dispute that involves a natural person on one hand and the state on the other hand. </w:t>
      </w:r>
    </w:p>
    <w:p w14:paraId="297CDB6F" w14:textId="7F56EA97" w:rsidR="005E6C36" w:rsidRPr="00DD5A7A" w:rsidRDefault="005E6C36"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 xml:space="preserve">In </w:t>
      </w:r>
      <w:r w:rsidR="002F066B" w:rsidRPr="00DD5A7A">
        <w:rPr>
          <w:rFonts w:ascii="Times New Roman" w:hAnsi="Times New Roman" w:cs="Times New Roman"/>
          <w:sz w:val="24"/>
          <w:szCs w:val="24"/>
        </w:rPr>
        <w:t>a bid</w:t>
      </w:r>
      <w:r w:rsidRPr="00DD5A7A">
        <w:rPr>
          <w:rFonts w:ascii="Times New Roman" w:hAnsi="Times New Roman" w:cs="Times New Roman"/>
          <w:sz w:val="24"/>
          <w:szCs w:val="24"/>
        </w:rPr>
        <w:t xml:space="preserve"> to expand the </w:t>
      </w:r>
      <w:r w:rsidR="002F066B" w:rsidRPr="00DD5A7A">
        <w:rPr>
          <w:rFonts w:ascii="Times New Roman" w:hAnsi="Times New Roman" w:cs="Times New Roman"/>
          <w:sz w:val="24"/>
          <w:szCs w:val="24"/>
        </w:rPr>
        <w:t>applicability</w:t>
      </w:r>
      <w:r w:rsidRPr="00DD5A7A">
        <w:rPr>
          <w:rFonts w:ascii="Times New Roman" w:hAnsi="Times New Roman" w:cs="Times New Roman"/>
          <w:sz w:val="24"/>
          <w:szCs w:val="24"/>
        </w:rPr>
        <w:t xml:space="preserve"> of direct effect principle the court in </w:t>
      </w:r>
      <w:proofErr w:type="spellStart"/>
      <w:r w:rsidRPr="00DD5A7A">
        <w:rPr>
          <w:rFonts w:ascii="Times New Roman" w:hAnsi="Times New Roman" w:cs="Times New Roman"/>
          <w:sz w:val="24"/>
          <w:szCs w:val="24"/>
        </w:rPr>
        <w:t>Defrenne</w:t>
      </w:r>
      <w:proofErr w:type="spellEnd"/>
      <w:r w:rsidRPr="00DD5A7A">
        <w:rPr>
          <w:rFonts w:ascii="Times New Roman" w:hAnsi="Times New Roman" w:cs="Times New Roman"/>
          <w:sz w:val="24"/>
          <w:szCs w:val="24"/>
        </w:rPr>
        <w:t xml:space="preserve"> v. SABENA (No. 2[1976]</w:t>
      </w:r>
      <w:r w:rsidR="00A30091" w:rsidRPr="00DD5A7A">
        <w:rPr>
          <w:rFonts w:ascii="Times New Roman" w:hAnsi="Times New Roman" w:cs="Times New Roman"/>
          <w:sz w:val="24"/>
          <w:szCs w:val="24"/>
        </w:rPr>
        <w:t xml:space="preserve">. In the said case the court noted that, </w:t>
      </w:r>
      <w:r w:rsidR="00A30091" w:rsidRPr="00DD5A7A">
        <w:rPr>
          <w:rFonts w:ascii="Times New Roman" w:hAnsi="Times New Roman" w:cs="Times New Roman"/>
          <w:i/>
          <w:iCs/>
          <w:sz w:val="24"/>
          <w:szCs w:val="24"/>
        </w:rPr>
        <w:t xml:space="preserve">“This aim is accentuated by the insertion of article 119 into the body of a charter devoted to social policy whose preliminary provision, article 117, marks, 'the need to promote improved working conditions and an improved standard of living for workers, so as to make possible their harmonization while the </w:t>
      </w:r>
      <w:r w:rsidR="0080124F" w:rsidRPr="00DD5A7A">
        <w:rPr>
          <w:rFonts w:ascii="Times New Roman" w:hAnsi="Times New Roman" w:cs="Times New Roman"/>
          <w:i/>
          <w:iCs/>
          <w:sz w:val="24"/>
          <w:szCs w:val="24"/>
        </w:rPr>
        <w:t>improvement is being maintained</w:t>
      </w:r>
      <w:r w:rsidR="00A30091" w:rsidRPr="00DD5A7A">
        <w:rPr>
          <w:rFonts w:ascii="Times New Roman" w:hAnsi="Times New Roman" w:cs="Times New Roman"/>
          <w:i/>
          <w:iCs/>
          <w:sz w:val="24"/>
          <w:szCs w:val="24"/>
        </w:rPr>
        <w:t>.</w:t>
      </w:r>
      <w:r w:rsidR="0080124F" w:rsidRPr="00DD5A7A">
        <w:rPr>
          <w:rFonts w:ascii="Times New Roman" w:hAnsi="Times New Roman" w:cs="Times New Roman"/>
          <w:i/>
          <w:iCs/>
          <w:sz w:val="24"/>
          <w:szCs w:val="24"/>
        </w:rPr>
        <w:t>”</w:t>
      </w:r>
      <w:r w:rsidR="00A30091" w:rsidRPr="00DD5A7A">
        <w:rPr>
          <w:rFonts w:ascii="Times New Roman" w:hAnsi="Times New Roman" w:cs="Times New Roman"/>
          <w:sz w:val="24"/>
          <w:szCs w:val="24"/>
        </w:rPr>
        <w:t xml:space="preserve"> This paved way for the terms </w:t>
      </w:r>
      <w:r w:rsidR="002F066B" w:rsidRPr="00DD5A7A">
        <w:rPr>
          <w:rFonts w:ascii="Times New Roman" w:hAnsi="Times New Roman" w:cs="Times New Roman"/>
          <w:sz w:val="24"/>
          <w:szCs w:val="24"/>
        </w:rPr>
        <w:t>horizontal</w:t>
      </w:r>
      <w:r w:rsidR="00A30091" w:rsidRPr="00DD5A7A">
        <w:rPr>
          <w:rFonts w:ascii="Times New Roman" w:hAnsi="Times New Roman" w:cs="Times New Roman"/>
          <w:sz w:val="24"/>
          <w:szCs w:val="24"/>
        </w:rPr>
        <w:t xml:space="preserve"> and vertical </w:t>
      </w:r>
      <w:r w:rsidR="002F066B" w:rsidRPr="00DD5A7A">
        <w:rPr>
          <w:rFonts w:ascii="Times New Roman" w:hAnsi="Times New Roman" w:cs="Times New Roman"/>
          <w:sz w:val="24"/>
          <w:szCs w:val="24"/>
        </w:rPr>
        <w:t>direct</w:t>
      </w:r>
      <w:r w:rsidR="00A30091" w:rsidRPr="00DD5A7A">
        <w:rPr>
          <w:rFonts w:ascii="Times New Roman" w:hAnsi="Times New Roman" w:cs="Times New Roman"/>
          <w:sz w:val="24"/>
          <w:szCs w:val="24"/>
        </w:rPr>
        <w:t xml:space="preserve"> effect. On </w:t>
      </w:r>
      <w:r w:rsidR="002F066B" w:rsidRPr="00DD5A7A">
        <w:rPr>
          <w:rFonts w:ascii="Times New Roman" w:hAnsi="Times New Roman" w:cs="Times New Roman"/>
          <w:sz w:val="24"/>
          <w:szCs w:val="24"/>
        </w:rPr>
        <w:t>its</w:t>
      </w:r>
      <w:r w:rsidR="00A30091" w:rsidRPr="00DD5A7A">
        <w:rPr>
          <w:rFonts w:ascii="Times New Roman" w:hAnsi="Times New Roman" w:cs="Times New Roman"/>
          <w:sz w:val="24"/>
          <w:szCs w:val="24"/>
        </w:rPr>
        <w:t xml:space="preserve"> part, </w:t>
      </w:r>
      <w:r w:rsidR="002F066B" w:rsidRPr="00DD5A7A">
        <w:rPr>
          <w:rFonts w:ascii="Times New Roman" w:hAnsi="Times New Roman" w:cs="Times New Roman"/>
          <w:sz w:val="24"/>
          <w:szCs w:val="24"/>
        </w:rPr>
        <w:t>horizontal</w:t>
      </w:r>
      <w:r w:rsidR="00A30091" w:rsidRPr="00DD5A7A">
        <w:rPr>
          <w:rFonts w:ascii="Times New Roman" w:hAnsi="Times New Roman" w:cs="Times New Roman"/>
          <w:sz w:val="24"/>
          <w:szCs w:val="24"/>
        </w:rPr>
        <w:t xml:space="preserve"> direct effect deals with the relationship between natural legal </w:t>
      </w:r>
      <w:r w:rsidR="00A30091" w:rsidRPr="00DD5A7A">
        <w:rPr>
          <w:rFonts w:ascii="Times New Roman" w:hAnsi="Times New Roman" w:cs="Times New Roman"/>
          <w:sz w:val="24"/>
          <w:szCs w:val="24"/>
        </w:rPr>
        <w:lastRenderedPageBreak/>
        <w:t xml:space="preserve">persons who are inclusive of business entities such as companies. This implies that if two </w:t>
      </w:r>
      <w:r w:rsidR="002F066B" w:rsidRPr="00DD5A7A">
        <w:rPr>
          <w:rFonts w:ascii="Times New Roman" w:hAnsi="Times New Roman" w:cs="Times New Roman"/>
          <w:sz w:val="24"/>
          <w:szCs w:val="24"/>
        </w:rPr>
        <w:t>individuals</w:t>
      </w:r>
      <w:r w:rsidR="00A30091" w:rsidRPr="00DD5A7A">
        <w:rPr>
          <w:rFonts w:ascii="Times New Roman" w:hAnsi="Times New Roman" w:cs="Times New Roman"/>
          <w:sz w:val="24"/>
          <w:szCs w:val="24"/>
        </w:rPr>
        <w:t xml:space="preserve"> are in conflict then they can rely on the </w:t>
      </w:r>
      <w:r w:rsidR="002F066B" w:rsidRPr="00DD5A7A">
        <w:rPr>
          <w:rFonts w:ascii="Times New Roman" w:hAnsi="Times New Roman" w:cs="Times New Roman"/>
          <w:sz w:val="24"/>
          <w:szCs w:val="24"/>
        </w:rPr>
        <w:t>principle</w:t>
      </w:r>
      <w:r w:rsidR="00A30091" w:rsidRPr="00DD5A7A">
        <w:rPr>
          <w:rFonts w:ascii="Times New Roman" w:hAnsi="Times New Roman" w:cs="Times New Roman"/>
          <w:sz w:val="24"/>
          <w:szCs w:val="24"/>
        </w:rPr>
        <w:t xml:space="preserve"> of direct effect for them to </w:t>
      </w:r>
      <w:r w:rsidR="002F066B" w:rsidRPr="00DD5A7A">
        <w:rPr>
          <w:rFonts w:ascii="Times New Roman" w:hAnsi="Times New Roman" w:cs="Times New Roman"/>
          <w:sz w:val="24"/>
          <w:szCs w:val="24"/>
        </w:rPr>
        <w:t>realize</w:t>
      </w:r>
      <w:r w:rsidR="00A30091" w:rsidRPr="00DD5A7A">
        <w:rPr>
          <w:rFonts w:ascii="Times New Roman" w:hAnsi="Times New Roman" w:cs="Times New Roman"/>
          <w:sz w:val="24"/>
          <w:szCs w:val="24"/>
        </w:rPr>
        <w:t xml:space="preserve"> their rights. However, on the other hand vertical direct effect deals with relationship that exists between European Union law and the national law</w:t>
      </w:r>
      <w:r w:rsidR="006B5F58" w:rsidRPr="00DD5A7A">
        <w:rPr>
          <w:rFonts w:ascii="Times New Roman" w:hAnsi="Times New Roman" w:cs="Times New Roman"/>
          <w:sz w:val="24"/>
          <w:szCs w:val="24"/>
        </w:rPr>
        <w:t xml:space="preserve"> as indicated in Van </w:t>
      </w:r>
      <w:proofErr w:type="spellStart"/>
      <w:r w:rsidR="006B5F58" w:rsidRPr="00DD5A7A">
        <w:rPr>
          <w:rFonts w:ascii="Times New Roman" w:hAnsi="Times New Roman" w:cs="Times New Roman"/>
          <w:sz w:val="24"/>
          <w:szCs w:val="24"/>
        </w:rPr>
        <w:t>Duyn</w:t>
      </w:r>
      <w:proofErr w:type="spellEnd"/>
      <w:r w:rsidR="006B5F58" w:rsidRPr="00DD5A7A">
        <w:rPr>
          <w:rFonts w:ascii="Times New Roman" w:hAnsi="Times New Roman" w:cs="Times New Roman"/>
          <w:sz w:val="24"/>
          <w:szCs w:val="24"/>
        </w:rPr>
        <w:t xml:space="preserve"> v</w:t>
      </w:r>
      <w:r w:rsidR="0080124F" w:rsidRPr="00DD5A7A">
        <w:rPr>
          <w:rFonts w:ascii="Times New Roman" w:hAnsi="Times New Roman" w:cs="Times New Roman"/>
          <w:sz w:val="24"/>
          <w:szCs w:val="24"/>
        </w:rPr>
        <w:t>.</w:t>
      </w:r>
      <w:r w:rsidR="006B5F58" w:rsidRPr="00DD5A7A">
        <w:rPr>
          <w:rFonts w:ascii="Times New Roman" w:hAnsi="Times New Roman" w:cs="Times New Roman"/>
          <w:sz w:val="24"/>
          <w:szCs w:val="24"/>
        </w:rPr>
        <w:t xml:space="preserve"> Home Office [1974]</w:t>
      </w:r>
      <w:r w:rsidR="00A30091" w:rsidRPr="00DD5A7A">
        <w:rPr>
          <w:rFonts w:ascii="Times New Roman" w:hAnsi="Times New Roman" w:cs="Times New Roman"/>
          <w:sz w:val="24"/>
          <w:szCs w:val="24"/>
        </w:rPr>
        <w:t xml:space="preserve">. In specific </w:t>
      </w:r>
      <w:proofErr w:type="gramStart"/>
      <w:r w:rsidR="00A30091" w:rsidRPr="00DD5A7A">
        <w:rPr>
          <w:rFonts w:ascii="Times New Roman" w:hAnsi="Times New Roman" w:cs="Times New Roman"/>
          <w:sz w:val="24"/>
          <w:szCs w:val="24"/>
        </w:rPr>
        <w:t>this deals</w:t>
      </w:r>
      <w:proofErr w:type="gramEnd"/>
      <w:r w:rsidR="00A30091" w:rsidRPr="00DD5A7A">
        <w:rPr>
          <w:rFonts w:ascii="Times New Roman" w:hAnsi="Times New Roman" w:cs="Times New Roman"/>
          <w:sz w:val="24"/>
          <w:szCs w:val="24"/>
        </w:rPr>
        <w:t xml:space="preserve"> with the duty of the </w:t>
      </w:r>
      <w:r w:rsidR="002F066B" w:rsidRPr="00DD5A7A">
        <w:rPr>
          <w:rFonts w:ascii="Times New Roman" w:hAnsi="Times New Roman" w:cs="Times New Roman"/>
          <w:sz w:val="24"/>
          <w:szCs w:val="24"/>
        </w:rPr>
        <w:t>state</w:t>
      </w:r>
      <w:r w:rsidR="00A30091" w:rsidRPr="00DD5A7A">
        <w:rPr>
          <w:rFonts w:ascii="Times New Roman" w:hAnsi="Times New Roman" w:cs="Times New Roman"/>
          <w:sz w:val="24"/>
          <w:szCs w:val="24"/>
        </w:rPr>
        <w:t xml:space="preserve"> to ensure that it acts in compliance with the provisions of the European Union law. This gives leeway for citizens to bring a course of action against the State whenever they are aggrieved. This gives rise to the concept of </w:t>
      </w:r>
      <w:r w:rsidR="002F066B" w:rsidRPr="00DD5A7A">
        <w:rPr>
          <w:rFonts w:ascii="Times New Roman" w:hAnsi="Times New Roman" w:cs="Times New Roman"/>
          <w:sz w:val="24"/>
          <w:szCs w:val="24"/>
        </w:rPr>
        <w:t>emanation</w:t>
      </w:r>
      <w:r w:rsidR="00A30091" w:rsidRPr="00DD5A7A">
        <w:rPr>
          <w:rFonts w:ascii="Times New Roman" w:hAnsi="Times New Roman" w:cs="Times New Roman"/>
          <w:sz w:val="24"/>
          <w:szCs w:val="24"/>
        </w:rPr>
        <w:t xml:space="preserve"> from state that was laid down in </w:t>
      </w:r>
      <w:proofErr w:type="gramStart"/>
      <w:r w:rsidR="002F066B" w:rsidRPr="00DD5A7A">
        <w:rPr>
          <w:rFonts w:ascii="Times New Roman" w:hAnsi="Times New Roman" w:cs="Times New Roman"/>
          <w:sz w:val="24"/>
          <w:szCs w:val="24"/>
        </w:rPr>
        <w:t>Foster</w:t>
      </w:r>
      <w:proofErr w:type="gramEnd"/>
      <w:r w:rsidR="002F066B" w:rsidRPr="00DD5A7A">
        <w:rPr>
          <w:rFonts w:ascii="Times New Roman" w:hAnsi="Times New Roman" w:cs="Times New Roman"/>
          <w:sz w:val="24"/>
          <w:szCs w:val="24"/>
        </w:rPr>
        <w:t xml:space="preserve"> v. British Gas plc.</w:t>
      </w:r>
      <w:r w:rsidR="0080124F" w:rsidRPr="00DD5A7A">
        <w:rPr>
          <w:rFonts w:ascii="Times New Roman" w:hAnsi="Times New Roman" w:cs="Times New Roman"/>
          <w:sz w:val="24"/>
          <w:szCs w:val="24"/>
        </w:rPr>
        <w:t xml:space="preserve"> </w:t>
      </w:r>
      <w:r w:rsidR="002F066B" w:rsidRPr="00DD5A7A">
        <w:rPr>
          <w:rFonts w:ascii="Times New Roman" w:hAnsi="Times New Roman" w:cs="Times New Roman"/>
          <w:sz w:val="24"/>
          <w:szCs w:val="24"/>
        </w:rPr>
        <w:t xml:space="preserve">[1990]. This serves to give leeway to natural persons to sue state whenever they are aggrieved. </w:t>
      </w:r>
    </w:p>
    <w:p w14:paraId="24B00CDF" w14:textId="56F1F0C7" w:rsidR="002F066B" w:rsidRPr="00DD5A7A" w:rsidRDefault="002F066B"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 xml:space="preserve">Article 288 TFEU provides that regulations, </w:t>
      </w:r>
      <w:r w:rsidRPr="00DD5A7A">
        <w:rPr>
          <w:rFonts w:ascii="Times New Roman" w:hAnsi="Times New Roman" w:cs="Times New Roman"/>
          <w:iCs/>
          <w:sz w:val="24"/>
          <w:szCs w:val="24"/>
        </w:rPr>
        <w:t xml:space="preserve">"Shall be binding in its entirety </w:t>
      </w:r>
      <w:r w:rsidR="0080124F" w:rsidRPr="00DD5A7A">
        <w:rPr>
          <w:rFonts w:ascii="Times New Roman" w:hAnsi="Times New Roman" w:cs="Times New Roman"/>
          <w:iCs/>
          <w:sz w:val="24"/>
          <w:szCs w:val="24"/>
        </w:rPr>
        <w:t xml:space="preserve">and </w:t>
      </w:r>
      <w:r w:rsidRPr="00DD5A7A">
        <w:rPr>
          <w:rFonts w:ascii="Times New Roman" w:hAnsi="Times New Roman" w:cs="Times New Roman"/>
          <w:bCs/>
          <w:iCs/>
          <w:sz w:val="24"/>
          <w:szCs w:val="24"/>
        </w:rPr>
        <w:t>directly</w:t>
      </w:r>
      <w:r w:rsidR="0080124F" w:rsidRPr="00DD5A7A">
        <w:rPr>
          <w:rFonts w:ascii="Times New Roman" w:hAnsi="Times New Roman" w:cs="Times New Roman"/>
          <w:iCs/>
          <w:sz w:val="24"/>
          <w:szCs w:val="24"/>
        </w:rPr>
        <w:t xml:space="preserve"> </w:t>
      </w:r>
      <w:r w:rsidRPr="00DD5A7A">
        <w:rPr>
          <w:rFonts w:ascii="Times New Roman" w:hAnsi="Times New Roman" w:cs="Times New Roman"/>
          <w:iCs/>
          <w:sz w:val="24"/>
          <w:szCs w:val="24"/>
        </w:rPr>
        <w:t>applicable in all Member States</w:t>
      </w:r>
      <w:r w:rsidR="0080124F" w:rsidRPr="00DD5A7A">
        <w:rPr>
          <w:rFonts w:ascii="Times New Roman" w:hAnsi="Times New Roman" w:cs="Times New Roman"/>
          <w:iCs/>
          <w:sz w:val="24"/>
          <w:szCs w:val="24"/>
        </w:rPr>
        <w:t>.</w:t>
      </w:r>
      <w:r w:rsidRPr="00DD5A7A">
        <w:rPr>
          <w:rFonts w:ascii="Times New Roman" w:hAnsi="Times New Roman" w:cs="Times New Roman"/>
          <w:iCs/>
          <w:sz w:val="24"/>
          <w:szCs w:val="24"/>
        </w:rPr>
        <w:t>"</w:t>
      </w:r>
      <w:r w:rsidRPr="00DD5A7A">
        <w:rPr>
          <w:rFonts w:ascii="Times New Roman" w:hAnsi="Times New Roman" w:cs="Times New Roman"/>
          <w:i/>
          <w:iCs/>
          <w:sz w:val="24"/>
          <w:szCs w:val="24"/>
        </w:rPr>
        <w:t> </w:t>
      </w:r>
      <w:r w:rsidRPr="00DD5A7A">
        <w:rPr>
          <w:rFonts w:ascii="Times New Roman" w:hAnsi="Times New Roman" w:cs="Times New Roman"/>
          <w:sz w:val="24"/>
          <w:szCs w:val="24"/>
        </w:rPr>
        <w:t xml:space="preserve">In effect, this implies that natural persons can rely on the principle of direct effect if the States that have </w:t>
      </w:r>
      <w:r w:rsidR="00F46157" w:rsidRPr="00DD5A7A">
        <w:rPr>
          <w:rFonts w:ascii="Times New Roman" w:hAnsi="Times New Roman" w:cs="Times New Roman"/>
          <w:sz w:val="24"/>
          <w:szCs w:val="24"/>
        </w:rPr>
        <w:t>aggrieved</w:t>
      </w:r>
      <w:r w:rsidRPr="00DD5A7A">
        <w:rPr>
          <w:rFonts w:ascii="Times New Roman" w:hAnsi="Times New Roman" w:cs="Times New Roman"/>
          <w:sz w:val="24"/>
          <w:szCs w:val="24"/>
        </w:rPr>
        <w:t xml:space="preserve"> them has </w:t>
      </w:r>
      <w:r w:rsidR="00F46157" w:rsidRPr="00DD5A7A">
        <w:rPr>
          <w:rFonts w:ascii="Times New Roman" w:hAnsi="Times New Roman" w:cs="Times New Roman"/>
          <w:sz w:val="24"/>
          <w:szCs w:val="24"/>
        </w:rPr>
        <w:t>aligned</w:t>
      </w:r>
      <w:r w:rsidRPr="00DD5A7A">
        <w:rPr>
          <w:rFonts w:ascii="Times New Roman" w:hAnsi="Times New Roman" w:cs="Times New Roman"/>
          <w:sz w:val="24"/>
          <w:szCs w:val="24"/>
        </w:rPr>
        <w:t xml:space="preserve"> with the provisions of TFEU. Secondly, the principle of direct effect is applicable in the </w:t>
      </w:r>
      <w:r w:rsidR="00F46157" w:rsidRPr="00DD5A7A">
        <w:rPr>
          <w:rFonts w:ascii="Times New Roman" w:hAnsi="Times New Roman" w:cs="Times New Roman"/>
          <w:sz w:val="24"/>
          <w:szCs w:val="24"/>
        </w:rPr>
        <w:t>instances</w:t>
      </w:r>
      <w:r w:rsidRPr="00DD5A7A">
        <w:rPr>
          <w:rFonts w:ascii="Times New Roman" w:hAnsi="Times New Roman" w:cs="Times New Roman"/>
          <w:sz w:val="24"/>
          <w:szCs w:val="24"/>
        </w:rPr>
        <w:t xml:space="preserve"> where </w:t>
      </w:r>
      <w:r w:rsidR="00F46157" w:rsidRPr="00DD5A7A">
        <w:rPr>
          <w:rFonts w:ascii="Times New Roman" w:hAnsi="Times New Roman" w:cs="Times New Roman"/>
          <w:sz w:val="24"/>
          <w:szCs w:val="24"/>
        </w:rPr>
        <w:t>there exists a treaty provision that provides that the natural person can rely on the principle of direct effect as they desire. There are several court cases that have attempted to elaborate on the various instances when direct effect can apply for natural persons seeking to enforce their rights</w:t>
      </w:r>
      <w:r w:rsidR="005A330F" w:rsidRPr="00DD5A7A">
        <w:rPr>
          <w:rFonts w:ascii="Times New Roman" w:hAnsi="Times New Roman" w:cs="Times New Roman"/>
          <w:sz w:val="24"/>
          <w:szCs w:val="24"/>
        </w:rPr>
        <w:t xml:space="preserve"> (Butler &amp; </w:t>
      </w:r>
      <w:proofErr w:type="spellStart"/>
      <w:r w:rsidR="005A330F" w:rsidRPr="00DD5A7A">
        <w:rPr>
          <w:rFonts w:ascii="Times New Roman" w:hAnsi="Times New Roman" w:cs="Times New Roman"/>
          <w:sz w:val="24"/>
          <w:szCs w:val="24"/>
        </w:rPr>
        <w:t>Meling</w:t>
      </w:r>
      <w:proofErr w:type="spellEnd"/>
      <w:r w:rsidR="005A330F" w:rsidRPr="00DD5A7A">
        <w:rPr>
          <w:rFonts w:ascii="Times New Roman" w:hAnsi="Times New Roman" w:cs="Times New Roman"/>
          <w:sz w:val="24"/>
          <w:szCs w:val="24"/>
        </w:rPr>
        <w:t>, 2019)</w:t>
      </w:r>
      <w:r w:rsidR="00F46157" w:rsidRPr="00DD5A7A">
        <w:rPr>
          <w:rFonts w:ascii="Times New Roman" w:hAnsi="Times New Roman" w:cs="Times New Roman"/>
          <w:sz w:val="24"/>
          <w:szCs w:val="24"/>
        </w:rPr>
        <w:t>. The court in Case C 253/00 Munoz [20002] ECR I-7289 noted that, “</w:t>
      </w:r>
      <w:r w:rsidR="00F46157" w:rsidRPr="00DD5A7A">
        <w:rPr>
          <w:rFonts w:ascii="Times New Roman" w:hAnsi="Times New Roman" w:cs="Times New Roman"/>
          <w:i/>
          <w:iCs/>
          <w:sz w:val="24"/>
          <w:szCs w:val="24"/>
        </w:rPr>
        <w:t>Pursuant to the second subparagraph of Article 189 of the EC Treaty (now the second subparagraph of Article 249 EC) regulations have general application and are directly applicable in all Member States. Accordingly, owing to their very nature and their place in the system of sources of Community law, regulations operate to confer rights on individuals which the national courts have a duty to protect</w:t>
      </w:r>
      <w:r w:rsidR="0080124F" w:rsidRPr="00DD5A7A">
        <w:rPr>
          <w:rFonts w:ascii="Times New Roman" w:hAnsi="Times New Roman" w:cs="Times New Roman"/>
          <w:i/>
          <w:iCs/>
          <w:sz w:val="24"/>
          <w:szCs w:val="24"/>
        </w:rPr>
        <w:t>.</w:t>
      </w:r>
      <w:r w:rsidR="00F46157" w:rsidRPr="00DD5A7A">
        <w:rPr>
          <w:rFonts w:ascii="Times New Roman" w:hAnsi="Times New Roman" w:cs="Times New Roman"/>
          <w:i/>
          <w:iCs/>
          <w:sz w:val="24"/>
          <w:szCs w:val="24"/>
        </w:rPr>
        <w:t xml:space="preserve">” </w:t>
      </w:r>
      <w:r w:rsidR="00F46157" w:rsidRPr="00DD5A7A">
        <w:rPr>
          <w:rFonts w:ascii="Times New Roman" w:hAnsi="Times New Roman" w:cs="Times New Roman"/>
          <w:sz w:val="24"/>
          <w:szCs w:val="24"/>
        </w:rPr>
        <w:t xml:space="preserve">This is an </w:t>
      </w:r>
      <w:r w:rsidR="006B5F58" w:rsidRPr="00DD5A7A">
        <w:rPr>
          <w:rFonts w:ascii="Times New Roman" w:hAnsi="Times New Roman" w:cs="Times New Roman"/>
          <w:sz w:val="24"/>
          <w:szCs w:val="24"/>
        </w:rPr>
        <w:t>indication</w:t>
      </w:r>
      <w:r w:rsidR="00F46157" w:rsidRPr="00DD5A7A">
        <w:rPr>
          <w:rFonts w:ascii="Times New Roman" w:hAnsi="Times New Roman" w:cs="Times New Roman"/>
          <w:sz w:val="24"/>
          <w:szCs w:val="24"/>
        </w:rPr>
        <w:t xml:space="preserve"> that natural</w:t>
      </w:r>
      <w:r w:rsidR="006B5F58" w:rsidRPr="00DD5A7A">
        <w:rPr>
          <w:rFonts w:ascii="Times New Roman" w:hAnsi="Times New Roman" w:cs="Times New Roman"/>
          <w:sz w:val="24"/>
          <w:szCs w:val="24"/>
        </w:rPr>
        <w:t xml:space="preserve"> </w:t>
      </w:r>
      <w:r w:rsidR="00F46157" w:rsidRPr="00DD5A7A">
        <w:rPr>
          <w:rFonts w:ascii="Times New Roman" w:hAnsi="Times New Roman" w:cs="Times New Roman"/>
          <w:sz w:val="24"/>
          <w:szCs w:val="24"/>
        </w:rPr>
        <w:t xml:space="preserve">persons can invoke the provisions of </w:t>
      </w:r>
      <w:r w:rsidR="00F46157" w:rsidRPr="00DD5A7A">
        <w:rPr>
          <w:rFonts w:ascii="Times New Roman" w:hAnsi="Times New Roman" w:cs="Times New Roman"/>
          <w:sz w:val="24"/>
          <w:szCs w:val="24"/>
        </w:rPr>
        <w:lastRenderedPageBreak/>
        <w:t xml:space="preserve">direct effect as long as it is applicable to do </w:t>
      </w:r>
      <w:proofErr w:type="gramStart"/>
      <w:r w:rsidR="00F46157" w:rsidRPr="00DD5A7A">
        <w:rPr>
          <w:rFonts w:ascii="Times New Roman" w:hAnsi="Times New Roman" w:cs="Times New Roman"/>
          <w:sz w:val="24"/>
          <w:szCs w:val="24"/>
        </w:rPr>
        <w:t>so</w:t>
      </w:r>
      <w:proofErr w:type="gramEnd"/>
      <w:r w:rsidR="00F46157" w:rsidRPr="00DD5A7A">
        <w:rPr>
          <w:rFonts w:ascii="Times New Roman" w:hAnsi="Times New Roman" w:cs="Times New Roman"/>
          <w:sz w:val="24"/>
          <w:szCs w:val="24"/>
        </w:rPr>
        <w:t xml:space="preserve"> and they are in </w:t>
      </w:r>
      <w:r w:rsidR="006B5F58" w:rsidRPr="00DD5A7A">
        <w:rPr>
          <w:rFonts w:ascii="Times New Roman" w:hAnsi="Times New Roman" w:cs="Times New Roman"/>
          <w:sz w:val="24"/>
          <w:szCs w:val="24"/>
        </w:rPr>
        <w:t>compliance</w:t>
      </w:r>
      <w:r w:rsidR="00F46157" w:rsidRPr="00DD5A7A">
        <w:rPr>
          <w:rFonts w:ascii="Times New Roman" w:hAnsi="Times New Roman" w:cs="Times New Roman"/>
          <w:sz w:val="24"/>
          <w:szCs w:val="24"/>
        </w:rPr>
        <w:t xml:space="preserve"> with the elem</w:t>
      </w:r>
      <w:r w:rsidR="006B5F58" w:rsidRPr="00DD5A7A">
        <w:rPr>
          <w:rFonts w:ascii="Times New Roman" w:hAnsi="Times New Roman" w:cs="Times New Roman"/>
          <w:sz w:val="24"/>
          <w:szCs w:val="24"/>
        </w:rPr>
        <w:t>en</w:t>
      </w:r>
      <w:r w:rsidR="00F46157" w:rsidRPr="00DD5A7A">
        <w:rPr>
          <w:rFonts w:ascii="Times New Roman" w:hAnsi="Times New Roman" w:cs="Times New Roman"/>
          <w:sz w:val="24"/>
          <w:szCs w:val="24"/>
        </w:rPr>
        <w:t xml:space="preserve">ts laid down in law. </w:t>
      </w:r>
    </w:p>
    <w:p w14:paraId="3700A126" w14:textId="2531FA08" w:rsidR="00256580" w:rsidRPr="00DD5A7A" w:rsidRDefault="006B5F58"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Indirect effect principle states that courts of the Member States must give interpretation to EU law in manner that is consistent with the provisions of EU law. This ought to happen even in the circumstances when doing so does have not have a direct effect</w:t>
      </w:r>
      <w:r w:rsidR="001846D1" w:rsidRPr="00DD5A7A">
        <w:rPr>
          <w:rFonts w:ascii="Times New Roman" w:hAnsi="Times New Roman" w:cs="Times New Roman"/>
          <w:sz w:val="24"/>
          <w:szCs w:val="24"/>
        </w:rPr>
        <w:t xml:space="preserve"> (</w:t>
      </w:r>
      <w:proofErr w:type="spellStart"/>
      <w:r w:rsidR="001846D1" w:rsidRPr="00DD5A7A">
        <w:rPr>
          <w:rFonts w:ascii="Times New Roman" w:hAnsi="Times New Roman" w:cs="Times New Roman"/>
          <w:sz w:val="24"/>
          <w:szCs w:val="24"/>
        </w:rPr>
        <w:t>Spittler</w:t>
      </w:r>
      <w:proofErr w:type="spellEnd"/>
      <w:r w:rsidR="001846D1" w:rsidRPr="00DD5A7A">
        <w:rPr>
          <w:rFonts w:ascii="Times New Roman" w:hAnsi="Times New Roman" w:cs="Times New Roman"/>
          <w:sz w:val="24"/>
          <w:szCs w:val="24"/>
        </w:rPr>
        <w:t>, 2018)</w:t>
      </w:r>
      <w:r w:rsidRPr="00DD5A7A">
        <w:rPr>
          <w:rFonts w:ascii="Times New Roman" w:hAnsi="Times New Roman" w:cs="Times New Roman"/>
          <w:sz w:val="24"/>
          <w:szCs w:val="24"/>
        </w:rPr>
        <w:t xml:space="preserve">. </w:t>
      </w:r>
      <w:r w:rsidR="00C127DB" w:rsidRPr="00DD5A7A">
        <w:rPr>
          <w:rFonts w:ascii="Times New Roman" w:hAnsi="Times New Roman" w:cs="Times New Roman"/>
          <w:sz w:val="24"/>
          <w:szCs w:val="24"/>
        </w:rPr>
        <w:t xml:space="preserve">It was established in the celebrated decision of </w:t>
      </w:r>
      <w:r w:rsidR="00C127DB" w:rsidRPr="00DD5A7A">
        <w:rPr>
          <w:rFonts w:ascii="Times New Roman" w:hAnsi="Times New Roman" w:cs="Times New Roman"/>
          <w:sz w:val="24"/>
          <w:szCs w:val="24"/>
          <w:lang w:val="it-IT"/>
        </w:rPr>
        <w:t>Von Colson [1984]</w:t>
      </w:r>
      <w:r w:rsidR="00C127DB" w:rsidRPr="00DD5A7A">
        <w:rPr>
          <w:rFonts w:ascii="Times New Roman" w:hAnsi="Times New Roman" w:cs="Times New Roman"/>
          <w:sz w:val="24"/>
          <w:szCs w:val="24"/>
        </w:rPr>
        <w:t xml:space="preserve">, where the court indicated that “national courts are required to interpret their national law in the light of the wording and the purpose of the Directive in order to achieve the result referred to in the third paragraph of Article 189.” It would later be extended in the decision of </w:t>
      </w:r>
      <w:proofErr w:type="spellStart"/>
      <w:r w:rsidR="00C127DB" w:rsidRPr="00DD5A7A">
        <w:rPr>
          <w:rFonts w:ascii="Times New Roman" w:hAnsi="Times New Roman" w:cs="Times New Roman"/>
          <w:i/>
          <w:iCs/>
          <w:sz w:val="24"/>
          <w:szCs w:val="24"/>
        </w:rPr>
        <w:t>Marleasing</w:t>
      </w:r>
      <w:proofErr w:type="spellEnd"/>
      <w:r w:rsidR="00C127DB" w:rsidRPr="00DD5A7A">
        <w:rPr>
          <w:rFonts w:ascii="Times New Roman" w:hAnsi="Times New Roman" w:cs="Times New Roman"/>
          <w:i/>
          <w:iCs/>
          <w:sz w:val="24"/>
          <w:szCs w:val="24"/>
        </w:rPr>
        <w:t xml:space="preserve"> v</w:t>
      </w:r>
      <w:r w:rsidR="0080124F" w:rsidRPr="00DD5A7A">
        <w:rPr>
          <w:rFonts w:ascii="Times New Roman" w:hAnsi="Times New Roman" w:cs="Times New Roman"/>
          <w:i/>
          <w:iCs/>
          <w:sz w:val="24"/>
          <w:szCs w:val="24"/>
        </w:rPr>
        <w:t>.</w:t>
      </w:r>
      <w:r w:rsidR="00C127DB" w:rsidRPr="00DD5A7A">
        <w:rPr>
          <w:rFonts w:ascii="Times New Roman" w:hAnsi="Times New Roman" w:cs="Times New Roman"/>
          <w:i/>
          <w:iCs/>
          <w:sz w:val="24"/>
          <w:szCs w:val="24"/>
        </w:rPr>
        <w:t xml:space="preserve"> La </w:t>
      </w:r>
      <w:proofErr w:type="spellStart"/>
      <w:r w:rsidR="00C127DB" w:rsidRPr="00DD5A7A">
        <w:rPr>
          <w:rFonts w:ascii="Times New Roman" w:hAnsi="Times New Roman" w:cs="Times New Roman"/>
          <w:i/>
          <w:iCs/>
          <w:sz w:val="24"/>
          <w:szCs w:val="24"/>
        </w:rPr>
        <w:t>Comercial</w:t>
      </w:r>
      <w:proofErr w:type="spellEnd"/>
      <w:r w:rsidR="00C127DB" w:rsidRPr="00DD5A7A">
        <w:rPr>
          <w:rFonts w:ascii="Times New Roman" w:hAnsi="Times New Roman" w:cs="Times New Roman"/>
          <w:i/>
          <w:iCs/>
          <w:sz w:val="24"/>
          <w:szCs w:val="24"/>
        </w:rPr>
        <w:t xml:space="preserve"> </w:t>
      </w:r>
      <w:proofErr w:type="spellStart"/>
      <w:r w:rsidR="00C127DB" w:rsidRPr="00DD5A7A">
        <w:rPr>
          <w:rFonts w:ascii="Times New Roman" w:hAnsi="Times New Roman" w:cs="Times New Roman"/>
          <w:i/>
          <w:iCs/>
          <w:sz w:val="24"/>
          <w:szCs w:val="24"/>
        </w:rPr>
        <w:t>Internacional</w:t>
      </w:r>
      <w:proofErr w:type="spellEnd"/>
      <w:r w:rsidR="00C127DB" w:rsidRPr="00DD5A7A">
        <w:rPr>
          <w:rFonts w:ascii="Times New Roman" w:hAnsi="Times New Roman" w:cs="Times New Roman"/>
          <w:i/>
          <w:iCs/>
          <w:sz w:val="24"/>
          <w:szCs w:val="24"/>
        </w:rPr>
        <w:t xml:space="preserve"> de </w:t>
      </w:r>
      <w:proofErr w:type="spellStart"/>
      <w:r w:rsidR="00C127DB" w:rsidRPr="00DD5A7A">
        <w:rPr>
          <w:rFonts w:ascii="Times New Roman" w:hAnsi="Times New Roman" w:cs="Times New Roman"/>
          <w:i/>
          <w:iCs/>
          <w:sz w:val="24"/>
          <w:szCs w:val="24"/>
        </w:rPr>
        <w:t>Alimentacion</w:t>
      </w:r>
      <w:proofErr w:type="spellEnd"/>
      <w:r w:rsidR="00B464A3" w:rsidRPr="00DD5A7A">
        <w:rPr>
          <w:rFonts w:ascii="Times New Roman" w:hAnsi="Times New Roman" w:cs="Times New Roman"/>
          <w:i/>
          <w:iCs/>
          <w:sz w:val="24"/>
          <w:szCs w:val="24"/>
        </w:rPr>
        <w:t xml:space="preserve"> </w:t>
      </w:r>
      <w:r w:rsidR="00C127DB" w:rsidRPr="00DD5A7A">
        <w:rPr>
          <w:rFonts w:ascii="Times New Roman" w:hAnsi="Times New Roman" w:cs="Times New Roman"/>
          <w:i/>
          <w:iCs/>
          <w:sz w:val="24"/>
          <w:szCs w:val="24"/>
        </w:rPr>
        <w:t>[1990]</w:t>
      </w:r>
      <w:r w:rsidR="00C127DB" w:rsidRPr="00DD5A7A">
        <w:rPr>
          <w:rFonts w:ascii="Times New Roman" w:hAnsi="Times New Roman" w:cs="Times New Roman"/>
          <w:sz w:val="24"/>
          <w:szCs w:val="24"/>
        </w:rPr>
        <w:t xml:space="preserve"> where the court opined that the application of the principle could be applied even in the situation where Member States are reluctant to have the doctrine in place. </w:t>
      </w:r>
      <w:r w:rsidR="00B464A3" w:rsidRPr="00DD5A7A">
        <w:rPr>
          <w:rFonts w:ascii="Times New Roman" w:hAnsi="Times New Roman" w:cs="Times New Roman"/>
          <w:sz w:val="24"/>
          <w:szCs w:val="24"/>
        </w:rPr>
        <w:t xml:space="preserve">The vital application of the principle is founded on the directives, recommendations and opinions that are shared in the court room. </w:t>
      </w:r>
      <w:r w:rsidR="00256580" w:rsidRPr="00DD5A7A">
        <w:rPr>
          <w:rFonts w:ascii="Times New Roman" w:hAnsi="Times New Roman" w:cs="Times New Roman"/>
          <w:sz w:val="24"/>
          <w:szCs w:val="24"/>
        </w:rPr>
        <w:t xml:space="preserve">Recommendation and opinions have legal effect as was elaborated in </w:t>
      </w:r>
      <w:r w:rsidR="00256580" w:rsidRPr="00DD5A7A">
        <w:rPr>
          <w:rFonts w:ascii="Times New Roman" w:hAnsi="Times New Roman" w:cs="Times New Roman"/>
          <w:i/>
          <w:iCs/>
          <w:sz w:val="24"/>
          <w:szCs w:val="24"/>
        </w:rPr>
        <w:t xml:space="preserve">Grimaldi v Fonds des Maladies </w:t>
      </w:r>
      <w:proofErr w:type="spellStart"/>
      <w:r w:rsidR="00256580" w:rsidRPr="00DD5A7A">
        <w:rPr>
          <w:rFonts w:ascii="Times New Roman" w:hAnsi="Times New Roman" w:cs="Times New Roman"/>
          <w:i/>
          <w:iCs/>
          <w:sz w:val="24"/>
          <w:szCs w:val="24"/>
        </w:rPr>
        <w:t>Professionnelles</w:t>
      </w:r>
      <w:proofErr w:type="spellEnd"/>
      <w:r w:rsidR="00256580" w:rsidRPr="00DD5A7A">
        <w:rPr>
          <w:rFonts w:ascii="Times New Roman" w:hAnsi="Times New Roman" w:cs="Times New Roman"/>
          <w:i/>
          <w:iCs/>
          <w:sz w:val="24"/>
          <w:szCs w:val="24"/>
        </w:rPr>
        <w:t xml:space="preserve"> [1998</w:t>
      </w:r>
      <w:r w:rsidR="0080124F" w:rsidRPr="00DD5A7A">
        <w:rPr>
          <w:rFonts w:ascii="Times New Roman" w:hAnsi="Times New Roman" w:cs="Times New Roman"/>
          <w:i/>
          <w:iCs/>
          <w:sz w:val="24"/>
          <w:szCs w:val="24"/>
        </w:rPr>
        <w:t>]</w:t>
      </w:r>
      <w:r w:rsidR="00256580" w:rsidRPr="00DD5A7A">
        <w:rPr>
          <w:rFonts w:ascii="Times New Roman" w:hAnsi="Times New Roman" w:cs="Times New Roman"/>
          <w:i/>
          <w:iCs/>
          <w:sz w:val="24"/>
          <w:szCs w:val="24"/>
        </w:rPr>
        <w:t>.</w:t>
      </w:r>
      <w:r w:rsidR="00256580" w:rsidRPr="00DD5A7A">
        <w:rPr>
          <w:rFonts w:ascii="Times New Roman" w:hAnsi="Times New Roman" w:cs="Times New Roman"/>
          <w:sz w:val="24"/>
          <w:szCs w:val="24"/>
        </w:rPr>
        <w:t xml:space="preserve"> This is a clear indication of the extent to which natural persons apply the indirect effect principle within the realm of the European Union law. </w:t>
      </w:r>
    </w:p>
    <w:p w14:paraId="34EC29D2" w14:textId="0951D036" w:rsidR="00256580" w:rsidRPr="00DD5A7A" w:rsidRDefault="00256580"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 xml:space="preserve">Member State liability is anchored on the assertion that Member States are supposed to create, </w:t>
      </w:r>
      <w:proofErr w:type="gramStart"/>
      <w:r w:rsidRPr="00DD5A7A">
        <w:rPr>
          <w:rFonts w:ascii="Times New Roman" w:hAnsi="Times New Roman" w:cs="Times New Roman"/>
          <w:sz w:val="24"/>
          <w:szCs w:val="24"/>
        </w:rPr>
        <w:t>implement</w:t>
      </w:r>
      <w:proofErr w:type="gramEnd"/>
      <w:r w:rsidRPr="00DD5A7A">
        <w:rPr>
          <w:rFonts w:ascii="Times New Roman" w:hAnsi="Times New Roman" w:cs="Times New Roman"/>
          <w:sz w:val="24"/>
          <w:szCs w:val="24"/>
        </w:rPr>
        <w:t xml:space="preserve"> and enforce the European Union law provisions. The Member State liability is premised under Article 258. </w:t>
      </w:r>
      <w:r w:rsidR="0041231E" w:rsidRPr="00DD5A7A">
        <w:rPr>
          <w:rFonts w:ascii="Times New Roman" w:hAnsi="Times New Roman" w:cs="Times New Roman"/>
          <w:sz w:val="24"/>
          <w:szCs w:val="24"/>
        </w:rPr>
        <w:t xml:space="preserve">The Article provides leeway for the Commission to file a suit before European Court of Justice seeking enforcement of compliance with the European Union law </w:t>
      </w:r>
      <w:proofErr w:type="gramStart"/>
      <w:r w:rsidR="0041231E" w:rsidRPr="00DD5A7A">
        <w:rPr>
          <w:rFonts w:ascii="Times New Roman" w:hAnsi="Times New Roman" w:cs="Times New Roman"/>
          <w:sz w:val="24"/>
          <w:szCs w:val="24"/>
        </w:rPr>
        <w:t>in the event that</w:t>
      </w:r>
      <w:proofErr w:type="gramEnd"/>
      <w:r w:rsidR="0041231E" w:rsidRPr="00DD5A7A">
        <w:rPr>
          <w:rFonts w:ascii="Times New Roman" w:hAnsi="Times New Roman" w:cs="Times New Roman"/>
          <w:sz w:val="24"/>
          <w:szCs w:val="24"/>
        </w:rPr>
        <w:t xml:space="preserve"> the Member State has failed to do so</w:t>
      </w:r>
      <w:r w:rsidR="0080124F" w:rsidRPr="00DD5A7A">
        <w:rPr>
          <w:rFonts w:ascii="Times New Roman" w:hAnsi="Times New Roman" w:cs="Times New Roman"/>
          <w:sz w:val="24"/>
          <w:szCs w:val="24"/>
        </w:rPr>
        <w:t xml:space="preserve"> </w:t>
      </w:r>
      <w:r w:rsidR="001846D1" w:rsidRPr="00DD5A7A">
        <w:rPr>
          <w:rFonts w:ascii="Times New Roman" w:hAnsi="Times New Roman" w:cs="Times New Roman"/>
          <w:sz w:val="24"/>
          <w:szCs w:val="24"/>
        </w:rPr>
        <w:t>(Muse, 2020)</w:t>
      </w:r>
      <w:r w:rsidR="0041231E" w:rsidRPr="00DD5A7A">
        <w:rPr>
          <w:rFonts w:ascii="Times New Roman" w:hAnsi="Times New Roman" w:cs="Times New Roman"/>
          <w:sz w:val="24"/>
          <w:szCs w:val="24"/>
        </w:rPr>
        <w:t xml:space="preserve">. The EU law is tailored in such a manner that it offers extensive provisions relating to rights of all citizens who fall within the jurisdiction of European Union. The enforcement is also possible in matters relating to </w:t>
      </w:r>
      <w:r w:rsidR="0041231E" w:rsidRPr="00DD5A7A">
        <w:rPr>
          <w:rFonts w:ascii="Times New Roman" w:hAnsi="Times New Roman" w:cs="Times New Roman"/>
          <w:sz w:val="24"/>
          <w:szCs w:val="24"/>
        </w:rPr>
        <w:lastRenderedPageBreak/>
        <w:t xml:space="preserve">competition law, free movement of goods and people related aspects, freedom of establishment, </w:t>
      </w:r>
      <w:r w:rsidR="000E69A3" w:rsidRPr="00DD5A7A">
        <w:rPr>
          <w:rFonts w:ascii="Times New Roman" w:hAnsi="Times New Roman" w:cs="Times New Roman"/>
          <w:sz w:val="24"/>
          <w:szCs w:val="24"/>
        </w:rPr>
        <w:t>freedom</w:t>
      </w:r>
      <w:r w:rsidR="0041231E" w:rsidRPr="00DD5A7A">
        <w:rPr>
          <w:rFonts w:ascii="Times New Roman" w:hAnsi="Times New Roman" w:cs="Times New Roman"/>
          <w:sz w:val="24"/>
          <w:szCs w:val="24"/>
        </w:rPr>
        <w:t xml:space="preserve"> to provision of services and discrimination </w:t>
      </w:r>
      <w:proofErr w:type="gramStart"/>
      <w:r w:rsidR="0041231E" w:rsidRPr="00DD5A7A">
        <w:rPr>
          <w:rFonts w:ascii="Times New Roman" w:hAnsi="Times New Roman" w:cs="Times New Roman"/>
          <w:sz w:val="24"/>
          <w:szCs w:val="24"/>
        </w:rPr>
        <w:t>on the basis of</w:t>
      </w:r>
      <w:proofErr w:type="gramEnd"/>
      <w:r w:rsidR="0041231E" w:rsidRPr="00DD5A7A">
        <w:rPr>
          <w:rFonts w:ascii="Times New Roman" w:hAnsi="Times New Roman" w:cs="Times New Roman"/>
          <w:sz w:val="24"/>
          <w:szCs w:val="24"/>
        </w:rPr>
        <w:t xml:space="preserve"> sex. It is expected that Member </w:t>
      </w:r>
      <w:r w:rsidR="000E69A3" w:rsidRPr="00DD5A7A">
        <w:rPr>
          <w:rFonts w:ascii="Times New Roman" w:hAnsi="Times New Roman" w:cs="Times New Roman"/>
          <w:sz w:val="24"/>
          <w:szCs w:val="24"/>
        </w:rPr>
        <w:t>States</w:t>
      </w:r>
      <w:r w:rsidR="0041231E" w:rsidRPr="00DD5A7A">
        <w:rPr>
          <w:rFonts w:ascii="Times New Roman" w:hAnsi="Times New Roman" w:cs="Times New Roman"/>
          <w:sz w:val="24"/>
          <w:szCs w:val="24"/>
        </w:rPr>
        <w:t xml:space="preserve"> shall comply with the provisions that relate to respect of these aspects within the EU law. </w:t>
      </w:r>
    </w:p>
    <w:p w14:paraId="02233985" w14:textId="1E2B50DE" w:rsidR="000E69A3" w:rsidRPr="00DD5A7A" w:rsidRDefault="000E69A3"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 xml:space="preserve">In the instances where natural persons suffer from violations of law, it is expected that they will be able to enforce their rights under the provisions that are made under the provisions of TFEU and TEU. The doctrine was developed in Andrea Francovich and Others v. Italian </w:t>
      </w:r>
      <w:r w:rsidR="007A72C3" w:rsidRPr="00DD5A7A">
        <w:rPr>
          <w:rFonts w:ascii="Times New Roman" w:hAnsi="Times New Roman" w:cs="Times New Roman"/>
          <w:sz w:val="24"/>
          <w:szCs w:val="24"/>
        </w:rPr>
        <w:t>Republic [</w:t>
      </w:r>
      <w:r w:rsidRPr="00DD5A7A">
        <w:rPr>
          <w:rFonts w:ascii="Times New Roman" w:hAnsi="Times New Roman" w:cs="Times New Roman"/>
          <w:sz w:val="24"/>
          <w:szCs w:val="24"/>
        </w:rPr>
        <w:t xml:space="preserve">1991]. This is the case that led to the establishment of the principle </w:t>
      </w:r>
      <w:r w:rsidR="007A72C3" w:rsidRPr="00DD5A7A">
        <w:rPr>
          <w:rFonts w:ascii="Times New Roman" w:hAnsi="Times New Roman" w:cs="Times New Roman"/>
          <w:sz w:val="24"/>
          <w:szCs w:val="24"/>
        </w:rPr>
        <w:t>that is</w:t>
      </w:r>
      <w:r w:rsidRPr="00DD5A7A">
        <w:rPr>
          <w:rFonts w:ascii="Times New Roman" w:hAnsi="Times New Roman" w:cs="Times New Roman"/>
          <w:sz w:val="24"/>
          <w:szCs w:val="24"/>
        </w:rPr>
        <w:t xml:space="preserve"> referred to as Francovich principle. Some of the </w:t>
      </w:r>
      <w:r w:rsidR="007A72C3" w:rsidRPr="00DD5A7A">
        <w:rPr>
          <w:rFonts w:ascii="Times New Roman" w:hAnsi="Times New Roman" w:cs="Times New Roman"/>
          <w:sz w:val="24"/>
          <w:szCs w:val="24"/>
        </w:rPr>
        <w:t>elements</w:t>
      </w:r>
      <w:r w:rsidRPr="00DD5A7A">
        <w:rPr>
          <w:rFonts w:ascii="Times New Roman" w:hAnsi="Times New Roman" w:cs="Times New Roman"/>
          <w:sz w:val="24"/>
          <w:szCs w:val="24"/>
        </w:rPr>
        <w:t xml:space="preserve"> that must be met before filing a </w:t>
      </w:r>
      <w:r w:rsidR="007A72C3" w:rsidRPr="00DD5A7A">
        <w:rPr>
          <w:rFonts w:ascii="Times New Roman" w:hAnsi="Times New Roman" w:cs="Times New Roman"/>
          <w:sz w:val="24"/>
          <w:szCs w:val="24"/>
        </w:rPr>
        <w:t>cause</w:t>
      </w:r>
      <w:r w:rsidRPr="00DD5A7A">
        <w:rPr>
          <w:rFonts w:ascii="Times New Roman" w:hAnsi="Times New Roman" w:cs="Times New Roman"/>
          <w:sz w:val="24"/>
          <w:szCs w:val="24"/>
        </w:rPr>
        <w:t xml:space="preserve"> of action </w:t>
      </w:r>
      <w:proofErr w:type="gramStart"/>
      <w:r w:rsidRPr="00DD5A7A">
        <w:rPr>
          <w:rFonts w:ascii="Times New Roman" w:hAnsi="Times New Roman" w:cs="Times New Roman"/>
          <w:sz w:val="24"/>
          <w:szCs w:val="24"/>
        </w:rPr>
        <w:t xml:space="preserve">on the </w:t>
      </w:r>
      <w:r w:rsidR="007A72C3" w:rsidRPr="00DD5A7A">
        <w:rPr>
          <w:rFonts w:ascii="Times New Roman" w:hAnsi="Times New Roman" w:cs="Times New Roman"/>
          <w:sz w:val="24"/>
          <w:szCs w:val="24"/>
        </w:rPr>
        <w:t>basis</w:t>
      </w:r>
      <w:r w:rsidRPr="00DD5A7A">
        <w:rPr>
          <w:rFonts w:ascii="Times New Roman" w:hAnsi="Times New Roman" w:cs="Times New Roman"/>
          <w:sz w:val="24"/>
          <w:szCs w:val="24"/>
        </w:rPr>
        <w:t xml:space="preserve"> of</w:t>
      </w:r>
      <w:proofErr w:type="gramEnd"/>
      <w:r w:rsidRPr="00DD5A7A">
        <w:rPr>
          <w:rFonts w:ascii="Times New Roman" w:hAnsi="Times New Roman" w:cs="Times New Roman"/>
          <w:sz w:val="24"/>
          <w:szCs w:val="24"/>
        </w:rPr>
        <w:t xml:space="preserve"> Member </w:t>
      </w:r>
      <w:r w:rsidR="007A72C3" w:rsidRPr="00DD5A7A">
        <w:rPr>
          <w:rFonts w:ascii="Times New Roman" w:hAnsi="Times New Roman" w:cs="Times New Roman"/>
          <w:sz w:val="24"/>
          <w:szCs w:val="24"/>
        </w:rPr>
        <w:t>State</w:t>
      </w:r>
      <w:r w:rsidRPr="00DD5A7A">
        <w:rPr>
          <w:rFonts w:ascii="Times New Roman" w:hAnsi="Times New Roman" w:cs="Times New Roman"/>
          <w:sz w:val="24"/>
          <w:szCs w:val="24"/>
        </w:rPr>
        <w:t xml:space="preserve"> </w:t>
      </w:r>
      <w:r w:rsidR="007A72C3" w:rsidRPr="00DD5A7A">
        <w:rPr>
          <w:rFonts w:ascii="Times New Roman" w:hAnsi="Times New Roman" w:cs="Times New Roman"/>
          <w:sz w:val="24"/>
          <w:szCs w:val="24"/>
        </w:rPr>
        <w:t xml:space="preserve">liability include the breach to be attributable to a member state and the breach to occasion harm to the concerned individual of the member state of EU. When these have been satisfied then the natural person can apply to have their rights respected under the EU law. Article 4(3) TEU gives leeway for enforcement of an individual rights within the doctrine of Member State liability. </w:t>
      </w:r>
    </w:p>
    <w:p w14:paraId="0567E541" w14:textId="4FF42AA4" w:rsidR="007A72C3" w:rsidRPr="00DD5A7A" w:rsidRDefault="007A72C3" w:rsidP="0080124F">
      <w:pPr>
        <w:spacing w:after="0" w:line="480" w:lineRule="auto"/>
        <w:ind w:firstLine="720"/>
        <w:contextualSpacing/>
        <w:rPr>
          <w:rFonts w:ascii="Times New Roman" w:hAnsi="Times New Roman" w:cs="Times New Roman"/>
          <w:sz w:val="24"/>
          <w:szCs w:val="24"/>
        </w:rPr>
      </w:pPr>
      <w:r w:rsidRPr="00DD5A7A">
        <w:rPr>
          <w:rFonts w:ascii="Times New Roman" w:hAnsi="Times New Roman" w:cs="Times New Roman"/>
          <w:sz w:val="24"/>
          <w:szCs w:val="24"/>
        </w:rPr>
        <w:t xml:space="preserve">Essentially, the principle of direct effect, indirect effect and the doctrine of Member State liability has been tailored in such a way that it protects the interests of the EU residents. The TFEU and TEU has expounded on how these </w:t>
      </w:r>
      <w:r w:rsidR="005A330F" w:rsidRPr="00DD5A7A">
        <w:rPr>
          <w:rFonts w:ascii="Times New Roman" w:hAnsi="Times New Roman" w:cs="Times New Roman"/>
          <w:sz w:val="24"/>
          <w:szCs w:val="24"/>
        </w:rPr>
        <w:t>principles</w:t>
      </w:r>
      <w:r w:rsidRPr="00DD5A7A">
        <w:rPr>
          <w:rFonts w:ascii="Times New Roman" w:hAnsi="Times New Roman" w:cs="Times New Roman"/>
          <w:sz w:val="24"/>
          <w:szCs w:val="24"/>
        </w:rPr>
        <w:t xml:space="preserve"> and </w:t>
      </w:r>
      <w:r w:rsidR="005A330F" w:rsidRPr="00DD5A7A">
        <w:rPr>
          <w:rFonts w:ascii="Times New Roman" w:hAnsi="Times New Roman" w:cs="Times New Roman"/>
          <w:sz w:val="24"/>
          <w:szCs w:val="24"/>
        </w:rPr>
        <w:t>doctrine</w:t>
      </w:r>
      <w:r w:rsidRPr="00DD5A7A">
        <w:rPr>
          <w:rFonts w:ascii="Times New Roman" w:hAnsi="Times New Roman" w:cs="Times New Roman"/>
          <w:sz w:val="24"/>
          <w:szCs w:val="24"/>
        </w:rPr>
        <w:t xml:space="preserve"> apply to natural persons within the EU. On their parts, courts have offered good explanation on how the principles are to be </w:t>
      </w:r>
      <w:r w:rsidR="005A330F" w:rsidRPr="00DD5A7A">
        <w:rPr>
          <w:rFonts w:ascii="Times New Roman" w:hAnsi="Times New Roman" w:cs="Times New Roman"/>
          <w:sz w:val="24"/>
          <w:szCs w:val="24"/>
        </w:rPr>
        <w:t>exercised</w:t>
      </w:r>
      <w:r w:rsidRPr="00DD5A7A">
        <w:rPr>
          <w:rFonts w:ascii="Times New Roman" w:hAnsi="Times New Roman" w:cs="Times New Roman"/>
          <w:sz w:val="24"/>
          <w:szCs w:val="24"/>
        </w:rPr>
        <w:t xml:space="preserve"> in a bid to </w:t>
      </w:r>
      <w:r w:rsidR="005A330F" w:rsidRPr="00DD5A7A">
        <w:rPr>
          <w:rFonts w:ascii="Times New Roman" w:hAnsi="Times New Roman" w:cs="Times New Roman"/>
          <w:sz w:val="24"/>
          <w:szCs w:val="24"/>
        </w:rPr>
        <w:t>protect</w:t>
      </w:r>
      <w:r w:rsidRPr="00DD5A7A">
        <w:rPr>
          <w:rFonts w:ascii="Times New Roman" w:hAnsi="Times New Roman" w:cs="Times New Roman"/>
          <w:sz w:val="24"/>
          <w:szCs w:val="24"/>
        </w:rPr>
        <w:t xml:space="preserve"> the </w:t>
      </w:r>
      <w:r w:rsidR="005A330F" w:rsidRPr="00DD5A7A">
        <w:rPr>
          <w:rFonts w:ascii="Times New Roman" w:hAnsi="Times New Roman" w:cs="Times New Roman"/>
          <w:sz w:val="24"/>
          <w:szCs w:val="24"/>
        </w:rPr>
        <w:t>interests</w:t>
      </w:r>
      <w:r w:rsidRPr="00DD5A7A">
        <w:rPr>
          <w:rFonts w:ascii="Times New Roman" w:hAnsi="Times New Roman" w:cs="Times New Roman"/>
          <w:sz w:val="24"/>
          <w:szCs w:val="24"/>
        </w:rPr>
        <w:t xml:space="preserve"> of </w:t>
      </w:r>
      <w:r w:rsidR="005A330F" w:rsidRPr="00DD5A7A">
        <w:rPr>
          <w:rFonts w:ascii="Times New Roman" w:hAnsi="Times New Roman" w:cs="Times New Roman"/>
          <w:sz w:val="24"/>
          <w:szCs w:val="24"/>
        </w:rPr>
        <w:t xml:space="preserve">the EU citizens. </w:t>
      </w:r>
    </w:p>
    <w:p w14:paraId="6514B69C" w14:textId="66AE6120" w:rsidR="001846D1" w:rsidRPr="00DD5A7A" w:rsidRDefault="001846D1" w:rsidP="0080124F">
      <w:pPr>
        <w:spacing w:after="0" w:line="480" w:lineRule="auto"/>
        <w:ind w:firstLine="720"/>
        <w:contextualSpacing/>
        <w:rPr>
          <w:rFonts w:ascii="Times New Roman" w:hAnsi="Times New Roman" w:cs="Times New Roman"/>
          <w:sz w:val="24"/>
          <w:szCs w:val="24"/>
        </w:rPr>
      </w:pPr>
    </w:p>
    <w:p w14:paraId="4AD0FC64" w14:textId="4E6F5428" w:rsidR="001846D1" w:rsidRPr="00DD5A7A" w:rsidRDefault="001846D1" w:rsidP="0080124F">
      <w:pPr>
        <w:spacing w:after="0" w:line="480" w:lineRule="auto"/>
        <w:ind w:firstLine="720"/>
        <w:contextualSpacing/>
        <w:rPr>
          <w:rFonts w:ascii="Times New Roman" w:hAnsi="Times New Roman" w:cs="Times New Roman"/>
          <w:sz w:val="24"/>
          <w:szCs w:val="24"/>
        </w:rPr>
      </w:pPr>
    </w:p>
    <w:p w14:paraId="1FFC557B" w14:textId="2E680615" w:rsidR="001846D1" w:rsidRPr="00DD5A7A" w:rsidRDefault="001846D1" w:rsidP="0080124F">
      <w:pPr>
        <w:spacing w:after="0" w:line="480" w:lineRule="auto"/>
        <w:ind w:firstLine="720"/>
        <w:contextualSpacing/>
        <w:rPr>
          <w:rFonts w:ascii="Times New Roman" w:hAnsi="Times New Roman" w:cs="Times New Roman"/>
          <w:sz w:val="24"/>
          <w:szCs w:val="24"/>
        </w:rPr>
      </w:pPr>
    </w:p>
    <w:p w14:paraId="67BE2885" w14:textId="05256ECE" w:rsidR="001846D1" w:rsidRPr="00DD5A7A" w:rsidRDefault="001846D1" w:rsidP="0080124F">
      <w:pPr>
        <w:spacing w:after="0" w:line="480" w:lineRule="auto"/>
        <w:ind w:firstLine="720"/>
        <w:contextualSpacing/>
        <w:rPr>
          <w:rFonts w:ascii="Times New Roman" w:hAnsi="Times New Roman" w:cs="Times New Roman"/>
          <w:sz w:val="24"/>
          <w:szCs w:val="24"/>
        </w:rPr>
      </w:pPr>
    </w:p>
    <w:p w14:paraId="4C6B2F50" w14:textId="22AD7026" w:rsidR="001846D1" w:rsidRPr="00DD5A7A" w:rsidRDefault="001846D1" w:rsidP="0080124F">
      <w:pPr>
        <w:spacing w:after="0" w:line="480" w:lineRule="auto"/>
        <w:contextualSpacing/>
        <w:jc w:val="center"/>
        <w:rPr>
          <w:rFonts w:ascii="Times New Roman" w:hAnsi="Times New Roman" w:cs="Times New Roman"/>
          <w:b/>
          <w:bCs/>
          <w:sz w:val="24"/>
          <w:szCs w:val="24"/>
        </w:rPr>
      </w:pPr>
      <w:r w:rsidRPr="00DD5A7A">
        <w:rPr>
          <w:rFonts w:ascii="Times New Roman" w:hAnsi="Times New Roman" w:cs="Times New Roman"/>
          <w:bCs/>
          <w:sz w:val="24"/>
          <w:szCs w:val="24"/>
        </w:rPr>
        <w:lastRenderedPageBreak/>
        <w:t>References</w:t>
      </w:r>
    </w:p>
    <w:p w14:paraId="4925BD8B" w14:textId="531C663E" w:rsidR="0080124F" w:rsidRPr="00DD5A7A" w:rsidRDefault="0080124F" w:rsidP="0080124F">
      <w:pPr>
        <w:spacing w:after="0" w:line="480" w:lineRule="auto"/>
        <w:ind w:left="720" w:hanging="720"/>
        <w:contextualSpacing/>
        <w:rPr>
          <w:rFonts w:ascii="Times New Roman" w:hAnsi="Times New Roman" w:cs="Times New Roman"/>
          <w:sz w:val="24"/>
          <w:szCs w:val="24"/>
          <w:shd w:val="clear" w:color="auto" w:fill="FFFFFF"/>
        </w:rPr>
      </w:pPr>
      <w:r w:rsidRPr="00DD5A7A">
        <w:rPr>
          <w:rFonts w:ascii="Times New Roman" w:hAnsi="Times New Roman" w:cs="Times New Roman"/>
          <w:sz w:val="24"/>
          <w:szCs w:val="24"/>
          <w:shd w:val="clear" w:color="auto" w:fill="FFFFFF"/>
        </w:rPr>
        <w:t xml:space="preserve">Butler, G. and </w:t>
      </w:r>
      <w:proofErr w:type="spellStart"/>
      <w:r w:rsidRPr="00DD5A7A">
        <w:rPr>
          <w:rFonts w:ascii="Times New Roman" w:hAnsi="Times New Roman" w:cs="Times New Roman"/>
          <w:sz w:val="24"/>
          <w:szCs w:val="24"/>
          <w:shd w:val="clear" w:color="auto" w:fill="FFFFFF"/>
        </w:rPr>
        <w:t>Meling</w:t>
      </w:r>
      <w:proofErr w:type="spellEnd"/>
      <w:r w:rsidRPr="00DD5A7A">
        <w:rPr>
          <w:rFonts w:ascii="Times New Roman" w:hAnsi="Times New Roman" w:cs="Times New Roman"/>
          <w:sz w:val="24"/>
          <w:szCs w:val="24"/>
          <w:shd w:val="clear" w:color="auto" w:fill="FFFFFF"/>
        </w:rPr>
        <w:t>, M. 2019. Horizontal Direct Effect of the Charter in EU Law: Ramifications for the European Economic Area. </w:t>
      </w:r>
      <w:r w:rsidRPr="00DD5A7A">
        <w:rPr>
          <w:rFonts w:ascii="Times New Roman" w:hAnsi="Times New Roman" w:cs="Times New Roman"/>
          <w:i/>
          <w:iCs/>
          <w:sz w:val="24"/>
          <w:szCs w:val="24"/>
          <w:shd w:val="clear" w:color="auto" w:fill="FFFFFF"/>
        </w:rPr>
        <w:t>Nordic Journal of European Law</w:t>
      </w:r>
      <w:r w:rsidRPr="00DD5A7A">
        <w:rPr>
          <w:rFonts w:ascii="Times New Roman" w:hAnsi="Times New Roman" w:cs="Times New Roman"/>
          <w:sz w:val="24"/>
          <w:szCs w:val="24"/>
          <w:shd w:val="clear" w:color="auto" w:fill="FFFFFF"/>
        </w:rPr>
        <w:t>, </w:t>
      </w:r>
      <w:r w:rsidRPr="00DD5A7A">
        <w:rPr>
          <w:rFonts w:ascii="Times New Roman" w:hAnsi="Times New Roman" w:cs="Times New Roman"/>
          <w:i/>
          <w:iCs/>
          <w:sz w:val="24"/>
          <w:szCs w:val="24"/>
          <w:shd w:val="clear" w:color="auto" w:fill="FFFFFF"/>
        </w:rPr>
        <w:t>3</w:t>
      </w:r>
      <w:r w:rsidRPr="00DD5A7A">
        <w:rPr>
          <w:rFonts w:ascii="Times New Roman" w:hAnsi="Times New Roman" w:cs="Times New Roman"/>
          <w:sz w:val="24"/>
          <w:szCs w:val="24"/>
          <w:shd w:val="clear" w:color="auto" w:fill="FFFFFF"/>
        </w:rPr>
        <w:t>(2), pp.1-24.</w:t>
      </w:r>
    </w:p>
    <w:p w14:paraId="3F3BF5BE" w14:textId="16BA423E" w:rsidR="001846D1" w:rsidRPr="00DD5A7A" w:rsidRDefault="0080124F" w:rsidP="0080124F">
      <w:pPr>
        <w:spacing w:after="0" w:line="480" w:lineRule="auto"/>
        <w:ind w:left="720" w:hanging="720"/>
        <w:contextualSpacing/>
        <w:rPr>
          <w:rFonts w:ascii="Times New Roman" w:hAnsi="Times New Roman" w:cs="Times New Roman"/>
          <w:sz w:val="24"/>
          <w:szCs w:val="24"/>
        </w:rPr>
      </w:pPr>
      <w:r w:rsidRPr="00DD5A7A">
        <w:rPr>
          <w:rFonts w:ascii="Times New Roman" w:hAnsi="Times New Roman" w:cs="Times New Roman"/>
          <w:sz w:val="24"/>
          <w:szCs w:val="24"/>
        </w:rPr>
        <w:t>Calvo, M. S. M. 2018. The direct effect of EU competition l</w:t>
      </w:r>
      <w:r w:rsidR="001846D1" w:rsidRPr="00DD5A7A">
        <w:rPr>
          <w:rFonts w:ascii="Times New Roman" w:hAnsi="Times New Roman" w:cs="Times New Roman"/>
          <w:sz w:val="24"/>
          <w:szCs w:val="24"/>
        </w:rPr>
        <w:t>aw. In </w:t>
      </w:r>
      <w:proofErr w:type="spellStart"/>
      <w:r w:rsidRPr="00DD5A7A">
        <w:rPr>
          <w:rFonts w:ascii="Times New Roman" w:hAnsi="Times New Roman" w:cs="Times New Roman"/>
          <w:i/>
          <w:iCs/>
          <w:sz w:val="24"/>
          <w:szCs w:val="24"/>
        </w:rPr>
        <w:t>Lengua</w:t>
      </w:r>
      <w:proofErr w:type="spellEnd"/>
      <w:r w:rsidRPr="00DD5A7A">
        <w:rPr>
          <w:rFonts w:ascii="Times New Roman" w:hAnsi="Times New Roman" w:cs="Times New Roman"/>
          <w:i/>
          <w:iCs/>
          <w:sz w:val="24"/>
          <w:szCs w:val="24"/>
        </w:rPr>
        <w:t xml:space="preserve"> y derecho: E</w:t>
      </w:r>
      <w:r w:rsidR="001846D1" w:rsidRPr="00DD5A7A">
        <w:rPr>
          <w:rFonts w:ascii="Times New Roman" w:hAnsi="Times New Roman" w:cs="Times New Roman"/>
          <w:i/>
          <w:iCs/>
          <w:sz w:val="24"/>
          <w:szCs w:val="24"/>
        </w:rPr>
        <w:t xml:space="preserve">l </w:t>
      </w:r>
      <w:proofErr w:type="spellStart"/>
      <w:r w:rsidR="001846D1" w:rsidRPr="00DD5A7A">
        <w:rPr>
          <w:rFonts w:ascii="Times New Roman" w:hAnsi="Times New Roman" w:cs="Times New Roman"/>
          <w:i/>
          <w:iCs/>
          <w:sz w:val="24"/>
          <w:szCs w:val="24"/>
        </w:rPr>
        <w:t>papel</w:t>
      </w:r>
      <w:proofErr w:type="spellEnd"/>
      <w:r w:rsidR="001846D1" w:rsidRPr="00DD5A7A">
        <w:rPr>
          <w:rFonts w:ascii="Times New Roman" w:hAnsi="Times New Roman" w:cs="Times New Roman"/>
          <w:i/>
          <w:iCs/>
          <w:sz w:val="24"/>
          <w:szCs w:val="24"/>
        </w:rPr>
        <w:t xml:space="preserve"> de la </w:t>
      </w:r>
      <w:proofErr w:type="spellStart"/>
      <w:r w:rsidR="001846D1" w:rsidRPr="00DD5A7A">
        <w:rPr>
          <w:rFonts w:ascii="Times New Roman" w:hAnsi="Times New Roman" w:cs="Times New Roman"/>
          <w:i/>
          <w:iCs/>
          <w:sz w:val="24"/>
          <w:szCs w:val="24"/>
        </w:rPr>
        <w:t>lengua</w:t>
      </w:r>
      <w:proofErr w:type="spellEnd"/>
      <w:r w:rsidR="001846D1" w:rsidRPr="00DD5A7A">
        <w:rPr>
          <w:rFonts w:ascii="Times New Roman" w:hAnsi="Times New Roman" w:cs="Times New Roman"/>
          <w:i/>
          <w:iCs/>
          <w:sz w:val="24"/>
          <w:szCs w:val="24"/>
        </w:rPr>
        <w:t xml:space="preserve"> y la </w:t>
      </w:r>
      <w:proofErr w:type="spellStart"/>
      <w:r w:rsidR="001846D1" w:rsidRPr="00DD5A7A">
        <w:rPr>
          <w:rFonts w:ascii="Times New Roman" w:hAnsi="Times New Roman" w:cs="Times New Roman"/>
          <w:i/>
          <w:iCs/>
          <w:sz w:val="24"/>
          <w:szCs w:val="24"/>
        </w:rPr>
        <w:t>traducción</w:t>
      </w:r>
      <w:proofErr w:type="spellEnd"/>
      <w:r w:rsidR="001846D1" w:rsidRPr="00DD5A7A">
        <w:rPr>
          <w:rFonts w:ascii="Times New Roman" w:hAnsi="Times New Roman" w:cs="Times New Roman"/>
          <w:i/>
          <w:iCs/>
          <w:sz w:val="24"/>
          <w:szCs w:val="24"/>
        </w:rPr>
        <w:t xml:space="preserve"> </w:t>
      </w:r>
      <w:proofErr w:type="spellStart"/>
      <w:r w:rsidR="001846D1" w:rsidRPr="00DD5A7A">
        <w:rPr>
          <w:rFonts w:ascii="Times New Roman" w:hAnsi="Times New Roman" w:cs="Times New Roman"/>
          <w:i/>
          <w:iCs/>
          <w:sz w:val="24"/>
          <w:szCs w:val="24"/>
        </w:rPr>
        <w:t>en</w:t>
      </w:r>
      <w:proofErr w:type="spellEnd"/>
      <w:r w:rsidR="001846D1" w:rsidRPr="00DD5A7A">
        <w:rPr>
          <w:rFonts w:ascii="Times New Roman" w:hAnsi="Times New Roman" w:cs="Times New Roman"/>
          <w:i/>
          <w:iCs/>
          <w:sz w:val="24"/>
          <w:szCs w:val="24"/>
        </w:rPr>
        <w:t xml:space="preserve"> </w:t>
      </w:r>
      <w:proofErr w:type="spellStart"/>
      <w:r w:rsidR="001846D1" w:rsidRPr="00DD5A7A">
        <w:rPr>
          <w:rFonts w:ascii="Times New Roman" w:hAnsi="Times New Roman" w:cs="Times New Roman"/>
          <w:i/>
          <w:iCs/>
          <w:sz w:val="24"/>
          <w:szCs w:val="24"/>
        </w:rPr>
        <w:t>el</w:t>
      </w:r>
      <w:proofErr w:type="spellEnd"/>
      <w:r w:rsidR="001846D1" w:rsidRPr="00DD5A7A">
        <w:rPr>
          <w:rFonts w:ascii="Times New Roman" w:hAnsi="Times New Roman" w:cs="Times New Roman"/>
          <w:i/>
          <w:iCs/>
          <w:sz w:val="24"/>
          <w:szCs w:val="24"/>
        </w:rPr>
        <w:t xml:space="preserve"> derecho de la </w:t>
      </w:r>
      <w:proofErr w:type="spellStart"/>
      <w:r w:rsidR="001846D1" w:rsidRPr="00DD5A7A">
        <w:rPr>
          <w:rFonts w:ascii="Times New Roman" w:hAnsi="Times New Roman" w:cs="Times New Roman"/>
          <w:i/>
          <w:iCs/>
          <w:sz w:val="24"/>
          <w:szCs w:val="24"/>
        </w:rPr>
        <w:t>competencia</w:t>
      </w:r>
      <w:proofErr w:type="spellEnd"/>
      <w:r w:rsidR="001846D1" w:rsidRPr="00DD5A7A">
        <w:rPr>
          <w:rFonts w:ascii="Times New Roman" w:hAnsi="Times New Roman" w:cs="Times New Roman"/>
          <w:i/>
          <w:iCs/>
          <w:sz w:val="24"/>
          <w:szCs w:val="24"/>
        </w:rPr>
        <w:t xml:space="preserve"> de la UE</w:t>
      </w:r>
      <w:r w:rsidR="001846D1" w:rsidRPr="00DD5A7A">
        <w:rPr>
          <w:rFonts w:ascii="Times New Roman" w:hAnsi="Times New Roman" w:cs="Times New Roman"/>
          <w:sz w:val="24"/>
          <w:szCs w:val="24"/>
        </w:rPr>
        <w:t> (pp. 69-86). Springer.</w:t>
      </w:r>
    </w:p>
    <w:p w14:paraId="7A4F5B80" w14:textId="75618314" w:rsidR="001846D1" w:rsidRPr="00DD5A7A" w:rsidRDefault="0080124F" w:rsidP="0080124F">
      <w:pPr>
        <w:spacing w:after="0" w:line="480" w:lineRule="auto"/>
        <w:ind w:left="720" w:hanging="720"/>
        <w:contextualSpacing/>
        <w:rPr>
          <w:rFonts w:ascii="Times New Roman" w:hAnsi="Times New Roman" w:cs="Times New Roman"/>
          <w:sz w:val="24"/>
          <w:szCs w:val="24"/>
        </w:rPr>
      </w:pPr>
      <w:r w:rsidRPr="00DD5A7A">
        <w:rPr>
          <w:rFonts w:ascii="Times New Roman" w:hAnsi="Times New Roman" w:cs="Times New Roman"/>
          <w:sz w:val="24"/>
          <w:szCs w:val="24"/>
        </w:rPr>
        <w:t xml:space="preserve">Craig, P., &amp; De </w:t>
      </w:r>
      <w:proofErr w:type="spellStart"/>
      <w:r w:rsidRPr="00DD5A7A">
        <w:rPr>
          <w:rFonts w:ascii="Times New Roman" w:hAnsi="Times New Roman" w:cs="Times New Roman"/>
          <w:sz w:val="24"/>
          <w:szCs w:val="24"/>
        </w:rPr>
        <w:t>Búrca</w:t>
      </w:r>
      <w:proofErr w:type="spellEnd"/>
      <w:r w:rsidRPr="00DD5A7A">
        <w:rPr>
          <w:rFonts w:ascii="Times New Roman" w:hAnsi="Times New Roman" w:cs="Times New Roman"/>
          <w:sz w:val="24"/>
          <w:szCs w:val="24"/>
        </w:rPr>
        <w:t>, G. 2021</w:t>
      </w:r>
      <w:r w:rsidR="001846D1" w:rsidRPr="00DD5A7A">
        <w:rPr>
          <w:rFonts w:ascii="Times New Roman" w:hAnsi="Times New Roman" w:cs="Times New Roman"/>
          <w:sz w:val="24"/>
          <w:szCs w:val="24"/>
        </w:rPr>
        <w:t>. </w:t>
      </w:r>
      <w:r w:rsidR="001846D1" w:rsidRPr="00DD5A7A">
        <w:rPr>
          <w:rFonts w:ascii="Times New Roman" w:hAnsi="Times New Roman" w:cs="Times New Roman"/>
          <w:i/>
          <w:iCs/>
          <w:sz w:val="24"/>
          <w:szCs w:val="24"/>
        </w:rPr>
        <w:t>The evolution of EU law</w:t>
      </w:r>
      <w:r w:rsidR="001846D1" w:rsidRPr="00DD5A7A">
        <w:rPr>
          <w:rFonts w:ascii="Times New Roman" w:hAnsi="Times New Roman" w:cs="Times New Roman"/>
          <w:sz w:val="24"/>
          <w:szCs w:val="24"/>
        </w:rPr>
        <w:t>. Oxford university press.</w:t>
      </w:r>
    </w:p>
    <w:p w14:paraId="517649C4" w14:textId="6F7EDDF1" w:rsidR="001846D1" w:rsidRPr="00DD5A7A" w:rsidRDefault="0080124F" w:rsidP="0080124F">
      <w:pPr>
        <w:spacing w:after="0" w:line="480" w:lineRule="auto"/>
        <w:ind w:left="720" w:hanging="720"/>
        <w:contextualSpacing/>
        <w:rPr>
          <w:rFonts w:ascii="Times New Roman" w:hAnsi="Times New Roman" w:cs="Times New Roman"/>
          <w:sz w:val="24"/>
          <w:szCs w:val="24"/>
        </w:rPr>
      </w:pPr>
      <w:r w:rsidRPr="00DD5A7A">
        <w:rPr>
          <w:rFonts w:ascii="Times New Roman" w:hAnsi="Times New Roman" w:cs="Times New Roman"/>
          <w:sz w:val="24"/>
          <w:szCs w:val="24"/>
        </w:rPr>
        <w:t>Muse, H. M. 2020</w:t>
      </w:r>
      <w:r w:rsidR="001846D1" w:rsidRPr="00DD5A7A">
        <w:rPr>
          <w:rFonts w:ascii="Times New Roman" w:hAnsi="Times New Roman" w:cs="Times New Roman"/>
          <w:sz w:val="24"/>
          <w:szCs w:val="24"/>
        </w:rPr>
        <w:t>. The Supremacy Doctrine, Direct, and Indirect Effects and State Liability Under EU Law. </w:t>
      </w:r>
      <w:r w:rsidR="001846D1" w:rsidRPr="00DD5A7A">
        <w:rPr>
          <w:rFonts w:ascii="Times New Roman" w:hAnsi="Times New Roman" w:cs="Times New Roman"/>
          <w:i/>
          <w:iCs/>
          <w:sz w:val="24"/>
          <w:szCs w:val="24"/>
        </w:rPr>
        <w:t>Direct, and Indirect Effects and State Liability Under EU Law (August 18, 2020)</w:t>
      </w:r>
      <w:r w:rsidR="001846D1" w:rsidRPr="00DD5A7A">
        <w:rPr>
          <w:rFonts w:ascii="Times New Roman" w:hAnsi="Times New Roman" w:cs="Times New Roman"/>
          <w:sz w:val="24"/>
          <w:szCs w:val="24"/>
        </w:rPr>
        <w:t>.</w:t>
      </w:r>
    </w:p>
    <w:p w14:paraId="41F8BF3E" w14:textId="4F7C3233" w:rsidR="001846D1" w:rsidRPr="00DD5A7A" w:rsidRDefault="0080124F" w:rsidP="0080124F">
      <w:pPr>
        <w:spacing w:after="0" w:line="480" w:lineRule="auto"/>
        <w:ind w:left="720" w:hanging="720"/>
        <w:contextualSpacing/>
        <w:rPr>
          <w:rFonts w:ascii="Times New Roman" w:hAnsi="Times New Roman" w:cs="Times New Roman"/>
          <w:sz w:val="24"/>
          <w:szCs w:val="24"/>
        </w:rPr>
      </w:pPr>
      <w:proofErr w:type="spellStart"/>
      <w:r w:rsidRPr="00DD5A7A">
        <w:rPr>
          <w:rFonts w:ascii="Times New Roman" w:hAnsi="Times New Roman" w:cs="Times New Roman"/>
          <w:sz w:val="24"/>
          <w:szCs w:val="24"/>
        </w:rPr>
        <w:t>Pescatore</w:t>
      </w:r>
      <w:proofErr w:type="spellEnd"/>
      <w:r w:rsidRPr="00DD5A7A">
        <w:rPr>
          <w:rFonts w:ascii="Times New Roman" w:hAnsi="Times New Roman" w:cs="Times New Roman"/>
          <w:sz w:val="24"/>
          <w:szCs w:val="24"/>
        </w:rPr>
        <w:t>, P. 2015</w:t>
      </w:r>
      <w:r w:rsidR="001846D1" w:rsidRPr="00DD5A7A">
        <w:rPr>
          <w:rFonts w:ascii="Times New Roman" w:hAnsi="Times New Roman" w:cs="Times New Roman"/>
          <w:sz w:val="24"/>
          <w:szCs w:val="24"/>
        </w:rPr>
        <w:t>. The Doctrine of" Direct Effect": An Infant Disease of Community Law. </w:t>
      </w:r>
      <w:r w:rsidR="001846D1" w:rsidRPr="00DD5A7A">
        <w:rPr>
          <w:rFonts w:ascii="Times New Roman" w:hAnsi="Times New Roman" w:cs="Times New Roman"/>
          <w:i/>
          <w:iCs/>
          <w:sz w:val="24"/>
          <w:szCs w:val="24"/>
        </w:rPr>
        <w:t>European Law Review</w:t>
      </w:r>
      <w:r w:rsidR="001846D1" w:rsidRPr="00DD5A7A">
        <w:rPr>
          <w:rFonts w:ascii="Times New Roman" w:hAnsi="Times New Roman" w:cs="Times New Roman"/>
          <w:sz w:val="24"/>
          <w:szCs w:val="24"/>
        </w:rPr>
        <w:t>, (2), 135-153.</w:t>
      </w:r>
    </w:p>
    <w:p w14:paraId="7ECD7B98" w14:textId="734E579F" w:rsidR="001846D1" w:rsidRPr="00DD5A7A" w:rsidRDefault="0080124F" w:rsidP="0080124F">
      <w:pPr>
        <w:spacing w:after="0" w:line="480" w:lineRule="auto"/>
        <w:ind w:left="720" w:hanging="720"/>
        <w:contextualSpacing/>
        <w:rPr>
          <w:rFonts w:ascii="Times New Roman" w:hAnsi="Times New Roman" w:cs="Times New Roman"/>
          <w:sz w:val="24"/>
          <w:szCs w:val="24"/>
        </w:rPr>
      </w:pPr>
      <w:proofErr w:type="spellStart"/>
      <w:r w:rsidRPr="00DD5A7A">
        <w:rPr>
          <w:rFonts w:ascii="Times New Roman" w:hAnsi="Times New Roman" w:cs="Times New Roman"/>
          <w:sz w:val="24"/>
          <w:szCs w:val="24"/>
        </w:rPr>
        <w:t>Spittler</w:t>
      </w:r>
      <w:proofErr w:type="spellEnd"/>
      <w:r w:rsidRPr="00DD5A7A">
        <w:rPr>
          <w:rFonts w:ascii="Times New Roman" w:hAnsi="Times New Roman" w:cs="Times New Roman"/>
          <w:sz w:val="24"/>
          <w:szCs w:val="24"/>
        </w:rPr>
        <w:t>, M. 2018. Are right-wing p</w:t>
      </w:r>
      <w:r w:rsidR="001846D1" w:rsidRPr="00DD5A7A">
        <w:rPr>
          <w:rFonts w:ascii="Times New Roman" w:hAnsi="Times New Roman" w:cs="Times New Roman"/>
          <w:sz w:val="24"/>
          <w:szCs w:val="24"/>
        </w:rPr>
        <w:t>opulist</w:t>
      </w:r>
      <w:r w:rsidRPr="00DD5A7A">
        <w:rPr>
          <w:rFonts w:ascii="Times New Roman" w:hAnsi="Times New Roman" w:cs="Times New Roman"/>
          <w:sz w:val="24"/>
          <w:szCs w:val="24"/>
        </w:rPr>
        <w:t xml:space="preserve"> parties a threat to democracy?</w:t>
      </w:r>
      <w:r w:rsidR="001846D1" w:rsidRPr="00DD5A7A">
        <w:rPr>
          <w:rFonts w:ascii="Times New Roman" w:hAnsi="Times New Roman" w:cs="Times New Roman"/>
          <w:sz w:val="24"/>
          <w:szCs w:val="24"/>
        </w:rPr>
        <w:t xml:space="preserve"> In </w:t>
      </w:r>
      <w:r w:rsidR="001846D1" w:rsidRPr="00DD5A7A">
        <w:rPr>
          <w:rFonts w:ascii="Times New Roman" w:hAnsi="Times New Roman" w:cs="Times New Roman"/>
          <w:i/>
          <w:iCs/>
          <w:sz w:val="24"/>
          <w:szCs w:val="24"/>
        </w:rPr>
        <w:t>Democracy and Crisis</w:t>
      </w:r>
      <w:r w:rsidR="001846D1" w:rsidRPr="00DD5A7A">
        <w:rPr>
          <w:rFonts w:ascii="Times New Roman" w:hAnsi="Times New Roman" w:cs="Times New Roman"/>
          <w:sz w:val="24"/>
          <w:szCs w:val="24"/>
        </w:rPr>
        <w:t> (pp. 97-121). Springer, Cham.</w:t>
      </w:r>
    </w:p>
    <w:p w14:paraId="2C0B80C3" w14:textId="36C91BB1" w:rsidR="001846D1" w:rsidRPr="00DD5A7A" w:rsidRDefault="001846D1" w:rsidP="0080124F">
      <w:pPr>
        <w:spacing w:after="0" w:line="480" w:lineRule="auto"/>
        <w:ind w:left="720" w:hanging="720"/>
        <w:contextualSpacing/>
        <w:rPr>
          <w:rFonts w:ascii="Times New Roman" w:hAnsi="Times New Roman" w:cs="Times New Roman"/>
          <w:sz w:val="24"/>
          <w:szCs w:val="24"/>
        </w:rPr>
      </w:pPr>
      <w:proofErr w:type="spellStart"/>
      <w:r w:rsidRPr="00DD5A7A">
        <w:rPr>
          <w:rFonts w:ascii="Times New Roman" w:hAnsi="Times New Roman" w:cs="Times New Roman"/>
          <w:sz w:val="24"/>
          <w:szCs w:val="24"/>
        </w:rPr>
        <w:t>Squintani</w:t>
      </w:r>
      <w:proofErr w:type="spellEnd"/>
      <w:r w:rsidRPr="00DD5A7A">
        <w:rPr>
          <w:rFonts w:ascii="Times New Roman" w:hAnsi="Times New Roman" w:cs="Times New Roman"/>
          <w:sz w:val="24"/>
          <w:szCs w:val="24"/>
        </w:rPr>
        <w:t>, L</w:t>
      </w:r>
      <w:r w:rsidR="00DD5A7A" w:rsidRPr="00DD5A7A">
        <w:rPr>
          <w:rFonts w:ascii="Times New Roman" w:hAnsi="Times New Roman" w:cs="Times New Roman"/>
          <w:sz w:val="24"/>
          <w:szCs w:val="24"/>
        </w:rPr>
        <w:t xml:space="preserve">., &amp; </w:t>
      </w:r>
      <w:proofErr w:type="spellStart"/>
      <w:r w:rsidR="00DD5A7A" w:rsidRPr="00DD5A7A">
        <w:rPr>
          <w:rFonts w:ascii="Times New Roman" w:hAnsi="Times New Roman" w:cs="Times New Roman"/>
          <w:sz w:val="24"/>
          <w:szCs w:val="24"/>
        </w:rPr>
        <w:t>Lindeboom</w:t>
      </w:r>
      <w:proofErr w:type="spellEnd"/>
      <w:r w:rsidR="00DD5A7A" w:rsidRPr="00DD5A7A">
        <w:rPr>
          <w:rFonts w:ascii="Times New Roman" w:hAnsi="Times New Roman" w:cs="Times New Roman"/>
          <w:sz w:val="24"/>
          <w:szCs w:val="24"/>
        </w:rPr>
        <w:t>, J. (2019). The normative impact of invoking directives: Casting light on direct effect and the elusive distinction between obligations and mere adverse r</w:t>
      </w:r>
      <w:r w:rsidRPr="00DD5A7A">
        <w:rPr>
          <w:rFonts w:ascii="Times New Roman" w:hAnsi="Times New Roman" w:cs="Times New Roman"/>
          <w:sz w:val="24"/>
          <w:szCs w:val="24"/>
        </w:rPr>
        <w:t>epercussions. </w:t>
      </w:r>
      <w:r w:rsidRPr="00DD5A7A">
        <w:rPr>
          <w:rFonts w:ascii="Times New Roman" w:hAnsi="Times New Roman" w:cs="Times New Roman"/>
          <w:i/>
          <w:iCs/>
          <w:sz w:val="24"/>
          <w:szCs w:val="24"/>
        </w:rPr>
        <w:t>Yearbook of European Law</w:t>
      </w:r>
      <w:r w:rsidRPr="00DD5A7A">
        <w:rPr>
          <w:rFonts w:ascii="Times New Roman" w:hAnsi="Times New Roman" w:cs="Times New Roman"/>
          <w:sz w:val="24"/>
          <w:szCs w:val="24"/>
        </w:rPr>
        <w:t>, </w:t>
      </w:r>
      <w:r w:rsidRPr="00DD5A7A">
        <w:rPr>
          <w:rFonts w:ascii="Times New Roman" w:hAnsi="Times New Roman" w:cs="Times New Roman"/>
          <w:i/>
          <w:iCs/>
          <w:sz w:val="24"/>
          <w:szCs w:val="24"/>
        </w:rPr>
        <w:t>38</w:t>
      </w:r>
      <w:r w:rsidRPr="00DD5A7A">
        <w:rPr>
          <w:rFonts w:ascii="Times New Roman" w:hAnsi="Times New Roman" w:cs="Times New Roman"/>
          <w:sz w:val="24"/>
          <w:szCs w:val="24"/>
        </w:rPr>
        <w:t>, 18-72.</w:t>
      </w:r>
    </w:p>
    <w:p w14:paraId="4B34E204" w14:textId="77777777" w:rsidR="001846D1" w:rsidRPr="00DD5A7A" w:rsidRDefault="001846D1" w:rsidP="0080124F">
      <w:pPr>
        <w:spacing w:after="0" w:line="480" w:lineRule="auto"/>
        <w:ind w:firstLine="720"/>
        <w:contextualSpacing/>
        <w:rPr>
          <w:rFonts w:ascii="Times New Roman" w:hAnsi="Times New Roman" w:cs="Times New Roman"/>
          <w:sz w:val="24"/>
          <w:szCs w:val="24"/>
        </w:rPr>
      </w:pPr>
    </w:p>
    <w:p w14:paraId="778C509C" w14:textId="77777777" w:rsidR="00184C7C" w:rsidRPr="00DD5A7A" w:rsidRDefault="00184C7C" w:rsidP="0080124F">
      <w:pPr>
        <w:spacing w:after="0" w:line="480" w:lineRule="auto"/>
        <w:ind w:firstLine="720"/>
        <w:contextualSpacing/>
        <w:rPr>
          <w:rFonts w:ascii="Times New Roman" w:hAnsi="Times New Roman" w:cs="Times New Roman"/>
          <w:sz w:val="24"/>
          <w:szCs w:val="24"/>
        </w:rPr>
      </w:pPr>
    </w:p>
    <w:p w14:paraId="29149BE7" w14:textId="77777777" w:rsidR="000A293D" w:rsidRPr="00DD5A7A" w:rsidRDefault="000A293D" w:rsidP="0080124F">
      <w:pPr>
        <w:spacing w:after="0" w:line="480" w:lineRule="auto"/>
        <w:ind w:firstLine="720"/>
        <w:contextualSpacing/>
        <w:rPr>
          <w:rFonts w:ascii="Times New Roman" w:hAnsi="Times New Roman" w:cs="Times New Roman"/>
          <w:sz w:val="24"/>
          <w:szCs w:val="24"/>
        </w:rPr>
      </w:pPr>
    </w:p>
    <w:sectPr w:rsidR="000A293D" w:rsidRPr="00DD5A7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F22DC" w14:textId="77777777" w:rsidR="00EA6A42" w:rsidRDefault="00EA6A42" w:rsidP="00DD5A7A">
      <w:pPr>
        <w:spacing w:after="0" w:line="240" w:lineRule="auto"/>
      </w:pPr>
      <w:r>
        <w:separator/>
      </w:r>
    </w:p>
  </w:endnote>
  <w:endnote w:type="continuationSeparator" w:id="0">
    <w:p w14:paraId="41A01854" w14:textId="77777777" w:rsidR="00EA6A42" w:rsidRDefault="00EA6A42" w:rsidP="00DD5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4EF48" w14:textId="77777777" w:rsidR="00EA6A42" w:rsidRDefault="00EA6A42" w:rsidP="00DD5A7A">
      <w:pPr>
        <w:spacing w:after="0" w:line="240" w:lineRule="auto"/>
      </w:pPr>
      <w:r>
        <w:separator/>
      </w:r>
    </w:p>
  </w:footnote>
  <w:footnote w:type="continuationSeparator" w:id="0">
    <w:p w14:paraId="20EDD181" w14:textId="77777777" w:rsidR="00EA6A42" w:rsidRDefault="00EA6A42" w:rsidP="00DD5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827040"/>
      <w:docPartObj>
        <w:docPartGallery w:val="Page Numbers (Top of Page)"/>
        <w:docPartUnique/>
      </w:docPartObj>
    </w:sdtPr>
    <w:sdtEndPr>
      <w:rPr>
        <w:noProof/>
      </w:rPr>
    </w:sdtEndPr>
    <w:sdtContent>
      <w:p w14:paraId="107B0350" w14:textId="0BCA640F" w:rsidR="00DD5A7A" w:rsidRPr="00DD5A7A" w:rsidRDefault="00DD5A7A" w:rsidP="00DD5A7A">
        <w:pPr>
          <w:spacing w:after="0" w:line="480" w:lineRule="auto"/>
          <w:ind w:firstLine="720"/>
          <w:contextualSpacing/>
          <w:jc w:val="center"/>
          <w:rPr>
            <w:rFonts w:ascii="Times New Roman" w:hAnsi="Times New Roman" w:cs="Times New Roman"/>
            <w:bCs/>
            <w:sz w:val="24"/>
            <w:szCs w:val="24"/>
          </w:rPr>
        </w:pPr>
        <w:r>
          <w:t xml:space="preserve">                                                          </w:t>
        </w:r>
        <w:r w:rsidRPr="00DD5A7A">
          <w:rPr>
            <w:rFonts w:ascii="Times New Roman" w:hAnsi="Times New Roman" w:cs="Times New Roman"/>
            <w:bCs/>
            <w:sz w:val="24"/>
            <w:szCs w:val="24"/>
          </w:rPr>
          <w:t xml:space="preserve">Direct Effect, Indirect Effect and Member State Liability  </w:t>
        </w:r>
        <w:r w:rsidRPr="00DD5A7A">
          <w:rPr>
            <w:rFonts w:ascii="Times New Roman" w:hAnsi="Times New Roman" w:cs="Times New Roman"/>
            <w:sz w:val="24"/>
          </w:rPr>
          <w:fldChar w:fldCharType="begin"/>
        </w:r>
        <w:r w:rsidRPr="00DD5A7A">
          <w:rPr>
            <w:rFonts w:ascii="Times New Roman" w:hAnsi="Times New Roman" w:cs="Times New Roman"/>
            <w:sz w:val="24"/>
          </w:rPr>
          <w:instrText xml:space="preserve"> PAGE   \* MERGEFORMAT </w:instrText>
        </w:r>
        <w:r w:rsidRPr="00DD5A7A">
          <w:rPr>
            <w:rFonts w:ascii="Times New Roman" w:hAnsi="Times New Roman" w:cs="Times New Roman"/>
            <w:sz w:val="24"/>
          </w:rPr>
          <w:fldChar w:fldCharType="separate"/>
        </w:r>
        <w:r>
          <w:rPr>
            <w:rFonts w:ascii="Times New Roman" w:hAnsi="Times New Roman" w:cs="Times New Roman"/>
            <w:noProof/>
            <w:sz w:val="24"/>
          </w:rPr>
          <w:t>1</w:t>
        </w:r>
        <w:r w:rsidRPr="00DD5A7A">
          <w:rPr>
            <w:rFonts w:ascii="Times New Roman" w:hAnsi="Times New Roman" w:cs="Times New Roman"/>
            <w:noProof/>
            <w:sz w:val="24"/>
          </w:rPr>
          <w:fldChar w:fldCharType="end"/>
        </w:r>
      </w:p>
    </w:sdtContent>
  </w:sdt>
  <w:p w14:paraId="14CE7518" w14:textId="77777777" w:rsidR="00DD5A7A" w:rsidRDefault="00DD5A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7A9"/>
    <w:rsid w:val="000A293D"/>
    <w:rsid w:val="000E69A3"/>
    <w:rsid w:val="001846D1"/>
    <w:rsid w:val="00184C7C"/>
    <w:rsid w:val="00190F13"/>
    <w:rsid w:val="00256580"/>
    <w:rsid w:val="002F066B"/>
    <w:rsid w:val="0041231E"/>
    <w:rsid w:val="00475488"/>
    <w:rsid w:val="00494E43"/>
    <w:rsid w:val="004A609A"/>
    <w:rsid w:val="005A330F"/>
    <w:rsid w:val="005E6C36"/>
    <w:rsid w:val="006854DE"/>
    <w:rsid w:val="006857A9"/>
    <w:rsid w:val="006B5F58"/>
    <w:rsid w:val="0076485E"/>
    <w:rsid w:val="007A72C3"/>
    <w:rsid w:val="0080124F"/>
    <w:rsid w:val="008D313B"/>
    <w:rsid w:val="009B28C9"/>
    <w:rsid w:val="00A30091"/>
    <w:rsid w:val="00B464A3"/>
    <w:rsid w:val="00C127DB"/>
    <w:rsid w:val="00C83D22"/>
    <w:rsid w:val="00DD5A7A"/>
    <w:rsid w:val="00EA6A42"/>
    <w:rsid w:val="00F46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50D8"/>
  <w15:chartTrackingRefBased/>
  <w15:docId w15:val="{3EE92702-EDC0-4A4E-AC13-4FC10D712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A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A7A"/>
  </w:style>
  <w:style w:type="paragraph" w:styleId="Footer">
    <w:name w:val="footer"/>
    <w:basedOn w:val="Normal"/>
    <w:link w:val="FooterChar"/>
    <w:uiPriority w:val="99"/>
    <w:unhideWhenUsed/>
    <w:rsid w:val="00DD5A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24649">
      <w:bodyDiv w:val="1"/>
      <w:marLeft w:val="0"/>
      <w:marRight w:val="0"/>
      <w:marTop w:val="0"/>
      <w:marBottom w:val="0"/>
      <w:divBdr>
        <w:top w:val="none" w:sz="0" w:space="0" w:color="auto"/>
        <w:left w:val="none" w:sz="0" w:space="0" w:color="auto"/>
        <w:bottom w:val="none" w:sz="0" w:space="0" w:color="auto"/>
        <w:right w:val="none" w:sz="0" w:space="0" w:color="auto"/>
      </w:divBdr>
      <w:divsChild>
        <w:div w:id="43912662">
          <w:marLeft w:val="0"/>
          <w:marRight w:val="0"/>
          <w:marTop w:val="0"/>
          <w:marBottom w:val="0"/>
          <w:divBdr>
            <w:top w:val="none" w:sz="0" w:space="0" w:color="auto"/>
            <w:left w:val="none" w:sz="0" w:space="0" w:color="auto"/>
            <w:bottom w:val="none" w:sz="0" w:space="0" w:color="auto"/>
            <w:right w:val="none" w:sz="0" w:space="0" w:color="auto"/>
          </w:divBdr>
        </w:div>
        <w:div w:id="1686781807">
          <w:marLeft w:val="0"/>
          <w:marRight w:val="0"/>
          <w:marTop w:val="0"/>
          <w:marBottom w:val="0"/>
          <w:divBdr>
            <w:top w:val="none" w:sz="0" w:space="0" w:color="auto"/>
            <w:left w:val="none" w:sz="0" w:space="0" w:color="auto"/>
            <w:bottom w:val="none" w:sz="0" w:space="0" w:color="auto"/>
            <w:right w:val="none" w:sz="0" w:space="0" w:color="auto"/>
          </w:divBdr>
        </w:div>
        <w:div w:id="756361372">
          <w:marLeft w:val="0"/>
          <w:marRight w:val="0"/>
          <w:marTop w:val="0"/>
          <w:marBottom w:val="0"/>
          <w:divBdr>
            <w:top w:val="none" w:sz="0" w:space="0" w:color="auto"/>
            <w:left w:val="none" w:sz="0" w:space="0" w:color="auto"/>
            <w:bottom w:val="none" w:sz="0" w:space="0" w:color="auto"/>
            <w:right w:val="none" w:sz="0" w:space="0" w:color="auto"/>
          </w:divBdr>
        </w:div>
        <w:div w:id="241574041">
          <w:marLeft w:val="0"/>
          <w:marRight w:val="0"/>
          <w:marTop w:val="0"/>
          <w:marBottom w:val="0"/>
          <w:divBdr>
            <w:top w:val="none" w:sz="0" w:space="0" w:color="auto"/>
            <w:left w:val="none" w:sz="0" w:space="0" w:color="auto"/>
            <w:bottom w:val="none" w:sz="0" w:space="0" w:color="auto"/>
            <w:right w:val="none" w:sz="0" w:space="0" w:color="auto"/>
          </w:divBdr>
        </w:div>
        <w:div w:id="350842082">
          <w:marLeft w:val="0"/>
          <w:marRight w:val="0"/>
          <w:marTop w:val="0"/>
          <w:marBottom w:val="0"/>
          <w:divBdr>
            <w:top w:val="none" w:sz="0" w:space="0" w:color="auto"/>
            <w:left w:val="none" w:sz="0" w:space="0" w:color="auto"/>
            <w:bottom w:val="none" w:sz="0" w:space="0" w:color="auto"/>
            <w:right w:val="none" w:sz="0" w:space="0" w:color="auto"/>
          </w:divBdr>
        </w:div>
        <w:div w:id="943267263">
          <w:marLeft w:val="0"/>
          <w:marRight w:val="0"/>
          <w:marTop w:val="0"/>
          <w:marBottom w:val="0"/>
          <w:divBdr>
            <w:top w:val="none" w:sz="0" w:space="0" w:color="auto"/>
            <w:left w:val="none" w:sz="0" w:space="0" w:color="auto"/>
            <w:bottom w:val="none" w:sz="0" w:space="0" w:color="auto"/>
            <w:right w:val="none" w:sz="0" w:space="0" w:color="auto"/>
          </w:divBdr>
        </w:div>
        <w:div w:id="997340273">
          <w:marLeft w:val="0"/>
          <w:marRight w:val="0"/>
          <w:marTop w:val="0"/>
          <w:marBottom w:val="0"/>
          <w:divBdr>
            <w:top w:val="none" w:sz="0" w:space="0" w:color="auto"/>
            <w:left w:val="none" w:sz="0" w:space="0" w:color="auto"/>
            <w:bottom w:val="none" w:sz="0" w:space="0" w:color="auto"/>
            <w:right w:val="none" w:sz="0" w:space="0" w:color="auto"/>
          </w:divBdr>
        </w:div>
        <w:div w:id="1480657469">
          <w:marLeft w:val="0"/>
          <w:marRight w:val="0"/>
          <w:marTop w:val="0"/>
          <w:marBottom w:val="0"/>
          <w:divBdr>
            <w:top w:val="none" w:sz="0" w:space="0" w:color="auto"/>
            <w:left w:val="none" w:sz="0" w:space="0" w:color="auto"/>
            <w:bottom w:val="none" w:sz="0" w:space="0" w:color="auto"/>
            <w:right w:val="none" w:sz="0" w:space="0" w:color="auto"/>
          </w:divBdr>
        </w:div>
        <w:div w:id="1398820053">
          <w:marLeft w:val="0"/>
          <w:marRight w:val="0"/>
          <w:marTop w:val="0"/>
          <w:marBottom w:val="0"/>
          <w:divBdr>
            <w:top w:val="none" w:sz="0" w:space="0" w:color="auto"/>
            <w:left w:val="none" w:sz="0" w:space="0" w:color="auto"/>
            <w:bottom w:val="none" w:sz="0" w:space="0" w:color="auto"/>
            <w:right w:val="none" w:sz="0" w:space="0" w:color="auto"/>
          </w:divBdr>
        </w:div>
        <w:div w:id="685669629">
          <w:marLeft w:val="0"/>
          <w:marRight w:val="0"/>
          <w:marTop w:val="0"/>
          <w:marBottom w:val="0"/>
          <w:divBdr>
            <w:top w:val="none" w:sz="0" w:space="0" w:color="auto"/>
            <w:left w:val="none" w:sz="0" w:space="0" w:color="auto"/>
            <w:bottom w:val="none" w:sz="0" w:space="0" w:color="auto"/>
            <w:right w:val="none" w:sz="0" w:space="0" w:color="auto"/>
          </w:divBdr>
        </w:div>
        <w:div w:id="824903990">
          <w:marLeft w:val="0"/>
          <w:marRight w:val="0"/>
          <w:marTop w:val="0"/>
          <w:marBottom w:val="0"/>
          <w:divBdr>
            <w:top w:val="none" w:sz="0" w:space="0" w:color="auto"/>
            <w:left w:val="none" w:sz="0" w:space="0" w:color="auto"/>
            <w:bottom w:val="none" w:sz="0" w:space="0" w:color="auto"/>
            <w:right w:val="none" w:sz="0" w:space="0" w:color="auto"/>
          </w:divBdr>
        </w:div>
        <w:div w:id="2018999965">
          <w:marLeft w:val="0"/>
          <w:marRight w:val="0"/>
          <w:marTop w:val="0"/>
          <w:marBottom w:val="0"/>
          <w:divBdr>
            <w:top w:val="none" w:sz="0" w:space="0" w:color="auto"/>
            <w:left w:val="none" w:sz="0" w:space="0" w:color="auto"/>
            <w:bottom w:val="none" w:sz="0" w:space="0" w:color="auto"/>
            <w:right w:val="none" w:sz="0" w:space="0" w:color="auto"/>
          </w:divBdr>
        </w:div>
        <w:div w:id="177432123">
          <w:marLeft w:val="0"/>
          <w:marRight w:val="0"/>
          <w:marTop w:val="0"/>
          <w:marBottom w:val="0"/>
          <w:divBdr>
            <w:top w:val="none" w:sz="0" w:space="0" w:color="auto"/>
            <w:left w:val="none" w:sz="0" w:space="0" w:color="auto"/>
            <w:bottom w:val="none" w:sz="0" w:space="0" w:color="auto"/>
            <w:right w:val="none" w:sz="0" w:space="0" w:color="auto"/>
          </w:divBdr>
        </w:div>
        <w:div w:id="27991319">
          <w:marLeft w:val="0"/>
          <w:marRight w:val="0"/>
          <w:marTop w:val="0"/>
          <w:marBottom w:val="0"/>
          <w:divBdr>
            <w:top w:val="none" w:sz="0" w:space="0" w:color="auto"/>
            <w:left w:val="none" w:sz="0" w:space="0" w:color="auto"/>
            <w:bottom w:val="none" w:sz="0" w:space="0" w:color="auto"/>
            <w:right w:val="none" w:sz="0" w:space="0" w:color="auto"/>
          </w:divBdr>
        </w:div>
        <w:div w:id="2066415900">
          <w:marLeft w:val="0"/>
          <w:marRight w:val="0"/>
          <w:marTop w:val="0"/>
          <w:marBottom w:val="0"/>
          <w:divBdr>
            <w:top w:val="none" w:sz="0" w:space="0" w:color="auto"/>
            <w:left w:val="none" w:sz="0" w:space="0" w:color="auto"/>
            <w:bottom w:val="none" w:sz="0" w:space="0" w:color="auto"/>
            <w:right w:val="none" w:sz="0" w:space="0" w:color="auto"/>
          </w:divBdr>
        </w:div>
        <w:div w:id="431048496">
          <w:marLeft w:val="0"/>
          <w:marRight w:val="0"/>
          <w:marTop w:val="0"/>
          <w:marBottom w:val="0"/>
          <w:divBdr>
            <w:top w:val="none" w:sz="0" w:space="0" w:color="auto"/>
            <w:left w:val="none" w:sz="0" w:space="0" w:color="auto"/>
            <w:bottom w:val="none" w:sz="0" w:space="0" w:color="auto"/>
            <w:right w:val="none" w:sz="0" w:space="0" w:color="auto"/>
          </w:divBdr>
        </w:div>
        <w:div w:id="244530683">
          <w:marLeft w:val="0"/>
          <w:marRight w:val="0"/>
          <w:marTop w:val="0"/>
          <w:marBottom w:val="0"/>
          <w:divBdr>
            <w:top w:val="none" w:sz="0" w:space="0" w:color="auto"/>
            <w:left w:val="none" w:sz="0" w:space="0" w:color="auto"/>
            <w:bottom w:val="none" w:sz="0" w:space="0" w:color="auto"/>
            <w:right w:val="none" w:sz="0" w:space="0" w:color="auto"/>
          </w:divBdr>
        </w:div>
        <w:div w:id="1404838059">
          <w:marLeft w:val="0"/>
          <w:marRight w:val="0"/>
          <w:marTop w:val="0"/>
          <w:marBottom w:val="0"/>
          <w:divBdr>
            <w:top w:val="none" w:sz="0" w:space="0" w:color="auto"/>
            <w:left w:val="none" w:sz="0" w:space="0" w:color="auto"/>
            <w:bottom w:val="none" w:sz="0" w:space="0" w:color="auto"/>
            <w:right w:val="none" w:sz="0" w:space="0" w:color="auto"/>
          </w:divBdr>
        </w:div>
        <w:div w:id="1457918009">
          <w:marLeft w:val="0"/>
          <w:marRight w:val="0"/>
          <w:marTop w:val="0"/>
          <w:marBottom w:val="0"/>
          <w:divBdr>
            <w:top w:val="none" w:sz="0" w:space="0" w:color="auto"/>
            <w:left w:val="none" w:sz="0" w:space="0" w:color="auto"/>
            <w:bottom w:val="none" w:sz="0" w:space="0" w:color="auto"/>
            <w:right w:val="none" w:sz="0" w:space="0" w:color="auto"/>
          </w:divBdr>
        </w:div>
        <w:div w:id="1486241057">
          <w:marLeft w:val="0"/>
          <w:marRight w:val="0"/>
          <w:marTop w:val="0"/>
          <w:marBottom w:val="0"/>
          <w:divBdr>
            <w:top w:val="none" w:sz="0" w:space="0" w:color="auto"/>
            <w:left w:val="none" w:sz="0" w:space="0" w:color="auto"/>
            <w:bottom w:val="none" w:sz="0" w:space="0" w:color="auto"/>
            <w:right w:val="none" w:sz="0" w:space="0" w:color="auto"/>
          </w:divBdr>
        </w:div>
        <w:div w:id="1038506662">
          <w:marLeft w:val="0"/>
          <w:marRight w:val="0"/>
          <w:marTop w:val="0"/>
          <w:marBottom w:val="0"/>
          <w:divBdr>
            <w:top w:val="none" w:sz="0" w:space="0" w:color="auto"/>
            <w:left w:val="none" w:sz="0" w:space="0" w:color="auto"/>
            <w:bottom w:val="none" w:sz="0" w:space="0" w:color="auto"/>
            <w:right w:val="none" w:sz="0" w:space="0" w:color="auto"/>
          </w:divBdr>
        </w:div>
        <w:div w:id="930550654">
          <w:marLeft w:val="0"/>
          <w:marRight w:val="0"/>
          <w:marTop w:val="0"/>
          <w:marBottom w:val="0"/>
          <w:divBdr>
            <w:top w:val="none" w:sz="0" w:space="0" w:color="auto"/>
            <w:left w:val="none" w:sz="0" w:space="0" w:color="auto"/>
            <w:bottom w:val="none" w:sz="0" w:space="0" w:color="auto"/>
            <w:right w:val="none" w:sz="0" w:space="0" w:color="auto"/>
          </w:divBdr>
        </w:div>
        <w:div w:id="1306548333">
          <w:marLeft w:val="0"/>
          <w:marRight w:val="0"/>
          <w:marTop w:val="0"/>
          <w:marBottom w:val="0"/>
          <w:divBdr>
            <w:top w:val="none" w:sz="0" w:space="0" w:color="auto"/>
            <w:left w:val="none" w:sz="0" w:space="0" w:color="auto"/>
            <w:bottom w:val="none" w:sz="0" w:space="0" w:color="auto"/>
            <w:right w:val="none" w:sz="0" w:space="0" w:color="auto"/>
          </w:divBdr>
        </w:div>
        <w:div w:id="1714497369">
          <w:marLeft w:val="0"/>
          <w:marRight w:val="0"/>
          <w:marTop w:val="0"/>
          <w:marBottom w:val="0"/>
          <w:divBdr>
            <w:top w:val="none" w:sz="0" w:space="0" w:color="auto"/>
            <w:left w:val="none" w:sz="0" w:space="0" w:color="auto"/>
            <w:bottom w:val="none" w:sz="0" w:space="0" w:color="auto"/>
            <w:right w:val="none" w:sz="0" w:space="0" w:color="auto"/>
          </w:divBdr>
        </w:div>
        <w:div w:id="174999267">
          <w:marLeft w:val="0"/>
          <w:marRight w:val="0"/>
          <w:marTop w:val="0"/>
          <w:marBottom w:val="0"/>
          <w:divBdr>
            <w:top w:val="none" w:sz="0" w:space="0" w:color="auto"/>
            <w:left w:val="none" w:sz="0" w:space="0" w:color="auto"/>
            <w:bottom w:val="none" w:sz="0" w:space="0" w:color="auto"/>
            <w:right w:val="none" w:sz="0" w:space="0" w:color="auto"/>
          </w:divBdr>
        </w:div>
        <w:div w:id="492569133">
          <w:marLeft w:val="0"/>
          <w:marRight w:val="0"/>
          <w:marTop w:val="0"/>
          <w:marBottom w:val="0"/>
          <w:divBdr>
            <w:top w:val="none" w:sz="0" w:space="0" w:color="auto"/>
            <w:left w:val="none" w:sz="0" w:space="0" w:color="auto"/>
            <w:bottom w:val="none" w:sz="0" w:space="0" w:color="auto"/>
            <w:right w:val="none" w:sz="0" w:space="0" w:color="auto"/>
          </w:divBdr>
        </w:div>
        <w:div w:id="32273027">
          <w:marLeft w:val="0"/>
          <w:marRight w:val="0"/>
          <w:marTop w:val="0"/>
          <w:marBottom w:val="0"/>
          <w:divBdr>
            <w:top w:val="none" w:sz="0" w:space="0" w:color="auto"/>
            <w:left w:val="none" w:sz="0" w:space="0" w:color="auto"/>
            <w:bottom w:val="none" w:sz="0" w:space="0" w:color="auto"/>
            <w:right w:val="none" w:sz="0" w:space="0" w:color="auto"/>
          </w:divBdr>
        </w:div>
        <w:div w:id="1081609758">
          <w:marLeft w:val="0"/>
          <w:marRight w:val="0"/>
          <w:marTop w:val="0"/>
          <w:marBottom w:val="0"/>
          <w:divBdr>
            <w:top w:val="none" w:sz="0" w:space="0" w:color="auto"/>
            <w:left w:val="none" w:sz="0" w:space="0" w:color="auto"/>
            <w:bottom w:val="none" w:sz="0" w:space="0" w:color="auto"/>
            <w:right w:val="none" w:sz="0" w:space="0" w:color="auto"/>
          </w:divBdr>
        </w:div>
        <w:div w:id="342392355">
          <w:marLeft w:val="0"/>
          <w:marRight w:val="0"/>
          <w:marTop w:val="0"/>
          <w:marBottom w:val="0"/>
          <w:divBdr>
            <w:top w:val="none" w:sz="0" w:space="0" w:color="auto"/>
            <w:left w:val="none" w:sz="0" w:space="0" w:color="auto"/>
            <w:bottom w:val="none" w:sz="0" w:space="0" w:color="auto"/>
            <w:right w:val="none" w:sz="0" w:space="0" w:color="auto"/>
          </w:divBdr>
        </w:div>
        <w:div w:id="572937293">
          <w:marLeft w:val="0"/>
          <w:marRight w:val="0"/>
          <w:marTop w:val="0"/>
          <w:marBottom w:val="0"/>
          <w:divBdr>
            <w:top w:val="none" w:sz="0" w:space="0" w:color="auto"/>
            <w:left w:val="none" w:sz="0" w:space="0" w:color="auto"/>
            <w:bottom w:val="none" w:sz="0" w:space="0" w:color="auto"/>
            <w:right w:val="none" w:sz="0" w:space="0" w:color="auto"/>
          </w:divBdr>
        </w:div>
        <w:div w:id="904879830">
          <w:marLeft w:val="0"/>
          <w:marRight w:val="0"/>
          <w:marTop w:val="0"/>
          <w:marBottom w:val="0"/>
          <w:divBdr>
            <w:top w:val="none" w:sz="0" w:space="0" w:color="auto"/>
            <w:left w:val="none" w:sz="0" w:space="0" w:color="auto"/>
            <w:bottom w:val="none" w:sz="0" w:space="0" w:color="auto"/>
            <w:right w:val="none" w:sz="0" w:space="0" w:color="auto"/>
          </w:divBdr>
        </w:div>
        <w:div w:id="1437600777">
          <w:marLeft w:val="0"/>
          <w:marRight w:val="0"/>
          <w:marTop w:val="0"/>
          <w:marBottom w:val="0"/>
          <w:divBdr>
            <w:top w:val="none" w:sz="0" w:space="0" w:color="auto"/>
            <w:left w:val="none" w:sz="0" w:space="0" w:color="auto"/>
            <w:bottom w:val="none" w:sz="0" w:space="0" w:color="auto"/>
            <w:right w:val="none" w:sz="0" w:space="0" w:color="auto"/>
          </w:divBdr>
        </w:div>
        <w:div w:id="938026459">
          <w:marLeft w:val="0"/>
          <w:marRight w:val="0"/>
          <w:marTop w:val="0"/>
          <w:marBottom w:val="0"/>
          <w:divBdr>
            <w:top w:val="none" w:sz="0" w:space="0" w:color="auto"/>
            <w:left w:val="none" w:sz="0" w:space="0" w:color="auto"/>
            <w:bottom w:val="none" w:sz="0" w:space="0" w:color="auto"/>
            <w:right w:val="none" w:sz="0" w:space="0" w:color="auto"/>
          </w:divBdr>
        </w:div>
        <w:div w:id="1126895650">
          <w:marLeft w:val="0"/>
          <w:marRight w:val="0"/>
          <w:marTop w:val="0"/>
          <w:marBottom w:val="0"/>
          <w:divBdr>
            <w:top w:val="none" w:sz="0" w:space="0" w:color="auto"/>
            <w:left w:val="none" w:sz="0" w:space="0" w:color="auto"/>
            <w:bottom w:val="none" w:sz="0" w:space="0" w:color="auto"/>
            <w:right w:val="none" w:sz="0" w:space="0" w:color="auto"/>
          </w:divBdr>
        </w:div>
        <w:div w:id="1721781882">
          <w:marLeft w:val="0"/>
          <w:marRight w:val="0"/>
          <w:marTop w:val="0"/>
          <w:marBottom w:val="0"/>
          <w:divBdr>
            <w:top w:val="none" w:sz="0" w:space="0" w:color="auto"/>
            <w:left w:val="none" w:sz="0" w:space="0" w:color="auto"/>
            <w:bottom w:val="none" w:sz="0" w:space="0" w:color="auto"/>
            <w:right w:val="none" w:sz="0" w:space="0" w:color="auto"/>
          </w:divBdr>
        </w:div>
      </w:divsChild>
    </w:div>
    <w:div w:id="1683122619">
      <w:bodyDiv w:val="1"/>
      <w:marLeft w:val="0"/>
      <w:marRight w:val="0"/>
      <w:marTop w:val="0"/>
      <w:marBottom w:val="0"/>
      <w:divBdr>
        <w:top w:val="none" w:sz="0" w:space="0" w:color="auto"/>
        <w:left w:val="none" w:sz="0" w:space="0" w:color="auto"/>
        <w:bottom w:val="none" w:sz="0" w:space="0" w:color="auto"/>
        <w:right w:val="none" w:sz="0" w:space="0" w:color="auto"/>
      </w:divBdr>
      <w:divsChild>
        <w:div w:id="439763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1972</Words>
  <Characters>11245</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Faisal Shamsdin</cp:lastModifiedBy>
  <cp:revision>2</cp:revision>
  <dcterms:created xsi:type="dcterms:W3CDTF">2022-07-21T08:20:00Z</dcterms:created>
  <dcterms:modified xsi:type="dcterms:W3CDTF">2022-07-21T08:20:00Z</dcterms:modified>
</cp:coreProperties>
</file>