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DC159D" w14:textId="77777777" w:rsidR="000A5484" w:rsidRDefault="000A5484" w:rsidP="000A5484">
      <w:pPr>
        <w:jc w:val="center"/>
      </w:pPr>
    </w:p>
    <w:p w14:paraId="5B28841D" w14:textId="77777777" w:rsidR="000A5484" w:rsidRDefault="000A5484" w:rsidP="000A5484">
      <w:pPr>
        <w:jc w:val="center"/>
      </w:pPr>
    </w:p>
    <w:p w14:paraId="77ECECD1" w14:textId="77777777" w:rsidR="000A5484" w:rsidRDefault="000A5484" w:rsidP="000A5484">
      <w:pPr>
        <w:jc w:val="center"/>
      </w:pPr>
    </w:p>
    <w:p w14:paraId="6DCE77DC" w14:textId="3C6132F6" w:rsidR="000A5484" w:rsidRPr="000A5484" w:rsidRDefault="000A5484" w:rsidP="000A5484">
      <w:pPr>
        <w:jc w:val="center"/>
      </w:pPr>
      <w:r w:rsidRPr="000A5484">
        <w:t>Digital Transformation in the Health and Care Professions</w:t>
      </w:r>
    </w:p>
    <w:p w14:paraId="74F604D3" w14:textId="5DCF1E69" w:rsidR="000A5484" w:rsidRPr="000A5484" w:rsidRDefault="000A5484" w:rsidP="000A5484">
      <w:pPr>
        <w:jc w:val="center"/>
      </w:pPr>
      <w:r w:rsidRPr="000A5484">
        <w:t>Module Code: BMHP6026</w:t>
      </w:r>
    </w:p>
    <w:p w14:paraId="17642C3E" w14:textId="77777777" w:rsidR="000A5484" w:rsidRPr="000A5484" w:rsidRDefault="000A5484" w:rsidP="000A5484">
      <w:pPr>
        <w:jc w:val="center"/>
      </w:pPr>
      <w:r w:rsidRPr="000A5484">
        <w:t>Assignment Title:</w:t>
      </w:r>
    </w:p>
    <w:p w14:paraId="42938FA5" w14:textId="631F1969" w:rsidR="000A5484" w:rsidRDefault="000A5484" w:rsidP="000A5484">
      <w:pPr>
        <w:pStyle w:val="Title"/>
      </w:pPr>
      <w:r w:rsidRPr="000A5484">
        <w:t>The NHS App: Workforce and Service Delivery Impacts in UK Health and Social Care</w:t>
      </w:r>
    </w:p>
    <w:p w14:paraId="70A77421" w14:textId="77777777" w:rsidR="000A5484" w:rsidRPr="000A5484" w:rsidRDefault="000A5484" w:rsidP="000A5484"/>
    <w:p w14:paraId="78D172BA" w14:textId="0BE2257A" w:rsidR="000A5484" w:rsidRPr="000A5484" w:rsidRDefault="000A5484" w:rsidP="000A5484">
      <w:pPr>
        <w:jc w:val="center"/>
      </w:pPr>
      <w:r w:rsidRPr="000A5484">
        <w:t xml:space="preserve">Student Name: </w:t>
      </w:r>
      <w:r w:rsidR="00070745" w:rsidRPr="00070745">
        <w:t xml:space="preserve">Razia khan </w:t>
      </w:r>
    </w:p>
    <w:p w14:paraId="693EFD3D" w14:textId="03DB67C5" w:rsidR="000A5484" w:rsidRPr="000A5484" w:rsidRDefault="000A5484" w:rsidP="000A5484">
      <w:pPr>
        <w:jc w:val="center"/>
      </w:pPr>
      <w:r w:rsidRPr="000A5484">
        <w:t>Student Number:</w:t>
      </w:r>
      <w:r w:rsidR="00070745">
        <w:t xml:space="preserve"> </w:t>
      </w:r>
      <w:r w:rsidR="00E7098C" w:rsidRPr="00E7098C">
        <w:t>2313058</w:t>
      </w:r>
    </w:p>
    <w:p w14:paraId="252A95BA" w14:textId="77777777" w:rsidR="000A5484" w:rsidRPr="000A5484" w:rsidRDefault="000A5484" w:rsidP="000A5484">
      <w:pPr>
        <w:jc w:val="center"/>
      </w:pPr>
      <w:r w:rsidRPr="000A5484">
        <w:t>Programme: BSc (Hons) Health and Social Care</w:t>
      </w:r>
    </w:p>
    <w:p w14:paraId="1346328D" w14:textId="5DC08DE7" w:rsidR="000A5484" w:rsidRPr="000A5484" w:rsidRDefault="000A5484" w:rsidP="000A5484">
      <w:pPr>
        <w:jc w:val="center"/>
      </w:pPr>
      <w:r w:rsidRPr="000A5484">
        <w:t xml:space="preserve">Lecturer: </w:t>
      </w:r>
      <w:r w:rsidR="00704D3C" w:rsidRPr="00704D3C">
        <w:t>Joanne Davies</w:t>
      </w:r>
    </w:p>
    <w:p w14:paraId="0BB25E12" w14:textId="77777777" w:rsidR="000A5484" w:rsidRPr="000A5484" w:rsidRDefault="000A5484" w:rsidP="000A5484">
      <w:pPr>
        <w:jc w:val="center"/>
      </w:pPr>
      <w:r w:rsidRPr="000A5484">
        <w:t>Submission Deadline: 26th October 2025, 14:00 (2 PM)</w:t>
      </w:r>
    </w:p>
    <w:p w14:paraId="5CC7E061" w14:textId="41A5AB88" w:rsidR="000A5484" w:rsidRDefault="000A5484" w:rsidP="000A5484">
      <w:pPr>
        <w:jc w:val="center"/>
      </w:pPr>
      <w:r w:rsidRPr="000A5484">
        <w:t>Word Count: 2,000 (+/-10%)</w:t>
      </w:r>
    </w:p>
    <w:p w14:paraId="2607AF63" w14:textId="77777777" w:rsidR="000A5484" w:rsidRDefault="000A5484" w:rsidP="000A5484">
      <w:pPr>
        <w:jc w:val="center"/>
      </w:pPr>
    </w:p>
    <w:p w14:paraId="28DFF0FA" w14:textId="77777777" w:rsidR="000A5484" w:rsidRDefault="000A5484" w:rsidP="000A5484">
      <w:pPr>
        <w:jc w:val="center"/>
      </w:pPr>
    </w:p>
    <w:p w14:paraId="6CA1CF7C" w14:textId="77777777" w:rsidR="000A5484" w:rsidRDefault="000A5484" w:rsidP="000A5484">
      <w:pPr>
        <w:jc w:val="center"/>
      </w:pPr>
    </w:p>
    <w:p w14:paraId="53140478" w14:textId="77777777" w:rsidR="000A5484" w:rsidRDefault="000A5484" w:rsidP="000A5484">
      <w:pPr>
        <w:jc w:val="center"/>
      </w:pPr>
    </w:p>
    <w:p w14:paraId="0629DE0B" w14:textId="77777777" w:rsidR="000A5484" w:rsidRDefault="000A5484" w:rsidP="000A5484">
      <w:pPr>
        <w:jc w:val="center"/>
      </w:pPr>
    </w:p>
    <w:p w14:paraId="2D73D135" w14:textId="77777777" w:rsidR="000A5484" w:rsidRDefault="000A5484" w:rsidP="000A5484">
      <w:pPr>
        <w:jc w:val="center"/>
      </w:pPr>
    </w:p>
    <w:sdt>
      <w:sdtPr>
        <w:rPr>
          <w:rFonts w:ascii="Times New Roman" w:eastAsiaTheme="minorHAnsi" w:hAnsi="Times New Roman" w:cstheme="minorBidi"/>
          <w:color w:val="auto"/>
          <w:kern w:val="2"/>
          <w:sz w:val="24"/>
          <w:szCs w:val="24"/>
          <w:lang w:val="en-GB"/>
          <w14:ligatures w14:val="standardContextual"/>
        </w:rPr>
        <w:id w:val="1620342250"/>
        <w:docPartObj>
          <w:docPartGallery w:val="Table of Contents"/>
          <w:docPartUnique/>
        </w:docPartObj>
      </w:sdtPr>
      <w:sdtEndPr>
        <w:rPr>
          <w:b/>
          <w:bCs/>
          <w:noProof/>
        </w:rPr>
      </w:sdtEndPr>
      <w:sdtContent>
        <w:p w14:paraId="75B46AB1" w14:textId="1B769BFB" w:rsidR="000A5484" w:rsidRDefault="000A5484">
          <w:pPr>
            <w:pStyle w:val="TOCHeading"/>
          </w:pPr>
          <w:r>
            <w:t>Contents</w:t>
          </w:r>
        </w:p>
        <w:p w14:paraId="1034B436" w14:textId="2BC48092" w:rsidR="000A5484" w:rsidRDefault="000A5484">
          <w:pPr>
            <w:pStyle w:val="TOC1"/>
            <w:tabs>
              <w:tab w:val="left" w:pos="440"/>
              <w:tab w:val="right" w:leader="dot" w:pos="9350"/>
            </w:tabs>
            <w:rPr>
              <w:rFonts w:cstheme="minorBidi"/>
              <w:noProof/>
              <w:kern w:val="2"/>
              <w:sz w:val="24"/>
              <w:szCs w:val="24"/>
              <w:lang w:val="en-GB" w:eastAsia="en-GB"/>
              <w14:ligatures w14:val="standardContextual"/>
            </w:rPr>
          </w:pPr>
          <w:r>
            <w:fldChar w:fldCharType="begin"/>
          </w:r>
          <w:r>
            <w:instrText xml:space="preserve"> TOC \o "1-3" \h \z \u </w:instrText>
          </w:r>
          <w:r>
            <w:fldChar w:fldCharType="separate"/>
          </w:r>
          <w:hyperlink w:anchor="_Toc211213418" w:history="1">
            <w:r w:rsidRPr="00CC3389">
              <w:rPr>
                <w:rStyle w:val="Hyperlink"/>
                <w:noProof/>
              </w:rPr>
              <w:t>1</w:t>
            </w:r>
            <w:r>
              <w:rPr>
                <w:rFonts w:cstheme="minorBidi"/>
                <w:noProof/>
                <w:kern w:val="2"/>
                <w:sz w:val="24"/>
                <w:szCs w:val="24"/>
                <w:lang w:val="en-GB" w:eastAsia="en-GB"/>
                <w14:ligatures w14:val="standardContextual"/>
              </w:rPr>
              <w:tab/>
            </w:r>
            <w:r w:rsidRPr="00CC3389">
              <w:rPr>
                <w:rStyle w:val="Hyperlink"/>
                <w:noProof/>
              </w:rPr>
              <w:t>Introduction</w:t>
            </w:r>
            <w:r>
              <w:rPr>
                <w:noProof/>
                <w:webHidden/>
              </w:rPr>
              <w:tab/>
            </w:r>
            <w:r>
              <w:rPr>
                <w:noProof/>
                <w:webHidden/>
              </w:rPr>
              <w:fldChar w:fldCharType="begin"/>
            </w:r>
            <w:r>
              <w:rPr>
                <w:noProof/>
                <w:webHidden/>
              </w:rPr>
              <w:instrText xml:space="preserve"> PAGEREF _Toc211213418 \h </w:instrText>
            </w:r>
            <w:r>
              <w:rPr>
                <w:noProof/>
                <w:webHidden/>
              </w:rPr>
            </w:r>
            <w:r>
              <w:rPr>
                <w:noProof/>
                <w:webHidden/>
              </w:rPr>
              <w:fldChar w:fldCharType="separate"/>
            </w:r>
            <w:r>
              <w:rPr>
                <w:noProof/>
                <w:webHidden/>
              </w:rPr>
              <w:t>2</w:t>
            </w:r>
            <w:r>
              <w:rPr>
                <w:noProof/>
                <w:webHidden/>
              </w:rPr>
              <w:fldChar w:fldCharType="end"/>
            </w:r>
          </w:hyperlink>
        </w:p>
        <w:p w14:paraId="50F23829" w14:textId="0AF7A088" w:rsidR="000A5484" w:rsidRDefault="00E7098C">
          <w:pPr>
            <w:pStyle w:val="TOC1"/>
            <w:tabs>
              <w:tab w:val="left" w:pos="440"/>
              <w:tab w:val="right" w:leader="dot" w:pos="9350"/>
            </w:tabs>
            <w:rPr>
              <w:rFonts w:cstheme="minorBidi"/>
              <w:noProof/>
              <w:kern w:val="2"/>
              <w:sz w:val="24"/>
              <w:szCs w:val="24"/>
              <w:lang w:val="en-GB" w:eastAsia="en-GB"/>
              <w14:ligatures w14:val="standardContextual"/>
            </w:rPr>
          </w:pPr>
          <w:hyperlink w:anchor="_Toc211213419" w:history="1">
            <w:r w:rsidR="000A5484" w:rsidRPr="00CC3389">
              <w:rPr>
                <w:rStyle w:val="Hyperlink"/>
                <w:noProof/>
              </w:rPr>
              <w:t>2</w:t>
            </w:r>
            <w:r w:rsidR="000A5484">
              <w:rPr>
                <w:rFonts w:cstheme="minorBidi"/>
                <w:noProof/>
                <w:kern w:val="2"/>
                <w:sz w:val="24"/>
                <w:szCs w:val="24"/>
                <w:lang w:val="en-GB" w:eastAsia="en-GB"/>
                <w14:ligatures w14:val="standardContextual"/>
              </w:rPr>
              <w:tab/>
            </w:r>
            <w:r w:rsidR="000A5484" w:rsidRPr="00CC3389">
              <w:rPr>
                <w:rStyle w:val="Hyperlink"/>
                <w:noProof/>
              </w:rPr>
              <w:t>Workforce</w:t>
            </w:r>
            <w:r w:rsidR="000A5484">
              <w:rPr>
                <w:noProof/>
                <w:webHidden/>
              </w:rPr>
              <w:tab/>
            </w:r>
            <w:r w:rsidR="000A5484">
              <w:rPr>
                <w:noProof/>
                <w:webHidden/>
              </w:rPr>
              <w:fldChar w:fldCharType="begin"/>
            </w:r>
            <w:r w:rsidR="000A5484">
              <w:rPr>
                <w:noProof/>
                <w:webHidden/>
              </w:rPr>
              <w:instrText xml:space="preserve"> PAGEREF _Toc211213419 \h </w:instrText>
            </w:r>
            <w:r w:rsidR="000A5484">
              <w:rPr>
                <w:noProof/>
                <w:webHidden/>
              </w:rPr>
            </w:r>
            <w:r w:rsidR="000A5484">
              <w:rPr>
                <w:noProof/>
                <w:webHidden/>
              </w:rPr>
              <w:fldChar w:fldCharType="separate"/>
            </w:r>
            <w:r w:rsidR="000A5484">
              <w:rPr>
                <w:noProof/>
                <w:webHidden/>
              </w:rPr>
              <w:t>2</w:t>
            </w:r>
            <w:r w:rsidR="000A5484">
              <w:rPr>
                <w:noProof/>
                <w:webHidden/>
              </w:rPr>
              <w:fldChar w:fldCharType="end"/>
            </w:r>
          </w:hyperlink>
        </w:p>
        <w:p w14:paraId="77614DBD" w14:textId="2BAC3FCD" w:rsidR="000A5484" w:rsidRDefault="00E7098C">
          <w:pPr>
            <w:pStyle w:val="TOC2"/>
            <w:tabs>
              <w:tab w:val="left" w:pos="960"/>
              <w:tab w:val="right" w:leader="dot" w:pos="9350"/>
            </w:tabs>
            <w:rPr>
              <w:rFonts w:cstheme="minorBidi"/>
              <w:noProof/>
              <w:kern w:val="2"/>
              <w:sz w:val="24"/>
              <w:szCs w:val="24"/>
              <w:lang w:val="en-GB" w:eastAsia="en-GB"/>
              <w14:ligatures w14:val="standardContextual"/>
            </w:rPr>
          </w:pPr>
          <w:hyperlink w:anchor="_Toc211213420" w:history="1">
            <w:r w:rsidR="000A5484" w:rsidRPr="00CC3389">
              <w:rPr>
                <w:rStyle w:val="Hyperlink"/>
                <w:noProof/>
              </w:rPr>
              <w:t>2.1</w:t>
            </w:r>
            <w:r w:rsidR="000A5484">
              <w:rPr>
                <w:rFonts w:cstheme="minorBidi"/>
                <w:noProof/>
                <w:kern w:val="2"/>
                <w:sz w:val="24"/>
                <w:szCs w:val="24"/>
                <w:lang w:val="en-GB" w:eastAsia="en-GB"/>
                <w14:ligatures w14:val="standardContextual"/>
              </w:rPr>
              <w:tab/>
            </w:r>
            <w:r w:rsidR="000A5484" w:rsidRPr="00CC3389">
              <w:rPr>
                <w:rStyle w:val="Hyperlink"/>
                <w:noProof/>
              </w:rPr>
              <w:t>Changes in Workforce Roles and Competencies</w:t>
            </w:r>
            <w:r w:rsidR="000A5484">
              <w:rPr>
                <w:noProof/>
                <w:webHidden/>
              </w:rPr>
              <w:tab/>
            </w:r>
            <w:r w:rsidR="000A5484">
              <w:rPr>
                <w:noProof/>
                <w:webHidden/>
              </w:rPr>
              <w:fldChar w:fldCharType="begin"/>
            </w:r>
            <w:r w:rsidR="000A5484">
              <w:rPr>
                <w:noProof/>
                <w:webHidden/>
              </w:rPr>
              <w:instrText xml:space="preserve"> PAGEREF _Toc211213420 \h </w:instrText>
            </w:r>
            <w:r w:rsidR="000A5484">
              <w:rPr>
                <w:noProof/>
                <w:webHidden/>
              </w:rPr>
            </w:r>
            <w:r w:rsidR="000A5484">
              <w:rPr>
                <w:noProof/>
                <w:webHidden/>
              </w:rPr>
              <w:fldChar w:fldCharType="separate"/>
            </w:r>
            <w:r w:rsidR="000A5484">
              <w:rPr>
                <w:noProof/>
                <w:webHidden/>
              </w:rPr>
              <w:t>2</w:t>
            </w:r>
            <w:r w:rsidR="000A5484">
              <w:rPr>
                <w:noProof/>
                <w:webHidden/>
              </w:rPr>
              <w:fldChar w:fldCharType="end"/>
            </w:r>
          </w:hyperlink>
        </w:p>
        <w:p w14:paraId="6AF04B7C" w14:textId="6739B128" w:rsidR="000A5484" w:rsidRDefault="00E7098C">
          <w:pPr>
            <w:pStyle w:val="TOC2"/>
            <w:tabs>
              <w:tab w:val="left" w:pos="960"/>
              <w:tab w:val="right" w:leader="dot" w:pos="9350"/>
            </w:tabs>
            <w:rPr>
              <w:rFonts w:cstheme="minorBidi"/>
              <w:noProof/>
              <w:kern w:val="2"/>
              <w:sz w:val="24"/>
              <w:szCs w:val="24"/>
              <w:lang w:val="en-GB" w:eastAsia="en-GB"/>
              <w14:ligatures w14:val="standardContextual"/>
            </w:rPr>
          </w:pPr>
          <w:hyperlink w:anchor="_Toc211213421" w:history="1">
            <w:r w:rsidR="000A5484" w:rsidRPr="00CC3389">
              <w:rPr>
                <w:rStyle w:val="Hyperlink"/>
                <w:noProof/>
              </w:rPr>
              <w:t>2.2</w:t>
            </w:r>
            <w:r w:rsidR="000A5484">
              <w:rPr>
                <w:rFonts w:cstheme="minorBidi"/>
                <w:noProof/>
                <w:kern w:val="2"/>
                <w:sz w:val="24"/>
                <w:szCs w:val="24"/>
                <w:lang w:val="en-GB" w:eastAsia="en-GB"/>
                <w14:ligatures w14:val="standardContextual"/>
              </w:rPr>
              <w:tab/>
            </w:r>
            <w:r w:rsidR="000A5484" w:rsidRPr="00CC3389">
              <w:rPr>
                <w:rStyle w:val="Hyperlink"/>
                <w:noProof/>
              </w:rPr>
              <w:t>Benefits: Efficiency and Reduced Administrative Burden</w:t>
            </w:r>
            <w:r w:rsidR="000A5484">
              <w:rPr>
                <w:noProof/>
                <w:webHidden/>
              </w:rPr>
              <w:tab/>
            </w:r>
            <w:r w:rsidR="000A5484">
              <w:rPr>
                <w:noProof/>
                <w:webHidden/>
              </w:rPr>
              <w:fldChar w:fldCharType="begin"/>
            </w:r>
            <w:r w:rsidR="000A5484">
              <w:rPr>
                <w:noProof/>
                <w:webHidden/>
              </w:rPr>
              <w:instrText xml:space="preserve"> PAGEREF _Toc211213421 \h </w:instrText>
            </w:r>
            <w:r w:rsidR="000A5484">
              <w:rPr>
                <w:noProof/>
                <w:webHidden/>
              </w:rPr>
            </w:r>
            <w:r w:rsidR="000A5484">
              <w:rPr>
                <w:noProof/>
                <w:webHidden/>
              </w:rPr>
              <w:fldChar w:fldCharType="separate"/>
            </w:r>
            <w:r w:rsidR="000A5484">
              <w:rPr>
                <w:noProof/>
                <w:webHidden/>
              </w:rPr>
              <w:t>3</w:t>
            </w:r>
            <w:r w:rsidR="000A5484">
              <w:rPr>
                <w:noProof/>
                <w:webHidden/>
              </w:rPr>
              <w:fldChar w:fldCharType="end"/>
            </w:r>
          </w:hyperlink>
        </w:p>
        <w:p w14:paraId="1F8CCFC1" w14:textId="70F693EE" w:rsidR="000A5484" w:rsidRDefault="00E7098C">
          <w:pPr>
            <w:pStyle w:val="TOC2"/>
            <w:tabs>
              <w:tab w:val="left" w:pos="960"/>
              <w:tab w:val="right" w:leader="dot" w:pos="9350"/>
            </w:tabs>
            <w:rPr>
              <w:rFonts w:cstheme="minorBidi"/>
              <w:noProof/>
              <w:kern w:val="2"/>
              <w:sz w:val="24"/>
              <w:szCs w:val="24"/>
              <w:lang w:val="en-GB" w:eastAsia="en-GB"/>
              <w14:ligatures w14:val="standardContextual"/>
            </w:rPr>
          </w:pPr>
          <w:hyperlink w:anchor="_Toc211213422" w:history="1">
            <w:r w:rsidR="000A5484" w:rsidRPr="00CC3389">
              <w:rPr>
                <w:rStyle w:val="Hyperlink"/>
                <w:noProof/>
              </w:rPr>
              <w:t>2.3</w:t>
            </w:r>
            <w:r w:rsidR="000A5484">
              <w:rPr>
                <w:rFonts w:cstheme="minorBidi"/>
                <w:noProof/>
                <w:kern w:val="2"/>
                <w:sz w:val="24"/>
                <w:szCs w:val="24"/>
                <w:lang w:val="en-GB" w:eastAsia="en-GB"/>
                <w14:ligatures w14:val="standardContextual"/>
              </w:rPr>
              <w:tab/>
            </w:r>
            <w:r w:rsidR="000A5484" w:rsidRPr="00CC3389">
              <w:rPr>
                <w:rStyle w:val="Hyperlink"/>
                <w:noProof/>
              </w:rPr>
              <w:t>Challenges: Resistance, Workload, and Inequalities in Capability</w:t>
            </w:r>
            <w:r w:rsidR="000A5484">
              <w:rPr>
                <w:noProof/>
                <w:webHidden/>
              </w:rPr>
              <w:tab/>
            </w:r>
            <w:r w:rsidR="000A5484">
              <w:rPr>
                <w:noProof/>
                <w:webHidden/>
              </w:rPr>
              <w:fldChar w:fldCharType="begin"/>
            </w:r>
            <w:r w:rsidR="000A5484">
              <w:rPr>
                <w:noProof/>
                <w:webHidden/>
              </w:rPr>
              <w:instrText xml:space="preserve"> PAGEREF _Toc211213422 \h </w:instrText>
            </w:r>
            <w:r w:rsidR="000A5484">
              <w:rPr>
                <w:noProof/>
                <w:webHidden/>
              </w:rPr>
            </w:r>
            <w:r w:rsidR="000A5484">
              <w:rPr>
                <w:noProof/>
                <w:webHidden/>
              </w:rPr>
              <w:fldChar w:fldCharType="separate"/>
            </w:r>
            <w:r w:rsidR="000A5484">
              <w:rPr>
                <w:noProof/>
                <w:webHidden/>
              </w:rPr>
              <w:t>4</w:t>
            </w:r>
            <w:r w:rsidR="000A5484">
              <w:rPr>
                <w:noProof/>
                <w:webHidden/>
              </w:rPr>
              <w:fldChar w:fldCharType="end"/>
            </w:r>
          </w:hyperlink>
        </w:p>
        <w:p w14:paraId="780AF4C1" w14:textId="1C227019" w:rsidR="000A5484" w:rsidRDefault="00E7098C">
          <w:pPr>
            <w:pStyle w:val="TOC2"/>
            <w:tabs>
              <w:tab w:val="left" w:pos="960"/>
              <w:tab w:val="right" w:leader="dot" w:pos="9350"/>
            </w:tabs>
            <w:rPr>
              <w:rFonts w:cstheme="minorBidi"/>
              <w:noProof/>
              <w:kern w:val="2"/>
              <w:sz w:val="24"/>
              <w:szCs w:val="24"/>
              <w:lang w:val="en-GB" w:eastAsia="en-GB"/>
              <w14:ligatures w14:val="standardContextual"/>
            </w:rPr>
          </w:pPr>
          <w:hyperlink w:anchor="_Toc211213423" w:history="1">
            <w:r w:rsidR="000A5484" w:rsidRPr="00CC3389">
              <w:rPr>
                <w:rStyle w:val="Hyperlink"/>
                <w:noProof/>
              </w:rPr>
              <w:t>2.4</w:t>
            </w:r>
            <w:r w:rsidR="000A5484">
              <w:rPr>
                <w:rFonts w:cstheme="minorBidi"/>
                <w:noProof/>
                <w:kern w:val="2"/>
                <w:sz w:val="24"/>
                <w:szCs w:val="24"/>
                <w:lang w:val="en-GB" w:eastAsia="en-GB"/>
                <w14:ligatures w14:val="standardContextual"/>
              </w:rPr>
              <w:tab/>
            </w:r>
            <w:r w:rsidR="000A5484" w:rsidRPr="00CC3389">
              <w:rPr>
                <w:rStyle w:val="Hyperlink"/>
                <w:noProof/>
              </w:rPr>
              <w:t>Critical Reflection and Synthesis</w:t>
            </w:r>
            <w:r w:rsidR="000A5484">
              <w:rPr>
                <w:noProof/>
                <w:webHidden/>
              </w:rPr>
              <w:tab/>
            </w:r>
            <w:r w:rsidR="000A5484">
              <w:rPr>
                <w:noProof/>
                <w:webHidden/>
              </w:rPr>
              <w:fldChar w:fldCharType="begin"/>
            </w:r>
            <w:r w:rsidR="000A5484">
              <w:rPr>
                <w:noProof/>
                <w:webHidden/>
              </w:rPr>
              <w:instrText xml:space="preserve"> PAGEREF _Toc211213423 \h </w:instrText>
            </w:r>
            <w:r w:rsidR="000A5484">
              <w:rPr>
                <w:noProof/>
                <w:webHidden/>
              </w:rPr>
            </w:r>
            <w:r w:rsidR="000A5484">
              <w:rPr>
                <w:noProof/>
                <w:webHidden/>
              </w:rPr>
              <w:fldChar w:fldCharType="separate"/>
            </w:r>
            <w:r w:rsidR="000A5484">
              <w:rPr>
                <w:noProof/>
                <w:webHidden/>
              </w:rPr>
              <w:t>4</w:t>
            </w:r>
            <w:r w:rsidR="000A5484">
              <w:rPr>
                <w:noProof/>
                <w:webHidden/>
              </w:rPr>
              <w:fldChar w:fldCharType="end"/>
            </w:r>
          </w:hyperlink>
        </w:p>
        <w:p w14:paraId="575C818E" w14:textId="78790ED0" w:rsidR="000A5484" w:rsidRDefault="00E7098C">
          <w:pPr>
            <w:pStyle w:val="TOC1"/>
            <w:tabs>
              <w:tab w:val="left" w:pos="440"/>
              <w:tab w:val="right" w:leader="dot" w:pos="9350"/>
            </w:tabs>
            <w:rPr>
              <w:rFonts w:cstheme="minorBidi"/>
              <w:noProof/>
              <w:kern w:val="2"/>
              <w:sz w:val="24"/>
              <w:szCs w:val="24"/>
              <w:lang w:val="en-GB" w:eastAsia="en-GB"/>
              <w14:ligatures w14:val="standardContextual"/>
            </w:rPr>
          </w:pPr>
          <w:hyperlink w:anchor="_Toc211213424" w:history="1">
            <w:r w:rsidR="000A5484" w:rsidRPr="00CC3389">
              <w:rPr>
                <w:rStyle w:val="Hyperlink"/>
                <w:noProof/>
              </w:rPr>
              <w:t>3</w:t>
            </w:r>
            <w:r w:rsidR="000A5484">
              <w:rPr>
                <w:rFonts w:cstheme="minorBidi"/>
                <w:noProof/>
                <w:kern w:val="2"/>
                <w:sz w:val="24"/>
                <w:szCs w:val="24"/>
                <w:lang w:val="en-GB" w:eastAsia="en-GB"/>
                <w14:ligatures w14:val="standardContextual"/>
              </w:rPr>
              <w:tab/>
            </w:r>
            <w:r w:rsidR="000A5484" w:rsidRPr="00CC3389">
              <w:rPr>
                <w:rStyle w:val="Hyperlink"/>
                <w:noProof/>
              </w:rPr>
              <w:t>Service Delivery</w:t>
            </w:r>
            <w:r w:rsidR="000A5484">
              <w:rPr>
                <w:noProof/>
                <w:webHidden/>
              </w:rPr>
              <w:tab/>
            </w:r>
            <w:r w:rsidR="000A5484">
              <w:rPr>
                <w:noProof/>
                <w:webHidden/>
              </w:rPr>
              <w:fldChar w:fldCharType="begin"/>
            </w:r>
            <w:r w:rsidR="000A5484">
              <w:rPr>
                <w:noProof/>
                <w:webHidden/>
              </w:rPr>
              <w:instrText xml:space="preserve"> PAGEREF _Toc211213424 \h </w:instrText>
            </w:r>
            <w:r w:rsidR="000A5484">
              <w:rPr>
                <w:noProof/>
                <w:webHidden/>
              </w:rPr>
            </w:r>
            <w:r w:rsidR="000A5484">
              <w:rPr>
                <w:noProof/>
                <w:webHidden/>
              </w:rPr>
              <w:fldChar w:fldCharType="separate"/>
            </w:r>
            <w:r w:rsidR="000A5484">
              <w:rPr>
                <w:noProof/>
                <w:webHidden/>
              </w:rPr>
              <w:t>5</w:t>
            </w:r>
            <w:r w:rsidR="000A5484">
              <w:rPr>
                <w:noProof/>
                <w:webHidden/>
              </w:rPr>
              <w:fldChar w:fldCharType="end"/>
            </w:r>
          </w:hyperlink>
        </w:p>
        <w:p w14:paraId="12E2FEBA" w14:textId="6DB83374" w:rsidR="000A5484" w:rsidRDefault="00E7098C">
          <w:pPr>
            <w:pStyle w:val="TOC2"/>
            <w:tabs>
              <w:tab w:val="left" w:pos="960"/>
              <w:tab w:val="right" w:leader="dot" w:pos="9350"/>
            </w:tabs>
            <w:rPr>
              <w:rFonts w:cstheme="minorBidi"/>
              <w:noProof/>
              <w:kern w:val="2"/>
              <w:sz w:val="24"/>
              <w:szCs w:val="24"/>
              <w:lang w:val="en-GB" w:eastAsia="en-GB"/>
              <w14:ligatures w14:val="standardContextual"/>
            </w:rPr>
          </w:pPr>
          <w:hyperlink w:anchor="_Toc211213425" w:history="1">
            <w:r w:rsidR="000A5484" w:rsidRPr="00CC3389">
              <w:rPr>
                <w:rStyle w:val="Hyperlink"/>
                <w:noProof/>
              </w:rPr>
              <w:t>3.1</w:t>
            </w:r>
            <w:r w:rsidR="000A5484">
              <w:rPr>
                <w:rFonts w:cstheme="minorBidi"/>
                <w:noProof/>
                <w:kern w:val="2"/>
                <w:sz w:val="24"/>
                <w:szCs w:val="24"/>
                <w:lang w:val="en-GB" w:eastAsia="en-GB"/>
                <w14:ligatures w14:val="standardContextual"/>
              </w:rPr>
              <w:tab/>
            </w:r>
            <w:r w:rsidR="000A5484" w:rsidRPr="00CC3389">
              <w:rPr>
                <w:rStyle w:val="Hyperlink"/>
                <w:noProof/>
              </w:rPr>
              <w:t>Transformation of Workflows and Care Pathways</w:t>
            </w:r>
            <w:r w:rsidR="000A5484">
              <w:rPr>
                <w:noProof/>
                <w:webHidden/>
              </w:rPr>
              <w:tab/>
            </w:r>
            <w:r w:rsidR="000A5484">
              <w:rPr>
                <w:noProof/>
                <w:webHidden/>
              </w:rPr>
              <w:fldChar w:fldCharType="begin"/>
            </w:r>
            <w:r w:rsidR="000A5484">
              <w:rPr>
                <w:noProof/>
                <w:webHidden/>
              </w:rPr>
              <w:instrText xml:space="preserve"> PAGEREF _Toc211213425 \h </w:instrText>
            </w:r>
            <w:r w:rsidR="000A5484">
              <w:rPr>
                <w:noProof/>
                <w:webHidden/>
              </w:rPr>
            </w:r>
            <w:r w:rsidR="000A5484">
              <w:rPr>
                <w:noProof/>
                <w:webHidden/>
              </w:rPr>
              <w:fldChar w:fldCharType="separate"/>
            </w:r>
            <w:r w:rsidR="000A5484">
              <w:rPr>
                <w:noProof/>
                <w:webHidden/>
              </w:rPr>
              <w:t>5</w:t>
            </w:r>
            <w:r w:rsidR="000A5484">
              <w:rPr>
                <w:noProof/>
                <w:webHidden/>
              </w:rPr>
              <w:fldChar w:fldCharType="end"/>
            </w:r>
          </w:hyperlink>
        </w:p>
        <w:p w14:paraId="2952ECC1" w14:textId="24113385" w:rsidR="000A5484" w:rsidRDefault="00E7098C">
          <w:pPr>
            <w:pStyle w:val="TOC2"/>
            <w:tabs>
              <w:tab w:val="left" w:pos="960"/>
              <w:tab w:val="right" w:leader="dot" w:pos="9350"/>
            </w:tabs>
            <w:rPr>
              <w:rFonts w:cstheme="minorBidi"/>
              <w:noProof/>
              <w:kern w:val="2"/>
              <w:sz w:val="24"/>
              <w:szCs w:val="24"/>
              <w:lang w:val="en-GB" w:eastAsia="en-GB"/>
              <w14:ligatures w14:val="standardContextual"/>
            </w:rPr>
          </w:pPr>
          <w:hyperlink w:anchor="_Toc211213426" w:history="1">
            <w:r w:rsidR="000A5484" w:rsidRPr="00CC3389">
              <w:rPr>
                <w:rStyle w:val="Hyperlink"/>
                <w:noProof/>
              </w:rPr>
              <w:t>3.2</w:t>
            </w:r>
            <w:r w:rsidR="000A5484">
              <w:rPr>
                <w:rFonts w:cstheme="minorBidi"/>
                <w:noProof/>
                <w:kern w:val="2"/>
                <w:sz w:val="24"/>
                <w:szCs w:val="24"/>
                <w:lang w:val="en-GB" w:eastAsia="en-GB"/>
                <w14:ligatures w14:val="standardContextual"/>
              </w:rPr>
              <w:tab/>
            </w:r>
            <w:r w:rsidR="000A5484" w:rsidRPr="00CC3389">
              <w:rPr>
                <w:rStyle w:val="Hyperlink"/>
                <w:noProof/>
              </w:rPr>
              <w:t>Benefits: Efficiency, Accessibility, and Continuity</w:t>
            </w:r>
            <w:r w:rsidR="000A5484">
              <w:rPr>
                <w:noProof/>
                <w:webHidden/>
              </w:rPr>
              <w:tab/>
            </w:r>
            <w:r w:rsidR="000A5484">
              <w:rPr>
                <w:noProof/>
                <w:webHidden/>
              </w:rPr>
              <w:fldChar w:fldCharType="begin"/>
            </w:r>
            <w:r w:rsidR="000A5484">
              <w:rPr>
                <w:noProof/>
                <w:webHidden/>
              </w:rPr>
              <w:instrText xml:space="preserve"> PAGEREF _Toc211213426 \h </w:instrText>
            </w:r>
            <w:r w:rsidR="000A5484">
              <w:rPr>
                <w:noProof/>
                <w:webHidden/>
              </w:rPr>
            </w:r>
            <w:r w:rsidR="000A5484">
              <w:rPr>
                <w:noProof/>
                <w:webHidden/>
              </w:rPr>
              <w:fldChar w:fldCharType="separate"/>
            </w:r>
            <w:r w:rsidR="000A5484">
              <w:rPr>
                <w:noProof/>
                <w:webHidden/>
              </w:rPr>
              <w:t>6</w:t>
            </w:r>
            <w:r w:rsidR="000A5484">
              <w:rPr>
                <w:noProof/>
                <w:webHidden/>
              </w:rPr>
              <w:fldChar w:fldCharType="end"/>
            </w:r>
          </w:hyperlink>
        </w:p>
        <w:p w14:paraId="6D517104" w14:textId="6097D3F5" w:rsidR="000A5484" w:rsidRDefault="00E7098C">
          <w:pPr>
            <w:pStyle w:val="TOC2"/>
            <w:tabs>
              <w:tab w:val="left" w:pos="960"/>
              <w:tab w:val="right" w:leader="dot" w:pos="9350"/>
            </w:tabs>
            <w:rPr>
              <w:rFonts w:cstheme="minorBidi"/>
              <w:noProof/>
              <w:kern w:val="2"/>
              <w:sz w:val="24"/>
              <w:szCs w:val="24"/>
              <w:lang w:val="en-GB" w:eastAsia="en-GB"/>
              <w14:ligatures w14:val="standardContextual"/>
            </w:rPr>
          </w:pPr>
          <w:hyperlink w:anchor="_Toc211213427" w:history="1">
            <w:r w:rsidR="000A5484" w:rsidRPr="00CC3389">
              <w:rPr>
                <w:rStyle w:val="Hyperlink"/>
                <w:noProof/>
              </w:rPr>
              <w:t>3.3</w:t>
            </w:r>
            <w:r w:rsidR="000A5484">
              <w:rPr>
                <w:rFonts w:cstheme="minorBidi"/>
                <w:noProof/>
                <w:kern w:val="2"/>
                <w:sz w:val="24"/>
                <w:szCs w:val="24"/>
                <w:lang w:val="en-GB" w:eastAsia="en-GB"/>
                <w14:ligatures w14:val="standardContextual"/>
              </w:rPr>
              <w:tab/>
            </w:r>
            <w:r w:rsidR="000A5484" w:rsidRPr="00CC3389">
              <w:rPr>
                <w:rStyle w:val="Hyperlink"/>
                <w:noProof/>
              </w:rPr>
              <w:t>Challenges: Digital Exclusion, Technical Integration, and Hidden Demand</w:t>
            </w:r>
            <w:r w:rsidR="000A5484">
              <w:rPr>
                <w:noProof/>
                <w:webHidden/>
              </w:rPr>
              <w:tab/>
            </w:r>
            <w:r w:rsidR="000A5484">
              <w:rPr>
                <w:noProof/>
                <w:webHidden/>
              </w:rPr>
              <w:fldChar w:fldCharType="begin"/>
            </w:r>
            <w:r w:rsidR="000A5484">
              <w:rPr>
                <w:noProof/>
                <w:webHidden/>
              </w:rPr>
              <w:instrText xml:space="preserve"> PAGEREF _Toc211213427 \h </w:instrText>
            </w:r>
            <w:r w:rsidR="000A5484">
              <w:rPr>
                <w:noProof/>
                <w:webHidden/>
              </w:rPr>
            </w:r>
            <w:r w:rsidR="000A5484">
              <w:rPr>
                <w:noProof/>
                <w:webHidden/>
              </w:rPr>
              <w:fldChar w:fldCharType="separate"/>
            </w:r>
            <w:r w:rsidR="000A5484">
              <w:rPr>
                <w:noProof/>
                <w:webHidden/>
              </w:rPr>
              <w:t>6</w:t>
            </w:r>
            <w:r w:rsidR="000A5484">
              <w:rPr>
                <w:noProof/>
                <w:webHidden/>
              </w:rPr>
              <w:fldChar w:fldCharType="end"/>
            </w:r>
          </w:hyperlink>
        </w:p>
        <w:p w14:paraId="68699C8A" w14:textId="3555EAF0" w:rsidR="000A5484" w:rsidRDefault="00E7098C">
          <w:pPr>
            <w:pStyle w:val="TOC2"/>
            <w:tabs>
              <w:tab w:val="left" w:pos="960"/>
              <w:tab w:val="right" w:leader="dot" w:pos="9350"/>
            </w:tabs>
            <w:rPr>
              <w:rFonts w:cstheme="minorBidi"/>
              <w:noProof/>
              <w:kern w:val="2"/>
              <w:sz w:val="24"/>
              <w:szCs w:val="24"/>
              <w:lang w:val="en-GB" w:eastAsia="en-GB"/>
              <w14:ligatures w14:val="standardContextual"/>
            </w:rPr>
          </w:pPr>
          <w:hyperlink w:anchor="_Toc211213428" w:history="1">
            <w:r w:rsidR="000A5484" w:rsidRPr="00CC3389">
              <w:rPr>
                <w:rStyle w:val="Hyperlink"/>
                <w:noProof/>
              </w:rPr>
              <w:t>3.4</w:t>
            </w:r>
            <w:r w:rsidR="000A5484">
              <w:rPr>
                <w:rFonts w:cstheme="minorBidi"/>
                <w:noProof/>
                <w:kern w:val="2"/>
                <w:sz w:val="24"/>
                <w:szCs w:val="24"/>
                <w:lang w:val="en-GB" w:eastAsia="en-GB"/>
                <w14:ligatures w14:val="standardContextual"/>
              </w:rPr>
              <w:tab/>
            </w:r>
            <w:r w:rsidR="000A5484" w:rsidRPr="00CC3389">
              <w:rPr>
                <w:rStyle w:val="Hyperlink"/>
                <w:noProof/>
              </w:rPr>
              <w:t>Critical Reflection and Synthesis</w:t>
            </w:r>
            <w:r w:rsidR="000A5484">
              <w:rPr>
                <w:noProof/>
                <w:webHidden/>
              </w:rPr>
              <w:tab/>
            </w:r>
            <w:r w:rsidR="000A5484">
              <w:rPr>
                <w:noProof/>
                <w:webHidden/>
              </w:rPr>
              <w:fldChar w:fldCharType="begin"/>
            </w:r>
            <w:r w:rsidR="000A5484">
              <w:rPr>
                <w:noProof/>
                <w:webHidden/>
              </w:rPr>
              <w:instrText xml:space="preserve"> PAGEREF _Toc211213428 \h </w:instrText>
            </w:r>
            <w:r w:rsidR="000A5484">
              <w:rPr>
                <w:noProof/>
                <w:webHidden/>
              </w:rPr>
            </w:r>
            <w:r w:rsidR="000A5484">
              <w:rPr>
                <w:noProof/>
                <w:webHidden/>
              </w:rPr>
              <w:fldChar w:fldCharType="separate"/>
            </w:r>
            <w:r w:rsidR="000A5484">
              <w:rPr>
                <w:noProof/>
                <w:webHidden/>
              </w:rPr>
              <w:t>7</w:t>
            </w:r>
            <w:r w:rsidR="000A5484">
              <w:rPr>
                <w:noProof/>
                <w:webHidden/>
              </w:rPr>
              <w:fldChar w:fldCharType="end"/>
            </w:r>
          </w:hyperlink>
        </w:p>
        <w:p w14:paraId="36A73E2A" w14:textId="2068154F" w:rsidR="000A5484" w:rsidRDefault="00E7098C">
          <w:pPr>
            <w:pStyle w:val="TOC1"/>
            <w:tabs>
              <w:tab w:val="left" w:pos="440"/>
              <w:tab w:val="right" w:leader="dot" w:pos="9350"/>
            </w:tabs>
            <w:rPr>
              <w:rFonts w:cstheme="minorBidi"/>
              <w:noProof/>
              <w:kern w:val="2"/>
              <w:sz w:val="24"/>
              <w:szCs w:val="24"/>
              <w:lang w:val="en-GB" w:eastAsia="en-GB"/>
              <w14:ligatures w14:val="standardContextual"/>
            </w:rPr>
          </w:pPr>
          <w:hyperlink w:anchor="_Toc211213429" w:history="1">
            <w:r w:rsidR="000A5484" w:rsidRPr="00CC3389">
              <w:rPr>
                <w:rStyle w:val="Hyperlink"/>
                <w:noProof/>
              </w:rPr>
              <w:t>4</w:t>
            </w:r>
            <w:r w:rsidR="000A5484">
              <w:rPr>
                <w:rFonts w:cstheme="minorBidi"/>
                <w:noProof/>
                <w:kern w:val="2"/>
                <w:sz w:val="24"/>
                <w:szCs w:val="24"/>
                <w:lang w:val="en-GB" w:eastAsia="en-GB"/>
                <w14:ligatures w14:val="standardContextual"/>
              </w:rPr>
              <w:tab/>
            </w:r>
            <w:r w:rsidR="000A5484" w:rsidRPr="00CC3389">
              <w:rPr>
                <w:rStyle w:val="Hyperlink"/>
                <w:noProof/>
              </w:rPr>
              <w:t>Conclusion &amp; Recommendations</w:t>
            </w:r>
            <w:r w:rsidR="000A5484">
              <w:rPr>
                <w:noProof/>
                <w:webHidden/>
              </w:rPr>
              <w:tab/>
            </w:r>
            <w:r w:rsidR="000A5484">
              <w:rPr>
                <w:noProof/>
                <w:webHidden/>
              </w:rPr>
              <w:fldChar w:fldCharType="begin"/>
            </w:r>
            <w:r w:rsidR="000A5484">
              <w:rPr>
                <w:noProof/>
                <w:webHidden/>
              </w:rPr>
              <w:instrText xml:space="preserve"> PAGEREF _Toc211213429 \h </w:instrText>
            </w:r>
            <w:r w:rsidR="000A5484">
              <w:rPr>
                <w:noProof/>
                <w:webHidden/>
              </w:rPr>
            </w:r>
            <w:r w:rsidR="000A5484">
              <w:rPr>
                <w:noProof/>
                <w:webHidden/>
              </w:rPr>
              <w:fldChar w:fldCharType="separate"/>
            </w:r>
            <w:r w:rsidR="000A5484">
              <w:rPr>
                <w:noProof/>
                <w:webHidden/>
              </w:rPr>
              <w:t>8</w:t>
            </w:r>
            <w:r w:rsidR="000A5484">
              <w:rPr>
                <w:noProof/>
                <w:webHidden/>
              </w:rPr>
              <w:fldChar w:fldCharType="end"/>
            </w:r>
          </w:hyperlink>
        </w:p>
        <w:p w14:paraId="4908978A" w14:textId="10285BAE" w:rsidR="000A5484" w:rsidRDefault="00E7098C">
          <w:pPr>
            <w:pStyle w:val="TOC1"/>
            <w:tabs>
              <w:tab w:val="left" w:pos="440"/>
              <w:tab w:val="right" w:leader="dot" w:pos="9350"/>
            </w:tabs>
            <w:rPr>
              <w:rFonts w:cstheme="minorBidi"/>
              <w:noProof/>
              <w:kern w:val="2"/>
              <w:sz w:val="24"/>
              <w:szCs w:val="24"/>
              <w:lang w:val="en-GB" w:eastAsia="en-GB"/>
              <w14:ligatures w14:val="standardContextual"/>
            </w:rPr>
          </w:pPr>
          <w:hyperlink w:anchor="_Toc211213430" w:history="1">
            <w:r w:rsidR="000A5484" w:rsidRPr="00CC3389">
              <w:rPr>
                <w:rStyle w:val="Hyperlink"/>
                <w:noProof/>
              </w:rPr>
              <w:t>5</w:t>
            </w:r>
            <w:r w:rsidR="000A5484">
              <w:rPr>
                <w:rFonts w:cstheme="minorBidi"/>
                <w:noProof/>
                <w:kern w:val="2"/>
                <w:sz w:val="24"/>
                <w:szCs w:val="24"/>
                <w:lang w:val="en-GB" w:eastAsia="en-GB"/>
                <w14:ligatures w14:val="standardContextual"/>
              </w:rPr>
              <w:tab/>
            </w:r>
            <w:r w:rsidR="000A5484" w:rsidRPr="00CC3389">
              <w:rPr>
                <w:rStyle w:val="Hyperlink"/>
                <w:noProof/>
              </w:rPr>
              <w:t>References</w:t>
            </w:r>
            <w:r w:rsidR="000A5484">
              <w:rPr>
                <w:noProof/>
                <w:webHidden/>
              </w:rPr>
              <w:tab/>
            </w:r>
            <w:r w:rsidR="000A5484">
              <w:rPr>
                <w:noProof/>
                <w:webHidden/>
              </w:rPr>
              <w:fldChar w:fldCharType="begin"/>
            </w:r>
            <w:r w:rsidR="000A5484">
              <w:rPr>
                <w:noProof/>
                <w:webHidden/>
              </w:rPr>
              <w:instrText xml:space="preserve"> PAGEREF _Toc211213430 \h </w:instrText>
            </w:r>
            <w:r w:rsidR="000A5484">
              <w:rPr>
                <w:noProof/>
                <w:webHidden/>
              </w:rPr>
            </w:r>
            <w:r w:rsidR="000A5484">
              <w:rPr>
                <w:noProof/>
                <w:webHidden/>
              </w:rPr>
              <w:fldChar w:fldCharType="separate"/>
            </w:r>
            <w:r w:rsidR="000A5484">
              <w:rPr>
                <w:noProof/>
                <w:webHidden/>
              </w:rPr>
              <w:t>9</w:t>
            </w:r>
            <w:r w:rsidR="000A5484">
              <w:rPr>
                <w:noProof/>
                <w:webHidden/>
              </w:rPr>
              <w:fldChar w:fldCharType="end"/>
            </w:r>
          </w:hyperlink>
        </w:p>
        <w:p w14:paraId="256E0E33" w14:textId="7751E2CC" w:rsidR="000A5484" w:rsidRDefault="000A5484">
          <w:r>
            <w:rPr>
              <w:b/>
              <w:bCs/>
              <w:noProof/>
            </w:rPr>
            <w:fldChar w:fldCharType="end"/>
          </w:r>
        </w:p>
      </w:sdtContent>
    </w:sdt>
    <w:p w14:paraId="4ED5B85D" w14:textId="77777777" w:rsidR="000A5484" w:rsidRDefault="000A5484" w:rsidP="000A5484"/>
    <w:p w14:paraId="184E6EAD" w14:textId="77777777" w:rsidR="000A5484" w:rsidRDefault="000A5484" w:rsidP="000A5484"/>
    <w:p w14:paraId="44DC469B" w14:textId="77777777" w:rsidR="000A5484" w:rsidRDefault="000A5484" w:rsidP="000A5484"/>
    <w:p w14:paraId="06FEC3E9" w14:textId="77777777" w:rsidR="000A5484" w:rsidRDefault="000A5484" w:rsidP="000A5484"/>
    <w:p w14:paraId="69C88266" w14:textId="77777777" w:rsidR="000A5484" w:rsidRDefault="000A5484" w:rsidP="000A5484"/>
    <w:p w14:paraId="41DB09A9" w14:textId="77777777" w:rsidR="000A5484" w:rsidRDefault="000A5484" w:rsidP="000A5484"/>
    <w:p w14:paraId="4207018E" w14:textId="77777777" w:rsidR="000A5484" w:rsidRDefault="000A5484" w:rsidP="000A5484"/>
    <w:p w14:paraId="04B33933" w14:textId="77777777" w:rsidR="000A5484" w:rsidRDefault="000A5484" w:rsidP="000A5484"/>
    <w:p w14:paraId="112B9B04" w14:textId="77777777" w:rsidR="000A5484" w:rsidRDefault="000A5484" w:rsidP="000A5484"/>
    <w:p w14:paraId="47D9F6DA" w14:textId="77777777" w:rsidR="000A5484" w:rsidRDefault="000A5484" w:rsidP="000A5484"/>
    <w:p w14:paraId="3648CAC8" w14:textId="77777777" w:rsidR="000A5484" w:rsidRDefault="000A5484" w:rsidP="000A5484"/>
    <w:p w14:paraId="00A4FCE0" w14:textId="77777777" w:rsidR="000A5484" w:rsidRPr="000A5484" w:rsidRDefault="000A5484" w:rsidP="000A5484"/>
    <w:p w14:paraId="36381CD2" w14:textId="3682B139" w:rsidR="001365F1" w:rsidRPr="001365F1" w:rsidRDefault="001365F1" w:rsidP="000A5484">
      <w:pPr>
        <w:pStyle w:val="Heading1"/>
      </w:pPr>
      <w:bookmarkStart w:id="0" w:name="_Toc211213418"/>
      <w:r w:rsidRPr="001365F1">
        <w:lastRenderedPageBreak/>
        <w:t>Introduction</w:t>
      </w:r>
      <w:bookmarkEnd w:id="0"/>
      <w:r w:rsidRPr="001365F1">
        <w:t xml:space="preserve"> </w:t>
      </w:r>
    </w:p>
    <w:p w14:paraId="3071E289" w14:textId="14E0C263" w:rsidR="00C274B3" w:rsidRDefault="00C274B3" w:rsidP="00C274B3">
      <w:r>
        <w:t xml:space="preserve">Innovations that are aimed at improving efficiency, accessibility, and patient outcomes are becoming part of a modern healthcare system and are transforming it into a digital one (Akinola and </w:t>
      </w:r>
      <w:proofErr w:type="spellStart"/>
      <w:r>
        <w:t>Telukdarie</w:t>
      </w:r>
      <w:proofErr w:type="spellEnd"/>
      <w:r>
        <w:t>, 2023). One of the most important digital health developments of the last ten years in the UK, the NHS App, was launched in 2019. The app acts as a virtual front office to health services because users can make GP appointments, request repeat prescriptions, view their health records, and, most recently, COVID-19 vaccination status and passes (Reidy et al., 2025). This is particularly as it is an easy-to-implement technology during the pandemic- has formed one of the pillars of the wider digital strategy at the NHS.</w:t>
      </w:r>
    </w:p>
    <w:p w14:paraId="1C0C6FEC" w14:textId="63BDBF7E" w:rsidR="00C274B3" w:rsidRDefault="00C274B3" w:rsidP="00C274B3">
      <w:r>
        <w:t>Having a convenience to the patients is not the only aspect where the applicability of the NHS App could be attributed, but the expanded applicability due to health and social care professionals and models of service delivery (Beaney et al., 2019). The app demonstrates the risks and the opportunities of digital transformation, changing the working processes, redistributing the employees, and changing the way the patients will be taken care of.</w:t>
      </w:r>
    </w:p>
    <w:p w14:paraId="5AF1DF36" w14:textId="255F3F6B" w:rsidR="001365F1" w:rsidRPr="001365F1" w:rsidRDefault="00C274B3" w:rsidP="00C274B3">
      <w:r>
        <w:t>This report is a critical evaluation of the ways in which the NHS App can impact on two critical areas, namely the health and social care workforce, and service delivery</w:t>
      </w:r>
      <w:r w:rsidR="0089636D">
        <w:t>. Based on the evidence of the current time, it will reflect on both the positive and negative results, outlining the lessons to be learned in relation to the sustainable and equitable adoption of digital health in the UK</w:t>
      </w:r>
      <w:r w:rsidR="001365F1" w:rsidRPr="001365F1">
        <w:t>.</w:t>
      </w:r>
    </w:p>
    <w:p w14:paraId="63E1B42E" w14:textId="21EA7D7E" w:rsidR="001365F1" w:rsidRPr="001365F1" w:rsidRDefault="001365F1" w:rsidP="000A5484">
      <w:pPr>
        <w:pStyle w:val="Heading1"/>
      </w:pPr>
      <w:bookmarkStart w:id="1" w:name="_Toc211213419"/>
      <w:r w:rsidRPr="001365F1">
        <w:t>Workforce</w:t>
      </w:r>
      <w:bookmarkEnd w:id="1"/>
      <w:r w:rsidRPr="001365F1">
        <w:t xml:space="preserve"> </w:t>
      </w:r>
    </w:p>
    <w:p w14:paraId="64CA31FC" w14:textId="77777777" w:rsidR="001365F1" w:rsidRPr="001365F1" w:rsidRDefault="001365F1" w:rsidP="000A5484">
      <w:pPr>
        <w:pStyle w:val="Heading2"/>
      </w:pPr>
      <w:bookmarkStart w:id="2" w:name="_Toc211213420"/>
      <w:r w:rsidRPr="001365F1">
        <w:t>Changes in Workforce Roles and Competencies</w:t>
      </w:r>
      <w:bookmarkEnd w:id="2"/>
    </w:p>
    <w:p w14:paraId="3BEC7241" w14:textId="53854DC3" w:rsidR="001365F1" w:rsidRPr="001365F1" w:rsidRDefault="001365F1" w:rsidP="000A5484">
      <w:r w:rsidRPr="001365F1">
        <w:t xml:space="preserve">The introduction of the NHS App has generated </w:t>
      </w:r>
      <w:r w:rsidR="0089636D" w:rsidRPr="001365F1">
        <w:t>pointed</w:t>
      </w:r>
      <w:r w:rsidRPr="001365F1">
        <w:t xml:space="preserve"> shifts in the roles and responsibilities of the UK health and social care workforce. Traditionally, reception staff acted as gatekeepers to appointments and repeat prescriptions, but the app has transferred much of this responsibility directly to patients</w:t>
      </w:r>
      <w:r w:rsidR="001A2183" w:rsidRPr="000A5484">
        <w:t xml:space="preserve"> (Health, 2025)</w:t>
      </w:r>
      <w:r w:rsidRPr="001365F1">
        <w:t xml:space="preserve">. This has led receptionists to assume new functions as digital facilitators, supporting patient onboarding and troubleshooting app-related issues </w:t>
      </w:r>
      <w:r w:rsidR="001A2183" w:rsidRPr="000A5484">
        <w:t>(Hengst et al., 2025)</w:t>
      </w:r>
      <w:r w:rsidRPr="001365F1">
        <w:t xml:space="preserve">. Similarly, many practices have appointed digital champions—staff with enhanced training who help colleagues integrate the app into daily operations </w:t>
      </w:r>
      <w:r w:rsidR="001A2183" w:rsidRPr="000A5484">
        <w:t>(</w:t>
      </w:r>
      <w:proofErr w:type="spellStart"/>
      <w:r w:rsidR="001A2183" w:rsidRPr="000A5484">
        <w:t>D’angelo</w:t>
      </w:r>
      <w:proofErr w:type="spellEnd"/>
      <w:r w:rsidR="001A2183" w:rsidRPr="000A5484">
        <w:t xml:space="preserve">, </w:t>
      </w:r>
      <w:proofErr w:type="spellStart"/>
      <w:r w:rsidR="001A2183" w:rsidRPr="000A5484">
        <w:t>Ghezzi</w:t>
      </w:r>
      <w:proofErr w:type="spellEnd"/>
      <w:r w:rsidR="001A2183" w:rsidRPr="000A5484">
        <w:t xml:space="preserve"> and Cavallo, 2024)</w:t>
      </w:r>
      <w:r w:rsidRPr="001365F1">
        <w:t>.</w:t>
      </w:r>
    </w:p>
    <w:p w14:paraId="78E7FC0E" w14:textId="3CFDB3C2" w:rsidR="001365F1" w:rsidRPr="001365F1" w:rsidRDefault="001365F1" w:rsidP="000A5484">
      <w:r w:rsidRPr="001365F1">
        <w:lastRenderedPageBreak/>
        <w:t>For clinical staff, the app has changed how patient information and service requests are managed. By allowing patients to view test results and records independently, GPs and nurses spend less time on routine administrative interactions, enabling a shift towards more complex casework</w:t>
      </w:r>
      <w:r w:rsidR="001A2183" w:rsidRPr="000A5484">
        <w:t xml:space="preserve"> (Ventola, 2020)</w:t>
      </w:r>
      <w:r w:rsidRPr="001365F1">
        <w:t xml:space="preserve">. However, these developments require staff to develop digital literacy, data governance awareness, and informatics competence, reflecting broader demands for new skillsets across the NHS </w:t>
      </w:r>
      <w:r w:rsidR="001A2183" w:rsidRPr="000A5484">
        <w:t>(Matthews, 2021)</w:t>
      </w:r>
      <w:r w:rsidRPr="001365F1">
        <w:t>.</w:t>
      </w:r>
    </w:p>
    <w:p w14:paraId="62CE8CF9" w14:textId="6B41DFA4" w:rsidR="001365F1" w:rsidRPr="001365F1" w:rsidRDefault="001A2183" w:rsidP="000A5484">
      <w:proofErr w:type="spellStart"/>
      <w:r w:rsidRPr="001A2183">
        <w:t>Brommeyer</w:t>
      </w:r>
      <w:proofErr w:type="spellEnd"/>
      <w:r w:rsidRPr="001A2183">
        <w:t xml:space="preserve"> and Liang (2022)</w:t>
      </w:r>
      <w:r w:rsidR="001365F1" w:rsidRPr="001365F1">
        <w:t xml:space="preserve"> emphasised that digital transformation must be accompanied by upskilling of the workforce, recommending integration of digital health and AI competencies into training curricula. In line with this, the NHS Digital Academy was established to provide senior leaders with the expertise to manage large-scale digital change </w:t>
      </w:r>
      <w:r w:rsidRPr="000A5484">
        <w:t>(Gardner et al., 2023)</w:t>
      </w:r>
      <w:r w:rsidR="001365F1" w:rsidRPr="001365F1">
        <w:t>. These initiatives highlight a recognition that technology cannot succeed in isolation</w:t>
      </w:r>
      <w:r w:rsidRPr="000A5484">
        <w:t xml:space="preserve"> </w:t>
      </w:r>
      <w:r w:rsidR="001365F1" w:rsidRPr="001365F1">
        <w:t>it depends on workforce readiness and leadership.</w:t>
      </w:r>
    </w:p>
    <w:p w14:paraId="29031416" w14:textId="77777777" w:rsidR="001365F1" w:rsidRPr="001365F1" w:rsidRDefault="001365F1" w:rsidP="000A5484">
      <w:pPr>
        <w:pStyle w:val="Heading2"/>
      </w:pPr>
      <w:bookmarkStart w:id="3" w:name="_Toc211213421"/>
      <w:r w:rsidRPr="001365F1">
        <w:t>Benefits: Efficiency and Reduced Administrative Burden</w:t>
      </w:r>
      <w:bookmarkEnd w:id="3"/>
    </w:p>
    <w:p w14:paraId="57F110E0" w14:textId="77777777" w:rsidR="0089636D" w:rsidRDefault="001365F1" w:rsidP="0089636D">
      <w:r w:rsidRPr="001365F1">
        <w:t xml:space="preserve">The NHS App has delivered several benefits in terms of workforce efficiency. </w:t>
      </w:r>
      <w:r w:rsidR="0089636D">
        <w:t>The app also allows patients to self-manage tasks including appointment booking and repeat prescriptions, whereby it reduces the administrative burden on reception staff (Diaz-Skeete, 2023). This is especially relevant considering that GP practices have been experiencing an increase in demand and staffing capacity in the recent years. According to NHS Digital reports, the growing utilization of the app has led to fewer phone calls and face-to-face interactions when making routine requests, allowing staff to concentrate on more complicated problems (Hutchings, 2020).</w:t>
      </w:r>
    </w:p>
    <w:p w14:paraId="362AB66E" w14:textId="57397880" w:rsidR="001365F1" w:rsidRPr="001365F1" w:rsidRDefault="0089636D" w:rsidP="0089636D">
      <w:r>
        <w:t>To clinicians, efficiency gains are also associated with less duplication of effort</w:t>
      </w:r>
      <w:r w:rsidR="001365F1" w:rsidRPr="001365F1">
        <w:t xml:space="preserve">. Access to digital health records via the app means that patients arrive with greater awareness of their medical histories, supporting more efficient consultations </w:t>
      </w:r>
      <w:r w:rsidR="001A2183" w:rsidRPr="000A5484">
        <w:t>(Albrink et al., 2022)</w:t>
      </w:r>
      <w:r w:rsidR="001365F1" w:rsidRPr="001365F1">
        <w:t xml:space="preserve">. Furthermore, repeat prescriptions processed digitally reduce errors associated with paper-based systems, improving </w:t>
      </w:r>
      <w:proofErr w:type="gramStart"/>
      <w:r w:rsidR="001365F1" w:rsidRPr="001365F1">
        <w:t>safety</w:t>
      </w:r>
      <w:proofErr w:type="gramEnd"/>
      <w:r w:rsidR="001365F1" w:rsidRPr="001365F1">
        <w:t xml:space="preserve"> and saving clinician time.</w:t>
      </w:r>
    </w:p>
    <w:p w14:paraId="2672B283" w14:textId="6B2A0418" w:rsidR="001365F1" w:rsidRPr="001365F1" w:rsidRDefault="001365F1" w:rsidP="000A5484">
      <w:r w:rsidRPr="001365F1">
        <w:t xml:space="preserve">More broadly, the app aligns with NHS workforce policy goals to “do more with less”, addressing persistent staff shortages by streamlining low-value tasks </w:t>
      </w:r>
      <w:r w:rsidR="00404499" w:rsidRPr="000A5484">
        <w:t>(Parliament UK, 2025)</w:t>
      </w:r>
      <w:r w:rsidRPr="001365F1">
        <w:t>. In this way, the app supports a redistribution of workforce effort, enabling staff to concentrate on patient care rather than administrative duties.</w:t>
      </w:r>
    </w:p>
    <w:p w14:paraId="19371A0B" w14:textId="77777777" w:rsidR="001365F1" w:rsidRPr="001365F1" w:rsidRDefault="001365F1" w:rsidP="000A5484">
      <w:pPr>
        <w:pStyle w:val="Heading2"/>
      </w:pPr>
      <w:bookmarkStart w:id="4" w:name="_Toc211213422"/>
      <w:r w:rsidRPr="001365F1">
        <w:lastRenderedPageBreak/>
        <w:t>Challenges: Resistance, Workload, and Inequalities in Capability</w:t>
      </w:r>
      <w:bookmarkEnd w:id="4"/>
    </w:p>
    <w:p w14:paraId="71EED24A" w14:textId="6A976376" w:rsidR="001365F1" w:rsidRPr="001365F1" w:rsidRDefault="001365F1" w:rsidP="000A5484">
      <w:r w:rsidRPr="001365F1">
        <w:t>Despite these benefits, workforce adaptation has not been without challenges. A significant barrier is resistance to change</w:t>
      </w:r>
      <w:r w:rsidR="00404499" w:rsidRPr="000A5484">
        <w:t xml:space="preserve"> (Malhotra et al., 2021)</w:t>
      </w:r>
      <w:r w:rsidRPr="001365F1">
        <w:t xml:space="preserve">. Some staff perceive the app as an additional burden rather than a facilitator, particularly where patients require support in registering or navigating its features </w:t>
      </w:r>
      <w:r w:rsidR="00404499" w:rsidRPr="000A5484">
        <w:t>(Sivakumar et al., 2023)</w:t>
      </w:r>
      <w:r w:rsidRPr="001365F1">
        <w:t>. Without adequate training and incentives, staff engagement may remain inconsistent, undermining integration.</w:t>
      </w:r>
    </w:p>
    <w:p w14:paraId="4CA5EAB5" w14:textId="77777777" w:rsidR="0089636D" w:rsidRDefault="001365F1" w:rsidP="0089636D">
      <w:r w:rsidRPr="001365F1">
        <w:t xml:space="preserve">Another challenge lies in the hidden workload created by digital services. Research into digital-first consultation models found that, unless most patient queries were resolved digitally, clinician workload could increase due to the need for additional triage and follow-up </w:t>
      </w:r>
      <w:r w:rsidR="00404499" w:rsidRPr="000A5484">
        <w:t xml:space="preserve">(Salisbury, </w:t>
      </w:r>
      <w:proofErr w:type="gramStart"/>
      <w:r w:rsidR="00404499" w:rsidRPr="000A5484">
        <w:t>Murphy</w:t>
      </w:r>
      <w:proofErr w:type="gramEnd"/>
      <w:r w:rsidR="00404499" w:rsidRPr="000A5484">
        <w:t xml:space="preserve"> and Duncan, 2020)</w:t>
      </w:r>
      <w:r w:rsidRPr="001365F1">
        <w:t xml:space="preserve">. A similar pattern is possible with the NHS App: easier access for patients may increase demand for services, shifting workload pressures from administrative staff to clinicians. </w:t>
      </w:r>
      <w:r w:rsidR="0089636D">
        <w:t>Digitalisation can be a source of increased burden rather than burden alleviation in case demand exceeds capacity (Louch et al., 2022).</w:t>
      </w:r>
    </w:p>
    <w:p w14:paraId="1429F0CE" w14:textId="77777777" w:rsidR="0089636D" w:rsidRDefault="0089636D" w:rsidP="0089636D">
      <w:r>
        <w:t>Also, there are digital capability gaps within the workforce. Ageing employees or less tech-savvy staff might have a problem with adoption, decelerating organisational preparedness (</w:t>
      </w:r>
      <w:proofErr w:type="spellStart"/>
      <w:r>
        <w:t>Leesakul</w:t>
      </w:r>
      <w:proofErr w:type="spellEnd"/>
      <w:r>
        <w:t xml:space="preserve"> et al., 2022). This heterogeneity in digital competence implies that some yet other practices are more quickly adapted and lag, leading to disproportionate adoption across regions.</w:t>
      </w:r>
    </w:p>
    <w:p w14:paraId="053BF3E7" w14:textId="2807DA84" w:rsidR="001365F1" w:rsidRPr="001365F1" w:rsidRDefault="0089636D" w:rsidP="0089636D">
      <w:r>
        <w:t>Lastly, universal workforce pressures make adoption challenging. The NHS workforce already faces chronic shortages, stress, and burnout (House of Commons, 2021). The proliferation of new digital tasks without commensurate support is likely to make these issues more severe. A survey by the British Medical Association revealed that two-thirds of physicians described excessive workload as a key factor in burnout, which cast doubt on whether digital change can be sustained without proper workforce planning (Tonkin, 2022)</w:t>
      </w:r>
      <w:r w:rsidR="001365F1" w:rsidRPr="001365F1">
        <w:t>.</w:t>
      </w:r>
    </w:p>
    <w:p w14:paraId="68089279" w14:textId="77777777" w:rsidR="001365F1" w:rsidRPr="001365F1" w:rsidRDefault="001365F1" w:rsidP="000A5484">
      <w:pPr>
        <w:pStyle w:val="Heading2"/>
      </w:pPr>
      <w:bookmarkStart w:id="5" w:name="_Toc211213423"/>
      <w:r w:rsidRPr="001365F1">
        <w:t>Critical Reflection and Synthesis</w:t>
      </w:r>
      <w:bookmarkEnd w:id="5"/>
    </w:p>
    <w:p w14:paraId="2BE81695" w14:textId="5FC54052" w:rsidR="001365F1" w:rsidRPr="001365F1" w:rsidRDefault="0089636D" w:rsidP="000A5484">
      <w:r w:rsidRPr="0089636D">
        <w:t>The NHS App workforce implications illustrate the possibilities and hazards of digital transformation. On the one hand, the application can decrease the administrative load, enhance productivity, and enable clinicians to concentrate on sophisticated care. Conversely, opposition, silent workload and imbalanced digital competence are challenging</w:t>
      </w:r>
      <w:r w:rsidR="001365F1" w:rsidRPr="001365F1">
        <w:t>.</w:t>
      </w:r>
    </w:p>
    <w:p w14:paraId="01B717D1" w14:textId="77777777" w:rsidR="001365F1" w:rsidRPr="001365F1" w:rsidRDefault="001365F1" w:rsidP="000A5484">
      <w:r w:rsidRPr="001365F1">
        <w:lastRenderedPageBreak/>
        <w:t>Critically, the app’s impact on the workforce cannot be viewed in isolation. It reflects a broader NHS trend of embedding digital services within overstretched systems. Without strategic investment in training, change management, and workload redistribution, digital tools risk becoming an additional pressure point rather than a solution. The success of the NHS Digital Academy and similar initiatives illustrates that leadership and structured training can mitigate these risks, but uptake remains variable.</w:t>
      </w:r>
    </w:p>
    <w:p w14:paraId="68195D8D" w14:textId="77777777" w:rsidR="001365F1" w:rsidRPr="001365F1" w:rsidRDefault="001365F1" w:rsidP="000A5484">
      <w:r w:rsidRPr="001365F1">
        <w:t>In summary, the NHS App offers considerable potential to reshape workforce roles for greater efficiency and patient focus. However, realising these benefits requires sustained investment in skills, supportive leadership, and careful monitoring of workload effects. Digital transformation is not a quick fix but a complex process, dependent on how well the workforce is prepared, supported, and valued throughout the transition.</w:t>
      </w:r>
    </w:p>
    <w:p w14:paraId="04358B63" w14:textId="1D8F8FFF" w:rsidR="001365F1" w:rsidRPr="001365F1" w:rsidRDefault="001365F1" w:rsidP="000A5484">
      <w:pPr>
        <w:pStyle w:val="Heading1"/>
      </w:pPr>
      <w:bookmarkStart w:id="6" w:name="_Toc211213424"/>
      <w:r w:rsidRPr="001365F1">
        <w:t>Service Delivery</w:t>
      </w:r>
      <w:bookmarkEnd w:id="6"/>
      <w:r w:rsidRPr="001365F1">
        <w:t xml:space="preserve"> </w:t>
      </w:r>
    </w:p>
    <w:p w14:paraId="1531133C" w14:textId="77777777" w:rsidR="001365F1" w:rsidRPr="001365F1" w:rsidRDefault="001365F1" w:rsidP="000A5484">
      <w:pPr>
        <w:pStyle w:val="Heading2"/>
      </w:pPr>
      <w:bookmarkStart w:id="7" w:name="_Toc211213425"/>
      <w:r w:rsidRPr="001365F1">
        <w:t>Transformation of Workflows and Care Pathways</w:t>
      </w:r>
      <w:bookmarkEnd w:id="7"/>
    </w:p>
    <w:p w14:paraId="16BB961A" w14:textId="019F3DDA" w:rsidR="001365F1" w:rsidRPr="001365F1" w:rsidRDefault="001365F1" w:rsidP="000A5484">
      <w:r w:rsidRPr="001365F1">
        <w:t xml:space="preserve">The NHS App has significantly altered how health services are delivered in England, providing a centralised digital platform that enables patients to manage appointments, prescriptions, and access to health records. This transformation aligns with the NHS Long Term Plan, which positioned digital tools as a core mechanism for improving efficiency and access to care </w:t>
      </w:r>
      <w:r w:rsidR="00404499" w:rsidRPr="000A5484">
        <w:t>(Department of Health and Social Care, 2022)</w:t>
      </w:r>
      <w:r w:rsidRPr="001365F1">
        <w:t xml:space="preserve">. By shifting routine service interactions to self-service platforms, the app has restructured workflows in GP practices, pharmacies, and wider community care. Reception staff, once responsible for handling large volumes of appointment bookings and prescription requests, now manage fewer direct contacts, while clinical systems are increasingly integrated with patient-facing digital tools </w:t>
      </w:r>
      <w:r w:rsidR="00CA3B8B" w:rsidRPr="000A5484">
        <w:t>(Stockwell et al., 2025)</w:t>
      </w:r>
      <w:r w:rsidRPr="001365F1">
        <w:t>.</w:t>
      </w:r>
    </w:p>
    <w:p w14:paraId="2ACACB02" w14:textId="574C13EF" w:rsidR="001365F1" w:rsidRPr="001365F1" w:rsidRDefault="001365F1" w:rsidP="000A5484">
      <w:r w:rsidRPr="001365F1">
        <w:t xml:space="preserve">The COVID-19 pandemic accelerated these changes. The addition of the NHS COVID Pass in 2021 positioned the app as an essential gateway for travel and proof of vaccination. This not only boosted adoption rates but also demonstrated how digital innovations can adapt rapidly to emerging public health needs </w:t>
      </w:r>
      <w:r w:rsidR="00CA3B8B" w:rsidRPr="000A5484">
        <w:t>(GOV.UK, 2022)</w:t>
      </w:r>
      <w:r w:rsidRPr="001365F1">
        <w:t>. The app has therefore become both a tool of everyday healthcare delivery and a mechanism of system resilience during crisis conditions.</w:t>
      </w:r>
    </w:p>
    <w:p w14:paraId="40DACF16" w14:textId="77777777" w:rsidR="001365F1" w:rsidRPr="001365F1" w:rsidRDefault="001365F1" w:rsidP="000A5484">
      <w:pPr>
        <w:pStyle w:val="Heading2"/>
      </w:pPr>
      <w:bookmarkStart w:id="8" w:name="_Toc211213426"/>
      <w:r w:rsidRPr="001365F1">
        <w:lastRenderedPageBreak/>
        <w:t>Benefits: Efficiency, Accessibility, and Continuity</w:t>
      </w:r>
      <w:bookmarkEnd w:id="8"/>
    </w:p>
    <w:p w14:paraId="18514D97" w14:textId="4AADDEF3" w:rsidR="0089636D" w:rsidRDefault="00002586" w:rsidP="0089636D">
      <w:r w:rsidRPr="00002586">
        <w:t xml:space="preserve">One of the major benefits of the NHS App is the increased efficiency of the service delivery process since patients </w:t>
      </w:r>
      <w:proofErr w:type="gramStart"/>
      <w:r w:rsidRPr="00002586">
        <w:t>are able to</w:t>
      </w:r>
      <w:proofErr w:type="gramEnd"/>
      <w:r w:rsidRPr="00002586">
        <w:t xml:space="preserve"> create or cancel an appointment, order a repeat prescription, and locate their medical records without resorting to telephone and face-to-face communication</w:t>
      </w:r>
      <w:r w:rsidR="0089636D">
        <w:t>. This minimizes phone line and waiting room congestion and enables staff to concentrate on patients with complex needs (</w:t>
      </w:r>
      <w:proofErr w:type="spellStart"/>
      <w:r w:rsidR="0089636D">
        <w:t>Alturkistani</w:t>
      </w:r>
      <w:proofErr w:type="spellEnd"/>
      <w:r w:rsidR="0089636D">
        <w:t xml:space="preserve"> et al., 2023).</w:t>
      </w:r>
    </w:p>
    <w:p w14:paraId="74F47077" w14:textId="609DC48F" w:rsidR="00002586" w:rsidRDefault="0089636D" w:rsidP="00002586">
      <w:r>
        <w:t xml:space="preserve">NHS Digital data show that the app has steadily grown in its usage since 2019, with 8.5 million downloads in mid-2021 (Kc et al., 2023). The COVID Pass use was even higher after its introduction, with four times more people registered (GOV.UK, 2022). </w:t>
      </w:r>
      <w:r w:rsidR="00002586">
        <w:t>It means that there was a significant culture shift towards adopting digital health, and most patients have reported that they found the app beneficial in providing them with convenience and autonomy (Bol et al., 2019).</w:t>
      </w:r>
    </w:p>
    <w:p w14:paraId="738AAE60" w14:textId="62C46E11" w:rsidR="001365F1" w:rsidRPr="001365F1" w:rsidRDefault="00002586" w:rsidP="00002586">
      <w:r>
        <w:t>The app also supports continuity of care. It helps to reduce duplication of services and enhance informed clinical interactions by making test results, immunisation, and care summaries available to patients</w:t>
      </w:r>
      <w:r w:rsidR="0089636D">
        <w:t>. Long-term patients, such as those with chronic conditions, can monitor prescriptions and test outcomes, enhance adherence to treatment and decrease chances of missed appointments (Horne et al., 2019). This transparency also saves providers on the time spent on having staff recheck patient details, which simplifies workflows</w:t>
      </w:r>
      <w:r w:rsidR="001365F1" w:rsidRPr="001365F1">
        <w:t>.</w:t>
      </w:r>
    </w:p>
    <w:p w14:paraId="2A509050" w14:textId="77777777" w:rsidR="001365F1" w:rsidRPr="001365F1" w:rsidRDefault="001365F1" w:rsidP="000A5484">
      <w:pPr>
        <w:pStyle w:val="Heading2"/>
      </w:pPr>
      <w:bookmarkStart w:id="9" w:name="_Toc211213427"/>
      <w:r w:rsidRPr="001365F1">
        <w:t>Challenges: Digital Exclusion, Technical Integration, and Hidden Demand</w:t>
      </w:r>
      <w:bookmarkEnd w:id="9"/>
    </w:p>
    <w:p w14:paraId="34B7DA06" w14:textId="77777777" w:rsidR="0089636D" w:rsidRDefault="0089636D" w:rsidP="0089636D">
      <w:r>
        <w:t xml:space="preserve">Although these are advantages, the NHS App faces </w:t>
      </w:r>
      <w:proofErr w:type="gramStart"/>
      <w:r>
        <w:t>a number of</w:t>
      </w:r>
      <w:proofErr w:type="gramEnd"/>
      <w:r>
        <w:t xml:space="preserve"> challenges, which compromise its effectiveness in service delivery.</w:t>
      </w:r>
    </w:p>
    <w:p w14:paraId="68E2C5D2" w14:textId="77777777" w:rsidR="00002586" w:rsidRDefault="0089636D" w:rsidP="00002586">
      <w:r>
        <w:t xml:space="preserve">Among the most urgent issues is digital exclusion. Studies indicate that there is an uneven adoption of the app among socioeconomic groups. Kc et al. (2023) discovered that registration was lower in the most deprived places by a factor of 25 than the least deprived places. Likewise, poor connectivity and low digital literacy led to slower adoption of rural practices. </w:t>
      </w:r>
      <w:r w:rsidR="00002586">
        <w:t>These risks increase the existing health inequalities, as the possible beneficiaries of the simplified access are likely to be the most incompetent to use the app (Esteban-Navarro et al., 2020).</w:t>
      </w:r>
    </w:p>
    <w:p w14:paraId="3E712BA8" w14:textId="52FFAAAE" w:rsidR="0089636D" w:rsidRDefault="00002586" w:rsidP="00002586">
      <w:r>
        <w:t xml:space="preserve">Technical reliability and integration issues are also problems that face service delivery. The app must be capable of linking with other GP systems, such as EMIS and </w:t>
      </w:r>
      <w:proofErr w:type="spellStart"/>
      <w:r>
        <w:t>SystmOne</w:t>
      </w:r>
      <w:proofErr w:type="spellEnd"/>
      <w:r>
        <w:t xml:space="preserve">. Interruptions in </w:t>
      </w:r>
      <w:r>
        <w:lastRenderedPageBreak/>
        <w:t>access may include absence of adequate synchronisation or offline time or digital verification failure which is typically the factor which triggers the patient back to the old system (Scantlebury et al., 2021). This makes the digital services less trusted and imposes extra responsibilities on the working staff that must deal with both digital and manual flows (Beer and Mulder, 2020)</w:t>
      </w:r>
      <w:r w:rsidR="0089636D">
        <w:t>.</w:t>
      </w:r>
    </w:p>
    <w:p w14:paraId="16A48F78" w14:textId="0165AE7A" w:rsidR="0089636D" w:rsidRDefault="0089636D" w:rsidP="0089636D">
      <w:r>
        <w:t xml:space="preserve">The possibility of latent demand is another challenge. Although the app will lessen the burden on administration, its convenience can serve to boost service demand. In the context of digital-first consulting models, Murphy et al. (2020) noted that online platforms could augment GP workload unless </w:t>
      </w:r>
      <w:r w:rsidR="00002586">
        <w:t>many</w:t>
      </w:r>
      <w:r>
        <w:t xml:space="preserve"> queries were completely addressed online (Gupta, 2024). The NHS App can have the same consequences, provided that a patient uses it to produce more frequent requests to appointments, test results, or prescriptions (Salina et al., 2022). This would potentially change administrative pressure to clinicians and worsen, instead of mitigating, workload.</w:t>
      </w:r>
    </w:p>
    <w:p w14:paraId="185F8F59" w14:textId="7BB3BEA7" w:rsidR="001365F1" w:rsidRPr="001365F1" w:rsidRDefault="0089636D" w:rsidP="0089636D">
      <w:r>
        <w:t>Lastly are cost and resource implications. The cost of adapting the workflow, training personnel, and aiding patients must be recouped by local practices in addition to national funding that covers development and infrastructure. Even smaller practices that are already strained might find these requirements challenging (Henrikson et al., 2019)</w:t>
      </w:r>
      <w:r w:rsidR="001365F1" w:rsidRPr="001365F1">
        <w:t>.</w:t>
      </w:r>
    </w:p>
    <w:p w14:paraId="250B0F18" w14:textId="77777777" w:rsidR="001365F1" w:rsidRPr="001365F1" w:rsidRDefault="001365F1" w:rsidP="000A5484">
      <w:pPr>
        <w:pStyle w:val="Heading2"/>
      </w:pPr>
      <w:bookmarkStart w:id="10" w:name="_Toc211213428"/>
      <w:r w:rsidRPr="001365F1">
        <w:t>Critical Reflection and Synthesis</w:t>
      </w:r>
      <w:bookmarkEnd w:id="10"/>
    </w:p>
    <w:p w14:paraId="5026EDC7" w14:textId="77777777" w:rsidR="00002586" w:rsidRDefault="0089636D" w:rsidP="00002586">
      <w:r>
        <w:t xml:space="preserve">The NHS App shows how digital innovations can revolutionize service provision by enhancing efficiency, broadening access, and facilitating continuity of care. Its performance during the COVID-19 pandemic underscores the resiliency that online platforms might offer during a crisis. </w:t>
      </w:r>
      <w:r w:rsidR="00002586">
        <w:t>It has the advantage of a more self-sufficient patient and more time spent by staff on complicated cases.</w:t>
      </w:r>
    </w:p>
    <w:p w14:paraId="007CD1F3" w14:textId="77777777" w:rsidR="00002586" w:rsidRDefault="00002586" w:rsidP="00002586">
      <w:r>
        <w:t>However, there are pressing issues that should be taken into consideration to make these benefits sustainable. Digital exclusion cannot be considered a marginal problem; however, it is structural: the deprived population and rural population will never be present in the digital-first models, creating inequalities. Technical integration remains a significant obstacle to the problem and the app will never cease to be doubted till some effective solutions are discovered. Additionally, latent workload as a threat is highlighted, i.e., the digital solutions cannot be assumed to reduce the demand without careful monitoring and support in resource planning.</w:t>
      </w:r>
    </w:p>
    <w:p w14:paraId="5C3F551E" w14:textId="3CBC29E0" w:rsidR="001365F1" w:rsidRPr="000A5484" w:rsidRDefault="00002586" w:rsidP="00002586">
      <w:r>
        <w:lastRenderedPageBreak/>
        <w:t>In general, synthetically, the NHS App shows the opportunity and the issues of digital service delivery. Its potential to modernise healthcare is clear and the effectiveness of it will depend on delivering equitable access and the technical integration will be smooth and realistic workload management. Digital transformation must not then be viewed as a half-baked technical project but a large-scale cultural and organisational change, which is based on good policy, leadership, investment</w:t>
      </w:r>
      <w:r w:rsidR="001365F1" w:rsidRPr="001365F1">
        <w:t>.</w:t>
      </w:r>
    </w:p>
    <w:p w14:paraId="0BEA42D5" w14:textId="788CECA0" w:rsidR="001365F1" w:rsidRPr="001365F1" w:rsidRDefault="001365F1" w:rsidP="000A5484">
      <w:pPr>
        <w:pStyle w:val="Heading1"/>
      </w:pPr>
      <w:bookmarkStart w:id="11" w:name="_Toc211213429"/>
      <w:r w:rsidRPr="001365F1">
        <w:t>Conclusion &amp; Recommendations</w:t>
      </w:r>
      <w:bookmarkEnd w:id="11"/>
      <w:r w:rsidRPr="001365F1">
        <w:t xml:space="preserve"> </w:t>
      </w:r>
    </w:p>
    <w:p w14:paraId="62A2CC94" w14:textId="08D2322B" w:rsidR="0089636D" w:rsidRDefault="00002586" w:rsidP="0089636D">
      <w:r w:rsidRPr="00002586">
        <w:t>The NHS App has emerged as a breakthrough in the digital health strategy in the UK, transforming the employment functions and service provision. It has eased the administrative burden on employees and improved emergent digital skills, although workload pressures, unequal digital capacity, and continuous training have been difficult to manage. Regarding service delivery, the app has improved efficiency, transparency, and resilience particularly in the COVID-19 pandemic</w:t>
      </w:r>
      <w:r w:rsidR="0089636D">
        <w:t>. Nevertheless, the presence of digital exclusion, technical integration problems, and concealed demand underscores persistent risks.</w:t>
      </w:r>
    </w:p>
    <w:p w14:paraId="14810920" w14:textId="18CE593E" w:rsidR="001365F1" w:rsidRPr="001365F1" w:rsidRDefault="00871C27" w:rsidP="0089636D">
      <w:r>
        <w:t>To</w:t>
      </w:r>
      <w:r w:rsidR="0089636D">
        <w:t xml:space="preserve"> maximise impact, </w:t>
      </w:r>
      <w:proofErr w:type="gramStart"/>
      <w:r w:rsidR="0089636D">
        <w:t>a number of</w:t>
      </w:r>
      <w:proofErr w:type="gramEnd"/>
      <w:r w:rsidR="0089636D">
        <w:t xml:space="preserve"> suggestions may be offered. First, additional workforce training is needed to develop digital confidence and minimize resistance (Mikki et al., 2021). Second, non-digital access entry points should be preserved to guarantee fairness to marginalized groups. Third, technical reliability and integration should be reinforced to provide confidence in digital services (Bodó, 2020). Lastly, continuous assessment is needed to track uptake, workload impacts, and disparities. To sum up, sustainable digital change requires the balance between innovation and inclusivity and support to the workforce</w:t>
      </w:r>
      <w:r w:rsidR="001365F1" w:rsidRPr="001365F1">
        <w:t>.</w:t>
      </w:r>
    </w:p>
    <w:p w14:paraId="6F8D9A91" w14:textId="77777777" w:rsidR="001365F1" w:rsidRPr="001365F1" w:rsidRDefault="001365F1" w:rsidP="000A5484"/>
    <w:p w14:paraId="633352C8" w14:textId="77777777" w:rsidR="00552F02" w:rsidRDefault="00552F02" w:rsidP="000A5484"/>
    <w:p w14:paraId="4888C5B1" w14:textId="77777777" w:rsidR="000A5484" w:rsidRDefault="000A5484" w:rsidP="000A5484"/>
    <w:p w14:paraId="36F574F4" w14:textId="77777777" w:rsidR="000A5484" w:rsidRDefault="000A5484" w:rsidP="000A5484"/>
    <w:p w14:paraId="37006656" w14:textId="77777777" w:rsidR="000A5484" w:rsidRDefault="000A5484" w:rsidP="000A5484"/>
    <w:p w14:paraId="353EBF82" w14:textId="77777777" w:rsidR="000A5484" w:rsidRDefault="000A5484" w:rsidP="000A5484"/>
    <w:p w14:paraId="61353E11" w14:textId="7A5D1722" w:rsidR="000A5484" w:rsidRDefault="000A5484" w:rsidP="000A5484">
      <w:pPr>
        <w:pStyle w:val="Heading1"/>
      </w:pPr>
      <w:bookmarkStart w:id="12" w:name="_Toc211213430"/>
      <w:r>
        <w:lastRenderedPageBreak/>
        <w:t>References</w:t>
      </w:r>
      <w:bookmarkEnd w:id="12"/>
    </w:p>
    <w:p w14:paraId="0E541EFA" w14:textId="77777777" w:rsidR="000A5484" w:rsidRPr="000A5484" w:rsidRDefault="000A5484" w:rsidP="000A5484">
      <w:pPr>
        <w:ind w:left="720" w:hanging="720"/>
      </w:pPr>
      <w:r w:rsidRPr="000A5484">
        <w:t xml:space="preserve">Akinola, S. and </w:t>
      </w:r>
      <w:proofErr w:type="spellStart"/>
      <w:r w:rsidRPr="000A5484">
        <w:t>Telukdarie</w:t>
      </w:r>
      <w:proofErr w:type="spellEnd"/>
      <w:r w:rsidRPr="000A5484">
        <w:t xml:space="preserve">, A. (2023). Sustainable Digital Transformation in Healthcare: Advancing a Digital Vascular Health Innovation Solution. </w:t>
      </w:r>
      <w:r w:rsidRPr="000A5484">
        <w:rPr>
          <w:i/>
          <w:iCs/>
        </w:rPr>
        <w:t>Sustainability</w:t>
      </w:r>
      <w:r w:rsidRPr="000A5484">
        <w:t xml:space="preserve">, [online] 15(13), p.10417. </w:t>
      </w:r>
      <w:proofErr w:type="spellStart"/>
      <w:proofErr w:type="gramStart"/>
      <w:r w:rsidRPr="000A5484">
        <w:t>doi:https</w:t>
      </w:r>
      <w:proofErr w:type="spellEnd"/>
      <w:r w:rsidRPr="000A5484">
        <w:t>://doi.org/10.3390/su151310417</w:t>
      </w:r>
      <w:proofErr w:type="gramEnd"/>
      <w:r w:rsidRPr="000A5484">
        <w:t>.</w:t>
      </w:r>
    </w:p>
    <w:p w14:paraId="4C351E4F" w14:textId="77777777" w:rsidR="000A5484" w:rsidRPr="000A5484" w:rsidRDefault="000A5484" w:rsidP="000A5484">
      <w:pPr>
        <w:ind w:left="720" w:hanging="720"/>
      </w:pPr>
      <w:r w:rsidRPr="000A5484">
        <w:t xml:space="preserve">Albrink, K., Joos, C., Schröder, D., Müller, F., Hummers, E. and Noack, E.M. (2022). Obtaining patients’ medical history using a digital device prior to consultation in primary care: study protocol for a usability and validity study. </w:t>
      </w:r>
      <w:r w:rsidRPr="000A5484">
        <w:rPr>
          <w:i/>
          <w:iCs/>
        </w:rPr>
        <w:t>BMC Medical Informatics and Decision Making</w:t>
      </w:r>
      <w:r w:rsidRPr="000A5484">
        <w:t xml:space="preserve">, 22(1). </w:t>
      </w:r>
      <w:proofErr w:type="spellStart"/>
      <w:proofErr w:type="gramStart"/>
      <w:r w:rsidRPr="000A5484">
        <w:t>doi:https</w:t>
      </w:r>
      <w:proofErr w:type="spellEnd"/>
      <w:r w:rsidRPr="000A5484">
        <w:t>://doi.org/10.1186/s12911-022-01928-0</w:t>
      </w:r>
      <w:proofErr w:type="gramEnd"/>
      <w:r w:rsidRPr="000A5484">
        <w:t>.</w:t>
      </w:r>
    </w:p>
    <w:p w14:paraId="2CD88D19" w14:textId="77777777" w:rsidR="000A5484" w:rsidRPr="000A5484" w:rsidRDefault="000A5484" w:rsidP="000A5484">
      <w:pPr>
        <w:ind w:left="720" w:hanging="720"/>
      </w:pPr>
      <w:proofErr w:type="spellStart"/>
      <w:r w:rsidRPr="000A5484">
        <w:t>Alturkistani</w:t>
      </w:r>
      <w:proofErr w:type="spellEnd"/>
      <w:r w:rsidRPr="000A5484">
        <w:t xml:space="preserve">, A., Greenfield, G., Beaney, T., Norton, J. and Costelloe, C. (2023). Cross-sectional analyses of online appointment booking and repeat prescription ordering user characteristics in general practices of England in the years 2018–2020. </w:t>
      </w:r>
      <w:r w:rsidRPr="000A5484">
        <w:rPr>
          <w:i/>
          <w:iCs/>
        </w:rPr>
        <w:t>BMJ Open</w:t>
      </w:r>
      <w:r w:rsidRPr="000A5484">
        <w:t xml:space="preserve">, 13(10), </w:t>
      </w:r>
      <w:proofErr w:type="gramStart"/>
      <w:r w:rsidRPr="000A5484">
        <w:t>pp.e</w:t>
      </w:r>
      <w:proofErr w:type="gramEnd"/>
      <w:r w:rsidRPr="000A5484">
        <w:t xml:space="preserve">068627–e068627. </w:t>
      </w:r>
      <w:proofErr w:type="spellStart"/>
      <w:proofErr w:type="gramStart"/>
      <w:r w:rsidRPr="000A5484">
        <w:t>doi:https</w:t>
      </w:r>
      <w:proofErr w:type="spellEnd"/>
      <w:r w:rsidRPr="000A5484">
        <w:t>://doi.org/10.1136/bmjopen-2022-068627</w:t>
      </w:r>
      <w:proofErr w:type="gramEnd"/>
      <w:r w:rsidRPr="000A5484">
        <w:t>.</w:t>
      </w:r>
    </w:p>
    <w:p w14:paraId="0AA9CE1A" w14:textId="77777777" w:rsidR="000A5484" w:rsidRPr="000A5484" w:rsidRDefault="000A5484" w:rsidP="000A5484">
      <w:pPr>
        <w:ind w:left="720" w:hanging="720"/>
      </w:pPr>
      <w:r w:rsidRPr="000A5484">
        <w:t xml:space="preserve">Beaney, P., </w:t>
      </w:r>
      <w:proofErr w:type="spellStart"/>
      <w:r w:rsidRPr="000A5484">
        <w:t>Odulaja</w:t>
      </w:r>
      <w:proofErr w:type="spellEnd"/>
      <w:r w:rsidRPr="000A5484">
        <w:t xml:space="preserve">, A., Hadley, A., Prince, C. and Obe, R.C. (2019). GP Online: turning expectations into reality with the new NHS app. </w:t>
      </w:r>
      <w:r w:rsidRPr="000A5484">
        <w:rPr>
          <w:i/>
          <w:iCs/>
        </w:rPr>
        <w:t>British Journal of General Practice</w:t>
      </w:r>
      <w:r w:rsidRPr="000A5484">
        <w:t xml:space="preserve">, [online] 69(681), pp.172–173. </w:t>
      </w:r>
      <w:proofErr w:type="spellStart"/>
      <w:proofErr w:type="gramStart"/>
      <w:r w:rsidRPr="000A5484">
        <w:t>doi:https</w:t>
      </w:r>
      <w:proofErr w:type="spellEnd"/>
      <w:r w:rsidRPr="000A5484">
        <w:t>://doi.org/10.3399/bjgp19X701333</w:t>
      </w:r>
      <w:proofErr w:type="gramEnd"/>
      <w:r w:rsidRPr="000A5484">
        <w:t>.</w:t>
      </w:r>
    </w:p>
    <w:p w14:paraId="2F548301" w14:textId="77777777" w:rsidR="000A5484" w:rsidRPr="000A5484" w:rsidRDefault="000A5484" w:rsidP="000A5484">
      <w:pPr>
        <w:ind w:left="720" w:hanging="720"/>
      </w:pPr>
      <w:r w:rsidRPr="000A5484">
        <w:t xml:space="preserve">Beer, </w:t>
      </w:r>
      <w:proofErr w:type="gramStart"/>
      <w:r w:rsidRPr="000A5484">
        <w:t>P.</w:t>
      </w:r>
      <w:proofErr w:type="gramEnd"/>
      <w:r w:rsidRPr="000A5484">
        <w:t xml:space="preserve"> and Mulder, R.H. (2020). The Effects of Technological Developments on Work and Their Implications for Continuous Vocational Education and Training: A Systematic Review. </w:t>
      </w:r>
      <w:r w:rsidRPr="000A5484">
        <w:rPr>
          <w:i/>
          <w:iCs/>
        </w:rPr>
        <w:t>Frontiers in Psychology</w:t>
      </w:r>
      <w:r w:rsidRPr="000A5484">
        <w:t>, [online] 11(918). Available at: https://www.frontiersin.org/articles/10.3389/fpsyg.2020.00918/full.</w:t>
      </w:r>
    </w:p>
    <w:p w14:paraId="583282BF" w14:textId="77777777" w:rsidR="000A5484" w:rsidRPr="000A5484" w:rsidRDefault="000A5484" w:rsidP="000A5484">
      <w:pPr>
        <w:ind w:left="720" w:hanging="720"/>
      </w:pPr>
      <w:r w:rsidRPr="000A5484">
        <w:t xml:space="preserve">Bodó, B. (2020). Mediated trust: A theoretical framework to address the trustworthiness of technological trust mediators. </w:t>
      </w:r>
      <w:r w:rsidRPr="000A5484">
        <w:rPr>
          <w:i/>
          <w:iCs/>
        </w:rPr>
        <w:t>New Media &amp; Society</w:t>
      </w:r>
      <w:r w:rsidRPr="000A5484">
        <w:t xml:space="preserve">, 23(9), p.146144482093992. </w:t>
      </w:r>
      <w:proofErr w:type="spellStart"/>
      <w:proofErr w:type="gramStart"/>
      <w:r w:rsidRPr="000A5484">
        <w:t>doi:https</w:t>
      </w:r>
      <w:proofErr w:type="spellEnd"/>
      <w:r w:rsidRPr="000A5484">
        <w:t>://doi.org/10.1177/1461444820939922</w:t>
      </w:r>
      <w:proofErr w:type="gramEnd"/>
      <w:r w:rsidRPr="000A5484">
        <w:t>.</w:t>
      </w:r>
    </w:p>
    <w:p w14:paraId="24CEBADF" w14:textId="77777777" w:rsidR="000A5484" w:rsidRPr="000A5484" w:rsidRDefault="000A5484" w:rsidP="000A5484">
      <w:pPr>
        <w:ind w:left="720" w:hanging="720"/>
      </w:pPr>
      <w:r w:rsidRPr="000A5484">
        <w:t xml:space="preserve">Bol, N., Høie, N.M., Nguyen, M.H. and Smit, E.S. (2019). Customization in mobile health apps: explaining effects on physical activity intentions by the need for autonomy. </w:t>
      </w:r>
      <w:r w:rsidRPr="000A5484">
        <w:rPr>
          <w:i/>
          <w:iCs/>
        </w:rPr>
        <w:t>DIGITAL HEALTH</w:t>
      </w:r>
      <w:r w:rsidRPr="000A5484">
        <w:t xml:space="preserve">, 5, p.205520761988807. </w:t>
      </w:r>
      <w:proofErr w:type="spellStart"/>
      <w:proofErr w:type="gramStart"/>
      <w:r w:rsidRPr="000A5484">
        <w:t>doi:https</w:t>
      </w:r>
      <w:proofErr w:type="spellEnd"/>
      <w:r w:rsidRPr="000A5484">
        <w:t>://doi.org/10.1177/2055207619888074</w:t>
      </w:r>
      <w:proofErr w:type="gramEnd"/>
      <w:r w:rsidRPr="000A5484">
        <w:t>.</w:t>
      </w:r>
    </w:p>
    <w:p w14:paraId="29E3BC8D" w14:textId="77777777" w:rsidR="000A5484" w:rsidRPr="000A5484" w:rsidRDefault="000A5484" w:rsidP="000A5484">
      <w:pPr>
        <w:ind w:left="720" w:hanging="720"/>
      </w:pPr>
      <w:proofErr w:type="spellStart"/>
      <w:r w:rsidRPr="000A5484">
        <w:t>Brommeyer</w:t>
      </w:r>
      <w:proofErr w:type="spellEnd"/>
      <w:r w:rsidRPr="000A5484">
        <w:t xml:space="preserve">, M. and Liang, Z. (2022). A Systematic Approach in Developing Management Workforce Readiness for Digital Health Transformation in Healthcare. </w:t>
      </w:r>
      <w:r w:rsidRPr="000A5484">
        <w:rPr>
          <w:i/>
          <w:iCs/>
        </w:rPr>
        <w:t xml:space="preserve">International </w:t>
      </w:r>
      <w:r w:rsidRPr="000A5484">
        <w:rPr>
          <w:i/>
          <w:iCs/>
        </w:rPr>
        <w:lastRenderedPageBreak/>
        <w:t>Journal of Environmental Research and Public Health</w:t>
      </w:r>
      <w:r w:rsidRPr="000A5484">
        <w:t xml:space="preserve">, 19(21), p.13843. </w:t>
      </w:r>
      <w:proofErr w:type="spellStart"/>
      <w:proofErr w:type="gramStart"/>
      <w:r w:rsidRPr="000A5484">
        <w:t>doi:https</w:t>
      </w:r>
      <w:proofErr w:type="spellEnd"/>
      <w:r w:rsidRPr="000A5484">
        <w:t>://doi.org/10.3390/ijerph192113843</w:t>
      </w:r>
      <w:proofErr w:type="gramEnd"/>
      <w:r w:rsidRPr="000A5484">
        <w:t>.</w:t>
      </w:r>
    </w:p>
    <w:p w14:paraId="20C54843" w14:textId="77777777" w:rsidR="000A5484" w:rsidRPr="000A5484" w:rsidRDefault="000A5484" w:rsidP="000A5484">
      <w:pPr>
        <w:ind w:left="720" w:hanging="720"/>
      </w:pPr>
      <w:proofErr w:type="spellStart"/>
      <w:r w:rsidRPr="000A5484">
        <w:t>D’angelo</w:t>
      </w:r>
      <w:proofErr w:type="spellEnd"/>
      <w:r w:rsidRPr="000A5484">
        <w:t xml:space="preserve">, S., Ghezzi, A. and Cavallo, A. (2024). Digital Skills Mobilization within Incumbent Organizations: The Agentic Role of Digital Champions. </w:t>
      </w:r>
      <w:r w:rsidRPr="000A5484">
        <w:rPr>
          <w:i/>
          <w:iCs/>
        </w:rPr>
        <w:t>British journal of management</w:t>
      </w:r>
      <w:r w:rsidRPr="000A5484">
        <w:t xml:space="preserve">. </w:t>
      </w:r>
      <w:proofErr w:type="spellStart"/>
      <w:proofErr w:type="gramStart"/>
      <w:r w:rsidRPr="000A5484">
        <w:t>doi:https</w:t>
      </w:r>
      <w:proofErr w:type="spellEnd"/>
      <w:r w:rsidRPr="000A5484">
        <w:t>://doi.org/10.1111/1467-8551.12810</w:t>
      </w:r>
      <w:proofErr w:type="gramEnd"/>
      <w:r w:rsidRPr="000A5484">
        <w:t>.</w:t>
      </w:r>
    </w:p>
    <w:p w14:paraId="4B72006A" w14:textId="77777777" w:rsidR="000A5484" w:rsidRPr="000A5484" w:rsidRDefault="000A5484" w:rsidP="000A5484">
      <w:pPr>
        <w:ind w:left="720" w:hanging="720"/>
      </w:pPr>
      <w:r w:rsidRPr="000A5484">
        <w:t xml:space="preserve">Department of Health and Social Care (2022). </w:t>
      </w:r>
      <w:r w:rsidRPr="000A5484">
        <w:rPr>
          <w:i/>
          <w:iCs/>
        </w:rPr>
        <w:t>A Plan for Digital Health and Social Care</w:t>
      </w:r>
      <w:r w:rsidRPr="000A5484">
        <w:t>. [online] GOV.UK. Available at: https://www.gov.uk/government/publications/a-plan-for-digital-health-and-social-care/a-plan-for-digital-health-and-social-care.</w:t>
      </w:r>
    </w:p>
    <w:p w14:paraId="6F86C6AF" w14:textId="77777777" w:rsidR="000A5484" w:rsidRPr="000A5484" w:rsidRDefault="000A5484" w:rsidP="000A5484">
      <w:pPr>
        <w:ind w:left="720" w:hanging="720"/>
      </w:pPr>
      <w:r w:rsidRPr="000A5484">
        <w:t xml:space="preserve">Diaz-Skeete, Y. (2023). An exploration of the potential contribution of a medication management app in heart failure outpatients’ care: the experiences of staff and older patients - STÓR. </w:t>
      </w:r>
      <w:r w:rsidRPr="000A5484">
        <w:rPr>
          <w:i/>
          <w:iCs/>
        </w:rPr>
        <w:t>Dkit.ie</w:t>
      </w:r>
      <w:r w:rsidRPr="000A5484">
        <w:t xml:space="preserve">. [online] </w:t>
      </w:r>
      <w:proofErr w:type="gramStart"/>
      <w:r w:rsidRPr="000A5484">
        <w:t>doi:https://doi.org/861/88/PhD%20Thesis_An%20exploration%20of%20the%20potential%20contribution%20of%20a%20medication%20management%20app%20in%20heart%20failure%20outpatients%E2%80%99%20care%20the%20experiences%20of%20staff%20and%20older%20patients.pdf</w:t>
      </w:r>
      <w:proofErr w:type="gramEnd"/>
      <w:r w:rsidRPr="000A5484">
        <w:t>.</w:t>
      </w:r>
    </w:p>
    <w:p w14:paraId="20812229" w14:textId="77777777" w:rsidR="000A5484" w:rsidRPr="000A5484" w:rsidRDefault="000A5484" w:rsidP="000A5484">
      <w:pPr>
        <w:ind w:left="720" w:hanging="720"/>
      </w:pPr>
      <w:r w:rsidRPr="000A5484">
        <w:t>Esteban-Navarro, M.-Á., García-Madurga, M.-Á., Morte-Nadal, T. and Nogales-</w:t>
      </w:r>
      <w:proofErr w:type="spellStart"/>
      <w:r w:rsidRPr="000A5484">
        <w:t>Bocio</w:t>
      </w:r>
      <w:proofErr w:type="spellEnd"/>
      <w:r w:rsidRPr="000A5484">
        <w:t xml:space="preserve">, A.-I. (2020). The Rural Digital Divide in the Face of the COVID-19 Pandemic in Europe—Recommendations from a Scoping Review. </w:t>
      </w:r>
      <w:r w:rsidRPr="000A5484">
        <w:rPr>
          <w:i/>
          <w:iCs/>
        </w:rPr>
        <w:t>Informatics</w:t>
      </w:r>
      <w:r w:rsidRPr="000A5484">
        <w:t xml:space="preserve">, [online] 7(4), p.54. </w:t>
      </w:r>
      <w:proofErr w:type="spellStart"/>
      <w:proofErr w:type="gramStart"/>
      <w:r w:rsidRPr="000A5484">
        <w:t>doi:https</w:t>
      </w:r>
      <w:proofErr w:type="spellEnd"/>
      <w:r w:rsidRPr="000A5484">
        <w:t>://doi.org/10.3390/informatics7040054</w:t>
      </w:r>
      <w:proofErr w:type="gramEnd"/>
      <w:r w:rsidRPr="000A5484">
        <w:t>.</w:t>
      </w:r>
    </w:p>
    <w:p w14:paraId="150838AB" w14:textId="77777777" w:rsidR="000A5484" w:rsidRPr="000A5484" w:rsidRDefault="000A5484" w:rsidP="000A5484">
      <w:pPr>
        <w:ind w:left="720" w:hanging="720"/>
      </w:pPr>
      <w:r w:rsidRPr="000A5484">
        <w:t xml:space="preserve">Gardner, J., Herron, D., McNally, N. and Williams, B. (2023). Advancing the digital and computational capabilities of healthcare providers: A qualitative study of a hospital organisation in the NHS. </w:t>
      </w:r>
      <w:r w:rsidRPr="000A5484">
        <w:rPr>
          <w:i/>
          <w:iCs/>
        </w:rPr>
        <w:t>Digital Health</w:t>
      </w:r>
      <w:r w:rsidRPr="000A5484">
        <w:t xml:space="preserve">, 9. </w:t>
      </w:r>
      <w:proofErr w:type="spellStart"/>
      <w:proofErr w:type="gramStart"/>
      <w:r w:rsidRPr="000A5484">
        <w:t>doi:https</w:t>
      </w:r>
      <w:proofErr w:type="spellEnd"/>
      <w:r w:rsidRPr="000A5484">
        <w:t>://doi.org/10.1177/20552076231186513</w:t>
      </w:r>
      <w:proofErr w:type="gramEnd"/>
      <w:r w:rsidRPr="000A5484">
        <w:t>.</w:t>
      </w:r>
    </w:p>
    <w:p w14:paraId="7772AD51" w14:textId="77777777" w:rsidR="000A5484" w:rsidRPr="000A5484" w:rsidRDefault="000A5484" w:rsidP="000A5484">
      <w:pPr>
        <w:ind w:left="720" w:hanging="720"/>
      </w:pPr>
      <w:r w:rsidRPr="000A5484">
        <w:t xml:space="preserve">GOV.UK (2022). </w:t>
      </w:r>
      <w:r w:rsidRPr="000A5484">
        <w:rPr>
          <w:i/>
          <w:iCs/>
        </w:rPr>
        <w:t>NHS COVID-19 app</w:t>
      </w:r>
      <w:r w:rsidRPr="000A5484">
        <w:t>. [online] GOV.UK. Available at: https://www.gov.uk/government/collections/nhs-covid-19-app.</w:t>
      </w:r>
    </w:p>
    <w:p w14:paraId="056FFB49" w14:textId="77777777" w:rsidR="000A5484" w:rsidRPr="000A5484" w:rsidRDefault="000A5484" w:rsidP="000A5484">
      <w:pPr>
        <w:ind w:left="720" w:hanging="720"/>
      </w:pPr>
      <w:r w:rsidRPr="000A5484">
        <w:t xml:space="preserve">Gupta, A. (2024). </w:t>
      </w:r>
      <w:r w:rsidRPr="000A5484">
        <w:rPr>
          <w:i/>
          <w:iCs/>
        </w:rPr>
        <w:t>A scoping review of the impact of digital tools on general practitioners’ workload in primary care settings</w:t>
      </w:r>
      <w:r w:rsidRPr="000A5484">
        <w:t>. [online] Ox.ac.uk. Available at: https://ora.ox.ac.uk/objects/uuid:72b07983-b70b-4645-92f4-d5655a7aad8a.</w:t>
      </w:r>
    </w:p>
    <w:p w14:paraId="3407C090" w14:textId="77777777" w:rsidR="000A5484" w:rsidRPr="000A5484" w:rsidRDefault="000A5484" w:rsidP="000A5484">
      <w:pPr>
        <w:ind w:left="720" w:hanging="720"/>
      </w:pPr>
      <w:r w:rsidRPr="000A5484">
        <w:lastRenderedPageBreak/>
        <w:t xml:space="preserve">Health (2025). </w:t>
      </w:r>
      <w:r w:rsidRPr="000A5484">
        <w:rPr>
          <w:i/>
          <w:iCs/>
        </w:rPr>
        <w:t>NHS App overhaul will break down barriers to healthcare and reduce inequalities</w:t>
      </w:r>
      <w:r w:rsidRPr="000A5484">
        <w:t>. [online] GOV.UK. Available at: https://www.gov.uk/government/news/nhs-app-overhaul-will-break-down-barriers-to-healthcare-and-reduce-inequalities.</w:t>
      </w:r>
    </w:p>
    <w:p w14:paraId="28733220" w14:textId="77777777" w:rsidR="000A5484" w:rsidRPr="000A5484" w:rsidRDefault="000A5484" w:rsidP="000A5484">
      <w:pPr>
        <w:ind w:left="720" w:hanging="720"/>
      </w:pPr>
      <w:r w:rsidRPr="000A5484">
        <w:t xml:space="preserve">Hengst, T., Lechner, L., Dohmen, D., </w:t>
      </w:r>
      <w:proofErr w:type="spellStart"/>
      <w:r w:rsidRPr="000A5484">
        <w:t>Pasupathy</w:t>
      </w:r>
      <w:proofErr w:type="spellEnd"/>
      <w:r w:rsidRPr="000A5484">
        <w:t xml:space="preserve">, P., van Veen, A., de </w:t>
      </w:r>
      <w:proofErr w:type="spellStart"/>
      <w:r w:rsidRPr="000A5484">
        <w:t>Kruif</w:t>
      </w:r>
      <w:proofErr w:type="spellEnd"/>
      <w:r w:rsidRPr="000A5484">
        <w:t xml:space="preserve">, M.D., </w:t>
      </w:r>
      <w:proofErr w:type="spellStart"/>
      <w:r w:rsidRPr="000A5484">
        <w:t>Oudbier</w:t>
      </w:r>
      <w:proofErr w:type="spellEnd"/>
      <w:r w:rsidRPr="000A5484">
        <w:t xml:space="preserve">, S.J. and Bolman, C.A.W. (2025). Facilitators and Barriers of </w:t>
      </w:r>
      <w:proofErr w:type="spellStart"/>
      <w:r w:rsidRPr="000A5484">
        <w:t>Behavioral</w:t>
      </w:r>
      <w:proofErr w:type="spellEnd"/>
      <w:r w:rsidRPr="000A5484">
        <w:t xml:space="preserve"> Intention and Use of Telemonitoring Apps Among Chronic Obstructive Pulmonary Disease (</w:t>
      </w:r>
      <w:proofErr w:type="spellStart"/>
      <w:r w:rsidRPr="000A5484">
        <w:t>Copd</w:t>
      </w:r>
      <w:proofErr w:type="spellEnd"/>
      <w:r w:rsidRPr="000A5484">
        <w:t xml:space="preserve">) Patients. [online] </w:t>
      </w:r>
      <w:proofErr w:type="spellStart"/>
      <w:proofErr w:type="gramStart"/>
      <w:r w:rsidRPr="000A5484">
        <w:t>doi:https</w:t>
      </w:r>
      <w:proofErr w:type="spellEnd"/>
      <w:r w:rsidRPr="000A5484">
        <w:t>://doi.org/10.2139/ssrn.5254764</w:t>
      </w:r>
      <w:proofErr w:type="gramEnd"/>
      <w:r w:rsidRPr="000A5484">
        <w:t>.</w:t>
      </w:r>
    </w:p>
    <w:p w14:paraId="6656B8FC" w14:textId="77777777" w:rsidR="000A5484" w:rsidRPr="000A5484" w:rsidRDefault="000A5484" w:rsidP="000A5484">
      <w:pPr>
        <w:ind w:left="720" w:hanging="720"/>
      </w:pPr>
      <w:r w:rsidRPr="000A5484">
        <w:t xml:space="preserve">Henrikson, N.B., Banegas, M.P., Tuzzio, L., Lim, C., Schneider, J.L., Walsh-Bailey, C., </w:t>
      </w:r>
      <w:proofErr w:type="spellStart"/>
      <w:r w:rsidRPr="000A5484">
        <w:t>Scrol</w:t>
      </w:r>
      <w:proofErr w:type="spellEnd"/>
      <w:r w:rsidRPr="000A5484">
        <w:t xml:space="preserve">, A. and Hodge, S.M. (2019). Workflow Requirements for Cost-of-Care Conversations in Outpatient Settings Providing Oncology or Primary Care. </w:t>
      </w:r>
      <w:r w:rsidRPr="000A5484">
        <w:rPr>
          <w:i/>
          <w:iCs/>
        </w:rPr>
        <w:t>Annals of Internal Medicine</w:t>
      </w:r>
      <w:r w:rsidRPr="000A5484">
        <w:t xml:space="preserve">, 170(9_Supplement), p.S70. </w:t>
      </w:r>
      <w:proofErr w:type="spellStart"/>
      <w:proofErr w:type="gramStart"/>
      <w:r w:rsidRPr="000A5484">
        <w:t>doi:https</w:t>
      </w:r>
      <w:proofErr w:type="spellEnd"/>
      <w:r w:rsidRPr="000A5484">
        <w:t>://doi.org/10.7326/m18-2227</w:t>
      </w:r>
      <w:proofErr w:type="gramEnd"/>
      <w:r w:rsidRPr="000A5484">
        <w:t>.</w:t>
      </w:r>
    </w:p>
    <w:p w14:paraId="280380B4" w14:textId="77777777" w:rsidR="000A5484" w:rsidRPr="000A5484" w:rsidRDefault="000A5484" w:rsidP="000A5484">
      <w:pPr>
        <w:ind w:left="720" w:hanging="720"/>
      </w:pPr>
      <w:r w:rsidRPr="000A5484">
        <w:t xml:space="preserve">Horne, R., Cooper, V., Wileman, V. and Chan, A. (2019). Supporting Adherence to Medicines for Long-Term Conditions. </w:t>
      </w:r>
      <w:r w:rsidRPr="000A5484">
        <w:rPr>
          <w:i/>
          <w:iCs/>
        </w:rPr>
        <w:t>European Psychologist</w:t>
      </w:r>
      <w:r w:rsidRPr="000A5484">
        <w:t xml:space="preserve">, 24(1), pp.82–96. </w:t>
      </w:r>
      <w:proofErr w:type="spellStart"/>
      <w:proofErr w:type="gramStart"/>
      <w:r w:rsidRPr="000A5484">
        <w:t>doi:https</w:t>
      </w:r>
      <w:proofErr w:type="spellEnd"/>
      <w:r w:rsidRPr="000A5484">
        <w:t>://doi.org/10.1027/1016-9040/a000353</w:t>
      </w:r>
      <w:proofErr w:type="gramEnd"/>
      <w:r w:rsidRPr="000A5484">
        <w:t>.</w:t>
      </w:r>
    </w:p>
    <w:p w14:paraId="296D351C" w14:textId="77777777" w:rsidR="000A5484" w:rsidRPr="000A5484" w:rsidRDefault="000A5484" w:rsidP="000A5484">
      <w:pPr>
        <w:ind w:left="720" w:hanging="720"/>
      </w:pPr>
      <w:r w:rsidRPr="000A5484">
        <w:t xml:space="preserve">House of Commons (2021). </w:t>
      </w:r>
      <w:r w:rsidRPr="000A5484">
        <w:rPr>
          <w:i/>
          <w:iCs/>
        </w:rPr>
        <w:t>Workforce Burnout and Resilience in the NHS and Social Care Second Report of Session 2021-22 Report, Together with Formal Minutes Relating to the Report</w:t>
      </w:r>
      <w:r w:rsidRPr="000A5484">
        <w:t>. [online] House of Commons. Available at: https://committees.parliament.uk/publications/6158/documents/68766/default/.</w:t>
      </w:r>
    </w:p>
    <w:p w14:paraId="5D9B4418" w14:textId="77777777" w:rsidR="000A5484" w:rsidRPr="000A5484" w:rsidRDefault="000A5484" w:rsidP="000A5484">
      <w:pPr>
        <w:ind w:left="720" w:hanging="720"/>
      </w:pPr>
      <w:r w:rsidRPr="000A5484">
        <w:t xml:space="preserve">Hutchings, R. (2020). </w:t>
      </w:r>
      <w:r w:rsidRPr="000A5484">
        <w:rPr>
          <w:i/>
          <w:iCs/>
        </w:rPr>
        <w:t xml:space="preserve">Key points </w:t>
      </w:r>
      <w:proofErr w:type="gramStart"/>
      <w:r w:rsidRPr="000A5484">
        <w:rPr>
          <w:i/>
          <w:iCs/>
        </w:rPr>
        <w:t>The</w:t>
      </w:r>
      <w:proofErr w:type="gramEnd"/>
      <w:r w:rsidRPr="000A5484">
        <w:rPr>
          <w:i/>
          <w:iCs/>
        </w:rPr>
        <w:t xml:space="preserve"> impact of Covid-19 on the use of digital technology in the NHS</w:t>
      </w:r>
      <w:r w:rsidRPr="000A5484">
        <w:t>. [online] Nuffield Trust. Available at: https://www.nuffieldtrust.org.uk/sites/default/files/2020-08/the-impact-of-covid-19-on-the-use-of-digital-technology-in-the-nhs-web-2.pdf.</w:t>
      </w:r>
    </w:p>
    <w:p w14:paraId="28902D27" w14:textId="77777777" w:rsidR="000A5484" w:rsidRPr="000A5484" w:rsidRDefault="000A5484" w:rsidP="000A5484">
      <w:pPr>
        <w:ind w:left="720" w:hanging="720"/>
      </w:pPr>
      <w:r w:rsidRPr="000A5484">
        <w:t xml:space="preserve">Kc, S., Tewolde, S., Laverty, A.A., Costelloe, C., Papoutsi, C., Reidy, C., Gudgin, B., Shenton, C., Majeed, A., Powell, J. and Greaves, F. (2023). Uptake and adoption of the NHS App in England: an observational study. </w:t>
      </w:r>
      <w:r w:rsidRPr="000A5484">
        <w:rPr>
          <w:i/>
          <w:iCs/>
        </w:rPr>
        <w:t>British Journal of General Practice</w:t>
      </w:r>
      <w:r w:rsidRPr="000A5484">
        <w:t xml:space="preserve">, [online] 73(737). </w:t>
      </w:r>
      <w:proofErr w:type="spellStart"/>
      <w:proofErr w:type="gramStart"/>
      <w:r w:rsidRPr="000A5484">
        <w:t>doi:https</w:t>
      </w:r>
      <w:proofErr w:type="spellEnd"/>
      <w:r w:rsidRPr="000A5484">
        <w:t>://doi.org/10.3399/BJGP.2022.0150</w:t>
      </w:r>
      <w:proofErr w:type="gramEnd"/>
      <w:r w:rsidRPr="000A5484">
        <w:t>.</w:t>
      </w:r>
    </w:p>
    <w:p w14:paraId="3E21023E" w14:textId="77777777" w:rsidR="000A5484" w:rsidRPr="000A5484" w:rsidRDefault="000A5484" w:rsidP="000A5484">
      <w:pPr>
        <w:ind w:left="720" w:hanging="720"/>
      </w:pPr>
      <w:proofErr w:type="spellStart"/>
      <w:r w:rsidRPr="000A5484">
        <w:t>Leesakul</w:t>
      </w:r>
      <w:proofErr w:type="spellEnd"/>
      <w:r w:rsidRPr="000A5484">
        <w:t xml:space="preserve">, N., Oostveen, A.-M., </w:t>
      </w:r>
      <w:proofErr w:type="spellStart"/>
      <w:r w:rsidRPr="000A5484">
        <w:t>Eimontaite</w:t>
      </w:r>
      <w:proofErr w:type="spellEnd"/>
      <w:r w:rsidRPr="000A5484">
        <w:t xml:space="preserve">, I., Wilson, M.L. and Hyde, R. (2022). Workplace 4.0: Exploring the Implications of Technology Adoption in Digital Manufacturing on a </w:t>
      </w:r>
      <w:r w:rsidRPr="000A5484">
        <w:lastRenderedPageBreak/>
        <w:t xml:space="preserve">Sustainable Workforce. </w:t>
      </w:r>
      <w:r w:rsidRPr="000A5484">
        <w:rPr>
          <w:i/>
          <w:iCs/>
        </w:rPr>
        <w:t>Sustainability</w:t>
      </w:r>
      <w:r w:rsidRPr="000A5484">
        <w:t>, [online] 14(6), p.3311. Available at: https://www.mdpi.com/2071-1050/14/6/3311#cite.</w:t>
      </w:r>
    </w:p>
    <w:p w14:paraId="135FCC88" w14:textId="77777777" w:rsidR="000A5484" w:rsidRPr="000A5484" w:rsidRDefault="000A5484" w:rsidP="000A5484">
      <w:pPr>
        <w:ind w:left="720" w:hanging="720"/>
      </w:pPr>
      <w:r w:rsidRPr="000A5484">
        <w:t xml:space="preserve">Louch, G., Albutt, A., Smyth, </w:t>
      </w:r>
      <w:proofErr w:type="gramStart"/>
      <w:r w:rsidRPr="000A5484">
        <w:t>K.</w:t>
      </w:r>
      <w:proofErr w:type="gramEnd"/>
      <w:r w:rsidRPr="000A5484">
        <w:t xml:space="preserve"> and O’Hara, J.K. (2022). What do primary care staff think about patients accessing electronic health records? A focus group study. </w:t>
      </w:r>
      <w:r w:rsidRPr="000A5484">
        <w:rPr>
          <w:i/>
          <w:iCs/>
        </w:rPr>
        <w:t>BMC Health Services Research</w:t>
      </w:r>
      <w:r w:rsidRPr="000A5484">
        <w:t xml:space="preserve">, 22(1). </w:t>
      </w:r>
      <w:proofErr w:type="spellStart"/>
      <w:proofErr w:type="gramStart"/>
      <w:r w:rsidRPr="000A5484">
        <w:t>doi:https</w:t>
      </w:r>
      <w:proofErr w:type="spellEnd"/>
      <w:r w:rsidRPr="000A5484">
        <w:t>://doi.org/10.1186/s12913-022-07954-y</w:t>
      </w:r>
      <w:proofErr w:type="gramEnd"/>
      <w:r w:rsidRPr="000A5484">
        <w:t>.</w:t>
      </w:r>
    </w:p>
    <w:p w14:paraId="5D36463C" w14:textId="77777777" w:rsidR="000A5484" w:rsidRPr="000A5484" w:rsidRDefault="000A5484" w:rsidP="000A5484">
      <w:pPr>
        <w:ind w:left="720" w:hanging="720"/>
      </w:pPr>
      <w:r w:rsidRPr="000A5484">
        <w:t xml:space="preserve">Malhotra, N., </w:t>
      </w:r>
      <w:proofErr w:type="spellStart"/>
      <w:r w:rsidRPr="000A5484">
        <w:t>Zietsma</w:t>
      </w:r>
      <w:proofErr w:type="spellEnd"/>
      <w:r w:rsidRPr="000A5484">
        <w:t xml:space="preserve">, C., Morris, T. and Smets, M. (2021). Handling Resistance to Change When Societal and Workplace Logics Conflict. </w:t>
      </w:r>
      <w:r w:rsidRPr="000A5484">
        <w:rPr>
          <w:i/>
          <w:iCs/>
        </w:rPr>
        <w:t>Administrative Science Quarterly</w:t>
      </w:r>
      <w:r w:rsidRPr="000A5484">
        <w:t xml:space="preserve">, 66(2), pp.475–520. </w:t>
      </w:r>
      <w:proofErr w:type="spellStart"/>
      <w:proofErr w:type="gramStart"/>
      <w:r w:rsidRPr="000A5484">
        <w:t>doi:https</w:t>
      </w:r>
      <w:proofErr w:type="spellEnd"/>
      <w:r w:rsidRPr="000A5484">
        <w:t>://doi.org/10.1177/0001839220962760</w:t>
      </w:r>
      <w:proofErr w:type="gramEnd"/>
      <w:r w:rsidRPr="000A5484">
        <w:t>.</w:t>
      </w:r>
    </w:p>
    <w:p w14:paraId="06315AEB" w14:textId="77777777" w:rsidR="000A5484" w:rsidRPr="000A5484" w:rsidRDefault="000A5484" w:rsidP="000A5484">
      <w:pPr>
        <w:ind w:left="720" w:hanging="720"/>
      </w:pPr>
      <w:r w:rsidRPr="000A5484">
        <w:t xml:space="preserve">Matthews, B. (2021). Digital Literacy in UK Health Education: What Can Be Learnt from International Research? </w:t>
      </w:r>
      <w:r w:rsidRPr="000A5484">
        <w:rPr>
          <w:i/>
          <w:iCs/>
        </w:rPr>
        <w:t>Contemporary Educational Technology</w:t>
      </w:r>
      <w:r w:rsidRPr="000A5484">
        <w:t xml:space="preserve">, 13(4), </w:t>
      </w:r>
      <w:proofErr w:type="gramStart"/>
      <w:r w:rsidRPr="000A5484">
        <w:t>p.ep</w:t>
      </w:r>
      <w:proofErr w:type="gramEnd"/>
      <w:r w:rsidRPr="000A5484">
        <w:t xml:space="preserve">317. </w:t>
      </w:r>
      <w:proofErr w:type="spellStart"/>
      <w:proofErr w:type="gramStart"/>
      <w:r w:rsidRPr="000A5484">
        <w:t>doi:https</w:t>
      </w:r>
      <w:proofErr w:type="spellEnd"/>
      <w:r w:rsidRPr="000A5484">
        <w:t>://doi.org/10.30935/</w:t>
      </w:r>
      <w:proofErr w:type="spellStart"/>
      <w:r w:rsidRPr="000A5484">
        <w:t>cedtech</w:t>
      </w:r>
      <w:proofErr w:type="spellEnd"/>
      <w:r w:rsidRPr="000A5484">
        <w:t>/11072</w:t>
      </w:r>
      <w:proofErr w:type="gramEnd"/>
      <w:r w:rsidRPr="000A5484">
        <w:t>.</w:t>
      </w:r>
    </w:p>
    <w:p w14:paraId="2E79AB29" w14:textId="77777777" w:rsidR="000A5484" w:rsidRPr="000A5484" w:rsidRDefault="000A5484" w:rsidP="000A5484">
      <w:pPr>
        <w:ind w:left="720" w:hanging="720"/>
      </w:pPr>
      <w:r w:rsidRPr="000A5484">
        <w:t xml:space="preserve">Mikki, P. -, </w:t>
      </w:r>
      <w:proofErr w:type="spellStart"/>
      <w:r w:rsidRPr="000A5484">
        <w:t>Omokhoa</w:t>
      </w:r>
      <w:proofErr w:type="spellEnd"/>
      <w:r w:rsidRPr="000A5484">
        <w:t xml:space="preserve">, H.E., </w:t>
      </w:r>
      <w:proofErr w:type="spellStart"/>
      <w:r w:rsidRPr="000A5484">
        <w:t>Ibidapo</w:t>
      </w:r>
      <w:proofErr w:type="spellEnd"/>
      <w:r w:rsidRPr="000A5484">
        <w:t xml:space="preserve"> Abiodun </w:t>
      </w:r>
      <w:proofErr w:type="spellStart"/>
      <w:r w:rsidRPr="000A5484">
        <w:t>Ogundeji</w:t>
      </w:r>
      <w:proofErr w:type="spellEnd"/>
      <w:r w:rsidRPr="000A5484">
        <w:t xml:space="preserve"> and </w:t>
      </w:r>
      <w:proofErr w:type="spellStart"/>
      <w:r w:rsidRPr="000A5484">
        <w:t>Ibeh</w:t>
      </w:r>
      <w:proofErr w:type="spellEnd"/>
      <w:r w:rsidRPr="000A5484">
        <w:t xml:space="preserve">, A.I. (2021). Future of Work in Banking: Adapting Workforce Skills to Digital Transformation Challenges. </w:t>
      </w:r>
      <w:r w:rsidRPr="000A5484">
        <w:rPr>
          <w:i/>
          <w:iCs/>
        </w:rPr>
        <w:t>International Journal of Multidisciplinary Research and Growth Evaluation</w:t>
      </w:r>
      <w:r w:rsidRPr="000A5484">
        <w:t xml:space="preserve">, 2(1), pp.663–676. </w:t>
      </w:r>
      <w:proofErr w:type="spellStart"/>
      <w:proofErr w:type="gramStart"/>
      <w:r w:rsidRPr="000A5484">
        <w:t>doi:https</w:t>
      </w:r>
      <w:proofErr w:type="spellEnd"/>
      <w:r w:rsidRPr="000A5484">
        <w:t>://doi.org/10.54660/.ijmrge.2021.2.1.663-676</w:t>
      </w:r>
      <w:proofErr w:type="gramEnd"/>
      <w:r w:rsidRPr="000A5484">
        <w:t>.</w:t>
      </w:r>
    </w:p>
    <w:p w14:paraId="0CA809CE" w14:textId="77777777" w:rsidR="000A5484" w:rsidRPr="000A5484" w:rsidRDefault="000A5484" w:rsidP="000A5484">
      <w:pPr>
        <w:ind w:left="720" w:hanging="720"/>
      </w:pPr>
      <w:r w:rsidRPr="000A5484">
        <w:t xml:space="preserve">Parliament UK (2025). </w:t>
      </w:r>
      <w:r w:rsidRPr="000A5484">
        <w:rPr>
          <w:i/>
          <w:iCs/>
        </w:rPr>
        <w:t>Department of Health and Social Care - Hansard - UK Parliament</w:t>
      </w:r>
      <w:r w:rsidRPr="000A5484">
        <w:t>. [online] Parliament.uk. Available at: https://hansard.parliament.uk/commons/2025-06-24/debates/9E7D3DA2-EA89-4A23-AD4C-4002B28173E7/DepartmentOfHealthAndSocialCare [Accessed 13 Oct. 2025].</w:t>
      </w:r>
    </w:p>
    <w:p w14:paraId="258CE95F" w14:textId="77777777" w:rsidR="000A5484" w:rsidRPr="000A5484" w:rsidRDefault="000A5484" w:rsidP="000A5484">
      <w:pPr>
        <w:ind w:left="720" w:hanging="720"/>
      </w:pPr>
      <w:r w:rsidRPr="000A5484">
        <w:t xml:space="preserve">Reidy, C., Papoutsi, C., KC, S., </w:t>
      </w:r>
      <w:proofErr w:type="spellStart"/>
      <w:r w:rsidRPr="000A5484">
        <w:t>Gudgin</w:t>
      </w:r>
      <w:proofErr w:type="spellEnd"/>
      <w:r w:rsidRPr="000A5484">
        <w:t xml:space="preserve">, B., Laverty, A.A., Greaves, F. and Powell, J. (2025). Qualitative evaluation of the implementation and national roll-out of the NHS App in England. </w:t>
      </w:r>
      <w:r w:rsidRPr="000A5484">
        <w:rPr>
          <w:i/>
          <w:iCs/>
        </w:rPr>
        <w:t>BMC Medicine</w:t>
      </w:r>
      <w:r w:rsidRPr="000A5484">
        <w:t xml:space="preserve">, 23(1). </w:t>
      </w:r>
      <w:proofErr w:type="spellStart"/>
      <w:proofErr w:type="gramStart"/>
      <w:r w:rsidRPr="000A5484">
        <w:t>doi:https</w:t>
      </w:r>
      <w:proofErr w:type="spellEnd"/>
      <w:r w:rsidRPr="000A5484">
        <w:t>://doi.org/10.1186/s12916-024-03842-w</w:t>
      </w:r>
      <w:proofErr w:type="gramEnd"/>
      <w:r w:rsidRPr="000A5484">
        <w:t>.</w:t>
      </w:r>
    </w:p>
    <w:p w14:paraId="29E1AA92" w14:textId="77777777" w:rsidR="000A5484" w:rsidRPr="000A5484" w:rsidRDefault="000A5484" w:rsidP="000A5484">
      <w:pPr>
        <w:ind w:left="720" w:hanging="720"/>
      </w:pPr>
      <w:r w:rsidRPr="000A5484">
        <w:t xml:space="preserve">Salina, T., Costelloe, C., </w:t>
      </w:r>
      <w:proofErr w:type="spellStart"/>
      <w:r w:rsidRPr="000A5484">
        <w:t>PowelI</w:t>
      </w:r>
      <w:proofErr w:type="spellEnd"/>
      <w:r w:rsidRPr="000A5484">
        <w:t xml:space="preserve">, J., Papoutsi, C., Reidy, C., Gudgin, B., Shenton, C. and Greaves, F. (2022). An observational study of uptake and adoption of the NHS App in England. </w:t>
      </w:r>
      <w:proofErr w:type="spellStart"/>
      <w:proofErr w:type="gramStart"/>
      <w:r w:rsidRPr="000A5484">
        <w:t>doi:https</w:t>
      </w:r>
      <w:proofErr w:type="spellEnd"/>
      <w:r w:rsidRPr="000A5484">
        <w:t>://doi.org/10.1101/2022.03.16.22272200</w:t>
      </w:r>
      <w:proofErr w:type="gramEnd"/>
      <w:r w:rsidRPr="000A5484">
        <w:t>.</w:t>
      </w:r>
    </w:p>
    <w:p w14:paraId="51595A56" w14:textId="77777777" w:rsidR="000A5484" w:rsidRPr="000A5484" w:rsidRDefault="000A5484" w:rsidP="000A5484">
      <w:pPr>
        <w:ind w:left="720" w:hanging="720"/>
      </w:pPr>
      <w:r w:rsidRPr="000A5484">
        <w:t xml:space="preserve">Salisbury, C., Murphy, M. and Duncan, P. (2020). The impact of digital-first consultations on workload in general practice: modelling study (Preprint). </w:t>
      </w:r>
      <w:r w:rsidRPr="000A5484">
        <w:rPr>
          <w:i/>
          <w:iCs/>
        </w:rPr>
        <w:t>Journal of Medical Internet Research</w:t>
      </w:r>
      <w:r w:rsidRPr="000A5484">
        <w:t xml:space="preserve">, 22(6). </w:t>
      </w:r>
      <w:proofErr w:type="spellStart"/>
      <w:proofErr w:type="gramStart"/>
      <w:r w:rsidRPr="000A5484">
        <w:t>doi:https</w:t>
      </w:r>
      <w:proofErr w:type="spellEnd"/>
      <w:r w:rsidRPr="000A5484">
        <w:t>://doi.org/10.2196/18203</w:t>
      </w:r>
      <w:proofErr w:type="gramEnd"/>
      <w:r w:rsidRPr="000A5484">
        <w:t>.</w:t>
      </w:r>
    </w:p>
    <w:p w14:paraId="6BEB7107" w14:textId="77777777" w:rsidR="000A5484" w:rsidRPr="000A5484" w:rsidRDefault="000A5484" w:rsidP="000A5484">
      <w:pPr>
        <w:ind w:left="720" w:hanging="720"/>
      </w:pPr>
      <w:r w:rsidRPr="000A5484">
        <w:lastRenderedPageBreak/>
        <w:t xml:space="preserve">Scantlebury, A., Sheard, L., Fedell, C. and Wright, J. (2021). What are the implications for patient safety and experience of a major healthcare IT breakdown? A qualitative study. </w:t>
      </w:r>
      <w:r w:rsidRPr="000A5484">
        <w:rPr>
          <w:i/>
          <w:iCs/>
        </w:rPr>
        <w:t>DIGITAL HEALTH</w:t>
      </w:r>
      <w:r w:rsidRPr="000A5484">
        <w:t xml:space="preserve">, 7, p.205520762110100. </w:t>
      </w:r>
      <w:proofErr w:type="spellStart"/>
      <w:proofErr w:type="gramStart"/>
      <w:r w:rsidRPr="000A5484">
        <w:t>doi:https</w:t>
      </w:r>
      <w:proofErr w:type="spellEnd"/>
      <w:r w:rsidRPr="000A5484">
        <w:t>://doi.org/10.1177/20552076211010033</w:t>
      </w:r>
      <w:proofErr w:type="gramEnd"/>
      <w:r w:rsidRPr="000A5484">
        <w:t>.</w:t>
      </w:r>
    </w:p>
    <w:p w14:paraId="425C06F0" w14:textId="77777777" w:rsidR="000A5484" w:rsidRPr="000A5484" w:rsidRDefault="000A5484" w:rsidP="000A5484">
      <w:pPr>
        <w:ind w:left="720" w:hanging="720"/>
      </w:pPr>
      <w:r w:rsidRPr="000A5484">
        <w:t>Sivakumar, B., Lemonde, M., Stein, M., Mak, S., Al-</w:t>
      </w:r>
      <w:proofErr w:type="spellStart"/>
      <w:r w:rsidRPr="000A5484">
        <w:t>Hesayen</w:t>
      </w:r>
      <w:proofErr w:type="spellEnd"/>
      <w:r w:rsidRPr="000A5484">
        <w:t xml:space="preserve">, A. and Arcand, J. (2023). Patient perspectives on the use of mobile apps to support heart failure management: A qualitative descriptive study. </w:t>
      </w:r>
      <w:proofErr w:type="spellStart"/>
      <w:r w:rsidRPr="000A5484">
        <w:rPr>
          <w:i/>
          <w:iCs/>
        </w:rPr>
        <w:t>PLoS</w:t>
      </w:r>
      <w:proofErr w:type="spellEnd"/>
      <w:r w:rsidRPr="000A5484">
        <w:rPr>
          <w:i/>
          <w:iCs/>
        </w:rPr>
        <w:t xml:space="preserve"> ONE</w:t>
      </w:r>
      <w:r w:rsidRPr="000A5484">
        <w:t xml:space="preserve">, [online] 18(5), p.e0285659. </w:t>
      </w:r>
      <w:proofErr w:type="spellStart"/>
      <w:proofErr w:type="gramStart"/>
      <w:r w:rsidRPr="000A5484">
        <w:t>doi:https</w:t>
      </w:r>
      <w:proofErr w:type="spellEnd"/>
      <w:r w:rsidRPr="000A5484">
        <w:t>://doi.org/10.1371/journal.pone.0285659</w:t>
      </w:r>
      <w:proofErr w:type="gramEnd"/>
      <w:r w:rsidRPr="000A5484">
        <w:t>.</w:t>
      </w:r>
    </w:p>
    <w:p w14:paraId="5F830685" w14:textId="77777777" w:rsidR="000A5484" w:rsidRPr="000A5484" w:rsidRDefault="000A5484" w:rsidP="000A5484">
      <w:pPr>
        <w:ind w:left="720" w:hanging="720"/>
      </w:pPr>
      <w:r w:rsidRPr="000A5484">
        <w:t xml:space="preserve">Stockwell, S., Atherton, H., Bryce, C., Campbell, J., Marriott, C., Pitchforth, E., Mair, T.B., Winder, R. and Newbould, J. (2025). Evolution of the general practice receptionist role and online services: qualitative study - </w:t>
      </w:r>
      <w:proofErr w:type="spellStart"/>
      <w:r w:rsidRPr="000A5484">
        <w:t>ePrints</w:t>
      </w:r>
      <w:proofErr w:type="spellEnd"/>
      <w:r w:rsidRPr="000A5484">
        <w:t xml:space="preserve"> </w:t>
      </w:r>
      <w:proofErr w:type="spellStart"/>
      <w:r w:rsidRPr="000A5484">
        <w:t>Soton</w:t>
      </w:r>
      <w:proofErr w:type="spellEnd"/>
      <w:r w:rsidRPr="000A5484">
        <w:t xml:space="preserve">. </w:t>
      </w:r>
      <w:r w:rsidRPr="000A5484">
        <w:rPr>
          <w:i/>
          <w:iCs/>
        </w:rPr>
        <w:t>Soton.ac.uk</w:t>
      </w:r>
      <w:r w:rsidRPr="000A5484">
        <w:t xml:space="preserve">. [online] </w:t>
      </w:r>
      <w:proofErr w:type="gramStart"/>
      <w:r w:rsidRPr="000A5484">
        <w:t>doi:https://eprints.soton.ac.uk/502591/1/BJGP.2024.0677.full.pdf</w:t>
      </w:r>
      <w:proofErr w:type="gramEnd"/>
      <w:r w:rsidRPr="000A5484">
        <w:t>.</w:t>
      </w:r>
    </w:p>
    <w:p w14:paraId="409DF448" w14:textId="77777777" w:rsidR="000A5484" w:rsidRPr="000A5484" w:rsidRDefault="000A5484" w:rsidP="000A5484">
      <w:pPr>
        <w:ind w:left="720" w:hanging="720"/>
      </w:pPr>
      <w:r w:rsidRPr="000A5484">
        <w:t xml:space="preserve">Tonkin, T. (2022). </w:t>
      </w:r>
      <w:r w:rsidRPr="000A5484">
        <w:rPr>
          <w:i/>
          <w:iCs/>
        </w:rPr>
        <w:t>Burnout hits record high</w:t>
      </w:r>
      <w:r w:rsidRPr="000A5484">
        <w:t>. [online] The British Medical Association is the trade union and professional body for doctors in the UK. Available at: https://www.bma.org.uk/news-and-opinion/burnout-hits-record-high.</w:t>
      </w:r>
    </w:p>
    <w:p w14:paraId="06B15171" w14:textId="77777777" w:rsidR="000A5484" w:rsidRPr="000A5484" w:rsidRDefault="000A5484" w:rsidP="000A5484">
      <w:pPr>
        <w:ind w:left="720" w:hanging="720"/>
      </w:pPr>
      <w:r w:rsidRPr="000A5484">
        <w:t xml:space="preserve">Ventola, C.L. (2020). Mobile Devices and Apps for Health Care Professionals: Uses and Benefits. </w:t>
      </w:r>
      <w:r w:rsidRPr="000A5484">
        <w:rPr>
          <w:i/>
          <w:iCs/>
        </w:rPr>
        <w:t>Pharmacy and Therapeutics</w:t>
      </w:r>
      <w:r w:rsidRPr="000A5484">
        <w:t>, [online] 39(5), p.356. Available at: https://pmc.ncbi.nlm.nih.gov/articles/PMC4029126/.</w:t>
      </w:r>
    </w:p>
    <w:p w14:paraId="17201748" w14:textId="77777777" w:rsidR="000A5484" w:rsidRPr="00D51A7E" w:rsidRDefault="000A5484" w:rsidP="00D51A7E"/>
    <w:sectPr w:rsidR="000A5484" w:rsidRPr="00D51A7E" w:rsidSect="000A5484">
      <w:footerReference w:type="default" r:id="rId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D95224" w14:textId="77777777" w:rsidR="00CB4CFB" w:rsidRDefault="00CB4CFB" w:rsidP="000A5484">
      <w:pPr>
        <w:spacing w:after="0" w:line="240" w:lineRule="auto"/>
      </w:pPr>
      <w:r>
        <w:separator/>
      </w:r>
    </w:p>
  </w:endnote>
  <w:endnote w:type="continuationSeparator" w:id="0">
    <w:p w14:paraId="4153748D" w14:textId="77777777" w:rsidR="00CB4CFB" w:rsidRDefault="00CB4CFB" w:rsidP="000A54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26515282"/>
      <w:docPartObj>
        <w:docPartGallery w:val="Page Numbers (Bottom of Page)"/>
        <w:docPartUnique/>
      </w:docPartObj>
    </w:sdtPr>
    <w:sdtEndPr>
      <w:rPr>
        <w:noProof/>
      </w:rPr>
    </w:sdtEndPr>
    <w:sdtContent>
      <w:p w14:paraId="16465281" w14:textId="4E597202" w:rsidR="000A5484" w:rsidRDefault="000A548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27140C9" w14:textId="77777777" w:rsidR="000A5484" w:rsidRDefault="000A54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E05729" w14:textId="77777777" w:rsidR="00CB4CFB" w:rsidRDefault="00CB4CFB" w:rsidP="000A5484">
      <w:pPr>
        <w:spacing w:after="0" w:line="240" w:lineRule="auto"/>
      </w:pPr>
      <w:r>
        <w:separator/>
      </w:r>
    </w:p>
  </w:footnote>
  <w:footnote w:type="continuationSeparator" w:id="0">
    <w:p w14:paraId="37E8932D" w14:textId="77777777" w:rsidR="00CB4CFB" w:rsidRDefault="00CB4CFB" w:rsidP="000A54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7A4021D"/>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2F02"/>
    <w:rsid w:val="00002586"/>
    <w:rsid w:val="00070745"/>
    <w:rsid w:val="000A5484"/>
    <w:rsid w:val="0011569D"/>
    <w:rsid w:val="001365F1"/>
    <w:rsid w:val="001A2183"/>
    <w:rsid w:val="001E63C9"/>
    <w:rsid w:val="00404499"/>
    <w:rsid w:val="00552F02"/>
    <w:rsid w:val="00704D3C"/>
    <w:rsid w:val="00871C27"/>
    <w:rsid w:val="0089636D"/>
    <w:rsid w:val="00A00DE1"/>
    <w:rsid w:val="00C274B3"/>
    <w:rsid w:val="00CA3B8B"/>
    <w:rsid w:val="00CB4CFB"/>
    <w:rsid w:val="00D51A7E"/>
    <w:rsid w:val="00E709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AF517E"/>
  <w15:chartTrackingRefBased/>
  <w15:docId w15:val="{E4E589ED-B76D-473E-A33A-B4443DAF0E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5484"/>
    <w:pPr>
      <w:spacing w:line="360" w:lineRule="auto"/>
      <w:jc w:val="both"/>
    </w:pPr>
    <w:rPr>
      <w:rFonts w:ascii="Times New Roman" w:hAnsi="Times New Roman"/>
    </w:rPr>
  </w:style>
  <w:style w:type="paragraph" w:styleId="Heading1">
    <w:name w:val="heading 1"/>
    <w:basedOn w:val="Normal"/>
    <w:next w:val="Normal"/>
    <w:link w:val="Heading1Char"/>
    <w:uiPriority w:val="9"/>
    <w:qFormat/>
    <w:rsid w:val="000A5484"/>
    <w:pPr>
      <w:keepNext/>
      <w:keepLines/>
      <w:numPr>
        <w:numId w:val="1"/>
      </w:numPr>
      <w:spacing w:before="360" w:after="80"/>
      <w:outlineLvl w:val="0"/>
    </w:pPr>
    <w:rPr>
      <w:rFonts w:eastAsiaTheme="majorEastAsia" w:cstheme="majorBidi"/>
      <w:b/>
      <w:color w:val="000000" w:themeColor="text1"/>
      <w:sz w:val="32"/>
      <w:szCs w:val="40"/>
    </w:rPr>
  </w:style>
  <w:style w:type="paragraph" w:styleId="Heading2">
    <w:name w:val="heading 2"/>
    <w:basedOn w:val="Normal"/>
    <w:next w:val="Normal"/>
    <w:link w:val="Heading2Char"/>
    <w:uiPriority w:val="9"/>
    <w:unhideWhenUsed/>
    <w:qFormat/>
    <w:rsid w:val="000A5484"/>
    <w:pPr>
      <w:keepNext/>
      <w:keepLines/>
      <w:numPr>
        <w:ilvl w:val="1"/>
        <w:numId w:val="1"/>
      </w:numPr>
      <w:spacing w:before="160" w:after="80"/>
      <w:outlineLvl w:val="1"/>
    </w:pPr>
    <w:rPr>
      <w:rFonts w:eastAsiaTheme="majorEastAsia" w:cstheme="majorBidi"/>
      <w:b/>
      <w:color w:val="000000" w:themeColor="text1"/>
      <w:sz w:val="28"/>
      <w:szCs w:val="32"/>
    </w:rPr>
  </w:style>
  <w:style w:type="paragraph" w:styleId="Heading3">
    <w:name w:val="heading 3"/>
    <w:basedOn w:val="Normal"/>
    <w:next w:val="Normal"/>
    <w:link w:val="Heading3Char"/>
    <w:uiPriority w:val="9"/>
    <w:semiHidden/>
    <w:unhideWhenUsed/>
    <w:qFormat/>
    <w:rsid w:val="00552F02"/>
    <w:pPr>
      <w:keepNext/>
      <w:keepLines/>
      <w:numPr>
        <w:ilvl w:val="2"/>
        <w:numId w:val="1"/>
      </w:numPr>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52F02"/>
    <w:pPr>
      <w:keepNext/>
      <w:keepLines/>
      <w:numPr>
        <w:ilvl w:val="3"/>
        <w:numId w:val="1"/>
      </w:numPr>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52F02"/>
    <w:pPr>
      <w:keepNext/>
      <w:keepLines/>
      <w:numPr>
        <w:ilvl w:val="4"/>
        <w:numId w:val="1"/>
      </w:numPr>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52F02"/>
    <w:pPr>
      <w:keepNext/>
      <w:keepLines/>
      <w:numPr>
        <w:ilvl w:val="5"/>
        <w:numId w:val="1"/>
      </w:numPr>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52F02"/>
    <w:pPr>
      <w:keepNext/>
      <w:keepLines/>
      <w:numPr>
        <w:ilvl w:val="6"/>
        <w:numId w:val="1"/>
      </w:numPr>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52F02"/>
    <w:pPr>
      <w:keepNext/>
      <w:keepLines/>
      <w:numPr>
        <w:ilvl w:val="7"/>
        <w:numId w:val="1"/>
      </w:numPr>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52F02"/>
    <w:pPr>
      <w:keepNext/>
      <w:keepLines/>
      <w:numPr>
        <w:ilvl w:val="8"/>
        <w:numId w:val="1"/>
      </w:numPr>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5484"/>
    <w:rPr>
      <w:rFonts w:ascii="Times New Roman" w:eastAsiaTheme="majorEastAsia" w:hAnsi="Times New Roman" w:cstheme="majorBidi"/>
      <w:b/>
      <w:color w:val="000000" w:themeColor="text1"/>
      <w:sz w:val="32"/>
      <w:szCs w:val="40"/>
    </w:rPr>
  </w:style>
  <w:style w:type="character" w:customStyle="1" w:styleId="Heading2Char">
    <w:name w:val="Heading 2 Char"/>
    <w:basedOn w:val="DefaultParagraphFont"/>
    <w:link w:val="Heading2"/>
    <w:uiPriority w:val="9"/>
    <w:rsid w:val="000A5484"/>
    <w:rPr>
      <w:rFonts w:ascii="Times New Roman" w:eastAsiaTheme="majorEastAsia" w:hAnsi="Times New Roman" w:cstheme="majorBidi"/>
      <w:b/>
      <w:color w:val="000000" w:themeColor="text1"/>
      <w:sz w:val="28"/>
      <w:szCs w:val="32"/>
    </w:rPr>
  </w:style>
  <w:style w:type="character" w:customStyle="1" w:styleId="Heading3Char">
    <w:name w:val="Heading 3 Char"/>
    <w:basedOn w:val="DefaultParagraphFont"/>
    <w:link w:val="Heading3"/>
    <w:uiPriority w:val="9"/>
    <w:semiHidden/>
    <w:rsid w:val="00552F0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52F0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52F0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52F0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52F0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52F0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52F02"/>
    <w:rPr>
      <w:rFonts w:eastAsiaTheme="majorEastAsia" w:cstheme="majorBidi"/>
      <w:color w:val="272727" w:themeColor="text1" w:themeTint="D8"/>
    </w:rPr>
  </w:style>
  <w:style w:type="paragraph" w:styleId="Title">
    <w:name w:val="Title"/>
    <w:basedOn w:val="Normal"/>
    <w:next w:val="Normal"/>
    <w:link w:val="TitleChar"/>
    <w:uiPriority w:val="10"/>
    <w:qFormat/>
    <w:rsid w:val="000A5484"/>
    <w:pPr>
      <w:spacing w:after="80" w:line="240" w:lineRule="auto"/>
      <w:contextualSpacing/>
      <w:jc w:val="center"/>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0A5484"/>
    <w:rPr>
      <w:rFonts w:ascii="Times New Roman" w:eastAsiaTheme="majorEastAsia" w:hAnsi="Times New Roman" w:cstheme="majorBidi"/>
      <w:b/>
      <w:spacing w:val="-10"/>
      <w:kern w:val="28"/>
      <w:sz w:val="56"/>
      <w:szCs w:val="56"/>
    </w:rPr>
  </w:style>
  <w:style w:type="paragraph" w:styleId="Subtitle">
    <w:name w:val="Subtitle"/>
    <w:basedOn w:val="Normal"/>
    <w:next w:val="Normal"/>
    <w:link w:val="SubtitleChar"/>
    <w:uiPriority w:val="11"/>
    <w:qFormat/>
    <w:rsid w:val="00552F0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52F0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52F02"/>
    <w:pPr>
      <w:spacing w:before="160"/>
      <w:jc w:val="center"/>
    </w:pPr>
    <w:rPr>
      <w:i/>
      <w:iCs/>
      <w:color w:val="404040" w:themeColor="text1" w:themeTint="BF"/>
    </w:rPr>
  </w:style>
  <w:style w:type="character" w:customStyle="1" w:styleId="QuoteChar">
    <w:name w:val="Quote Char"/>
    <w:basedOn w:val="DefaultParagraphFont"/>
    <w:link w:val="Quote"/>
    <w:uiPriority w:val="29"/>
    <w:rsid w:val="00552F02"/>
    <w:rPr>
      <w:i/>
      <w:iCs/>
      <w:color w:val="404040" w:themeColor="text1" w:themeTint="BF"/>
    </w:rPr>
  </w:style>
  <w:style w:type="paragraph" w:styleId="ListParagraph">
    <w:name w:val="List Paragraph"/>
    <w:basedOn w:val="Normal"/>
    <w:uiPriority w:val="34"/>
    <w:qFormat/>
    <w:rsid w:val="00552F02"/>
    <w:pPr>
      <w:ind w:left="720"/>
      <w:contextualSpacing/>
    </w:pPr>
  </w:style>
  <w:style w:type="character" w:styleId="IntenseEmphasis">
    <w:name w:val="Intense Emphasis"/>
    <w:basedOn w:val="DefaultParagraphFont"/>
    <w:uiPriority w:val="21"/>
    <w:qFormat/>
    <w:rsid w:val="00552F02"/>
    <w:rPr>
      <w:i/>
      <w:iCs/>
      <w:color w:val="0F4761" w:themeColor="accent1" w:themeShade="BF"/>
    </w:rPr>
  </w:style>
  <w:style w:type="paragraph" w:styleId="IntenseQuote">
    <w:name w:val="Intense Quote"/>
    <w:basedOn w:val="Normal"/>
    <w:next w:val="Normal"/>
    <w:link w:val="IntenseQuoteChar"/>
    <w:uiPriority w:val="30"/>
    <w:qFormat/>
    <w:rsid w:val="00552F0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52F02"/>
    <w:rPr>
      <w:i/>
      <w:iCs/>
      <w:color w:val="0F4761" w:themeColor="accent1" w:themeShade="BF"/>
    </w:rPr>
  </w:style>
  <w:style w:type="character" w:styleId="IntenseReference">
    <w:name w:val="Intense Reference"/>
    <w:basedOn w:val="DefaultParagraphFont"/>
    <w:uiPriority w:val="32"/>
    <w:qFormat/>
    <w:rsid w:val="00552F02"/>
    <w:rPr>
      <w:b/>
      <w:bCs/>
      <w:smallCaps/>
      <w:color w:val="0F4761" w:themeColor="accent1" w:themeShade="BF"/>
      <w:spacing w:val="5"/>
    </w:rPr>
  </w:style>
  <w:style w:type="character" w:styleId="Hyperlink">
    <w:name w:val="Hyperlink"/>
    <w:basedOn w:val="DefaultParagraphFont"/>
    <w:uiPriority w:val="99"/>
    <w:unhideWhenUsed/>
    <w:rsid w:val="001E63C9"/>
    <w:rPr>
      <w:color w:val="467886" w:themeColor="hyperlink"/>
      <w:u w:val="single"/>
    </w:rPr>
  </w:style>
  <w:style w:type="character" w:styleId="UnresolvedMention">
    <w:name w:val="Unresolved Mention"/>
    <w:basedOn w:val="DefaultParagraphFont"/>
    <w:uiPriority w:val="99"/>
    <w:semiHidden/>
    <w:unhideWhenUsed/>
    <w:rsid w:val="001E63C9"/>
    <w:rPr>
      <w:color w:val="605E5C"/>
      <w:shd w:val="clear" w:color="auto" w:fill="E1DFDD"/>
    </w:rPr>
  </w:style>
  <w:style w:type="paragraph" w:styleId="Header">
    <w:name w:val="header"/>
    <w:basedOn w:val="Normal"/>
    <w:link w:val="HeaderChar"/>
    <w:uiPriority w:val="99"/>
    <w:unhideWhenUsed/>
    <w:rsid w:val="000A5484"/>
    <w:pPr>
      <w:tabs>
        <w:tab w:val="center" w:pos="4680"/>
        <w:tab w:val="right" w:pos="9360"/>
      </w:tabs>
      <w:spacing w:after="0" w:line="240" w:lineRule="auto"/>
    </w:pPr>
  </w:style>
  <w:style w:type="character" w:customStyle="1" w:styleId="HeaderChar">
    <w:name w:val="Header Char"/>
    <w:basedOn w:val="DefaultParagraphFont"/>
    <w:link w:val="Header"/>
    <w:uiPriority w:val="99"/>
    <w:rsid w:val="000A5484"/>
    <w:rPr>
      <w:rFonts w:ascii="Times New Roman" w:hAnsi="Times New Roman"/>
    </w:rPr>
  </w:style>
  <w:style w:type="paragraph" w:styleId="Footer">
    <w:name w:val="footer"/>
    <w:basedOn w:val="Normal"/>
    <w:link w:val="FooterChar"/>
    <w:uiPriority w:val="99"/>
    <w:unhideWhenUsed/>
    <w:rsid w:val="000A5484"/>
    <w:pPr>
      <w:tabs>
        <w:tab w:val="center" w:pos="4680"/>
        <w:tab w:val="right" w:pos="9360"/>
      </w:tabs>
      <w:spacing w:after="0" w:line="240" w:lineRule="auto"/>
    </w:pPr>
  </w:style>
  <w:style w:type="character" w:customStyle="1" w:styleId="FooterChar">
    <w:name w:val="Footer Char"/>
    <w:basedOn w:val="DefaultParagraphFont"/>
    <w:link w:val="Footer"/>
    <w:uiPriority w:val="99"/>
    <w:rsid w:val="000A5484"/>
    <w:rPr>
      <w:rFonts w:ascii="Times New Roman" w:hAnsi="Times New Roman"/>
    </w:rPr>
  </w:style>
  <w:style w:type="paragraph" w:styleId="TOCHeading">
    <w:name w:val="TOC Heading"/>
    <w:basedOn w:val="Heading1"/>
    <w:next w:val="Normal"/>
    <w:uiPriority w:val="39"/>
    <w:unhideWhenUsed/>
    <w:qFormat/>
    <w:rsid w:val="000A5484"/>
    <w:pPr>
      <w:numPr>
        <w:numId w:val="0"/>
      </w:numPr>
      <w:spacing w:before="240" w:after="0" w:line="259" w:lineRule="auto"/>
      <w:jc w:val="left"/>
      <w:outlineLvl w:val="9"/>
    </w:pPr>
    <w:rPr>
      <w:rFonts w:asciiTheme="majorHAnsi" w:hAnsiTheme="majorHAnsi"/>
      <w:b w:val="0"/>
      <w:color w:val="0F4761" w:themeColor="accent1" w:themeShade="BF"/>
      <w:kern w:val="0"/>
      <w:szCs w:val="32"/>
      <w:lang w:val="en-US"/>
      <w14:ligatures w14:val="none"/>
    </w:rPr>
  </w:style>
  <w:style w:type="paragraph" w:styleId="TOC2">
    <w:name w:val="toc 2"/>
    <w:basedOn w:val="Normal"/>
    <w:next w:val="Normal"/>
    <w:autoRedefine/>
    <w:uiPriority w:val="39"/>
    <w:unhideWhenUsed/>
    <w:rsid w:val="000A5484"/>
    <w:pPr>
      <w:spacing w:after="100" w:line="259" w:lineRule="auto"/>
      <w:ind w:left="220"/>
      <w:jc w:val="left"/>
    </w:pPr>
    <w:rPr>
      <w:rFonts w:asciiTheme="minorHAnsi" w:eastAsiaTheme="minorEastAsia" w:hAnsiTheme="minorHAnsi" w:cs="Times New Roman"/>
      <w:kern w:val="0"/>
      <w:sz w:val="22"/>
      <w:szCs w:val="22"/>
      <w:lang w:val="en-US"/>
      <w14:ligatures w14:val="none"/>
    </w:rPr>
  </w:style>
  <w:style w:type="paragraph" w:styleId="TOC1">
    <w:name w:val="toc 1"/>
    <w:basedOn w:val="Normal"/>
    <w:next w:val="Normal"/>
    <w:autoRedefine/>
    <w:uiPriority w:val="39"/>
    <w:unhideWhenUsed/>
    <w:rsid w:val="000A5484"/>
    <w:pPr>
      <w:spacing w:after="100" w:line="259" w:lineRule="auto"/>
      <w:jc w:val="left"/>
    </w:pPr>
    <w:rPr>
      <w:rFonts w:asciiTheme="minorHAnsi" w:eastAsiaTheme="minorEastAsia" w:hAnsiTheme="minorHAnsi" w:cs="Times New Roman"/>
      <w:kern w:val="0"/>
      <w:sz w:val="22"/>
      <w:szCs w:val="22"/>
      <w:lang w:val="en-US"/>
      <w14:ligatures w14:val="none"/>
    </w:rPr>
  </w:style>
  <w:style w:type="paragraph" w:styleId="TOC3">
    <w:name w:val="toc 3"/>
    <w:basedOn w:val="Normal"/>
    <w:next w:val="Normal"/>
    <w:autoRedefine/>
    <w:uiPriority w:val="39"/>
    <w:unhideWhenUsed/>
    <w:rsid w:val="000A5484"/>
    <w:pPr>
      <w:spacing w:after="100" w:line="259" w:lineRule="auto"/>
      <w:ind w:left="440"/>
      <w:jc w:val="left"/>
    </w:pPr>
    <w:rPr>
      <w:rFonts w:asciiTheme="minorHAnsi" w:eastAsiaTheme="minorEastAsia" w:hAnsiTheme="minorHAnsi" w:cs="Times New Roman"/>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169</TotalTime>
  <Pages>14</Pages>
  <Words>3568</Words>
  <Characters>23232</Characters>
  <Application>Microsoft Office Word</Application>
  <DocSecurity>0</DocSecurity>
  <Lines>371</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19</cp:revision>
  <dcterms:created xsi:type="dcterms:W3CDTF">2025-10-13T06:42:00Z</dcterms:created>
  <dcterms:modified xsi:type="dcterms:W3CDTF">2025-10-13T11:31:00Z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2025-10-13T09:03:56Z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e0e5b249-75ed-41df-b9f9-e9cbe438b206</vt:lpwstr>
  </property>
  <property fmtid="{D5CDD505-2E9C-101B-9397-08002B2CF9AE}" pid="7" name="MSIP_Label_defa4170-0d19-0005-0004-bc88714345d2_ActionId">
    <vt:lpwstr>431108b1-78a4-4b54-809e-db8b92493ca0</vt:lpwstr>
  </property>
  <property fmtid="{D5CDD505-2E9C-101B-9397-08002B2CF9AE}" pid="8" name="MSIP_Label_defa4170-0d19-0005-0004-bc88714345d2_ContentBits">
    <vt:lpwstr>0</vt:lpwstr>
  </property>
  <property fmtid="{D5CDD505-2E9C-101B-9397-08002B2CF9AE}" pid="9" name="MSIP_Label_defa4170-0d19-0005-0004-bc88714345d2_Tag">
    <vt:lpwstr>10, 3, 0, 1</vt:lpwstr>
  </property>
  <property fmtid="{D5CDD505-2E9C-101B-9397-08002B2CF9AE}" pid="10" name="GrammarlyDocumentId">
    <vt:lpwstr>882f731f-90fb-4a45-ae49-d4cb04029342</vt:lpwstr>
  </property>
</Properties>
</file>