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49F03" w14:textId="1C1605A6" w:rsidR="009E4652" w:rsidRPr="00A25DB0" w:rsidRDefault="000D178C" w:rsidP="000D178C">
      <w:pPr>
        <w:jc w:val="center"/>
        <w:rPr>
          <w:rFonts w:ascii="Corbel" w:hAnsi="Corbel"/>
          <w:b/>
          <w:bCs/>
          <w:sz w:val="32"/>
          <w:szCs w:val="32"/>
        </w:rPr>
      </w:pPr>
      <w:r w:rsidRPr="00A25DB0">
        <w:rPr>
          <w:rFonts w:ascii="Corbel" w:hAnsi="Corbel"/>
          <w:b/>
          <w:bCs/>
          <w:sz w:val="32"/>
          <w:szCs w:val="32"/>
        </w:rPr>
        <w:t>Review of ‘Body Matters: Exploring the Materiality of the Human Body’</w:t>
      </w:r>
    </w:p>
    <w:p w14:paraId="15B7FD2B" w14:textId="77777777" w:rsidR="000D178C" w:rsidRDefault="000D178C" w:rsidP="002606CE">
      <w:pPr>
        <w:spacing w:line="240" w:lineRule="auto"/>
        <w:jc w:val="both"/>
        <w:rPr>
          <w:rFonts w:ascii="Baskerville Old Face" w:hAnsi="Baskerville Old Face"/>
          <w:b/>
          <w:bCs/>
          <w:sz w:val="32"/>
          <w:szCs w:val="32"/>
        </w:rPr>
      </w:pPr>
    </w:p>
    <w:p w14:paraId="786DBC6F" w14:textId="16B585B0" w:rsidR="005E5B60" w:rsidRDefault="000D178C" w:rsidP="002606CE">
      <w:pPr>
        <w:spacing w:line="240" w:lineRule="auto"/>
        <w:jc w:val="both"/>
        <w:rPr>
          <w:rFonts w:ascii="Baskerville Old Face" w:hAnsi="Baskerville Old Face"/>
          <w:sz w:val="24"/>
          <w:szCs w:val="24"/>
        </w:rPr>
      </w:pPr>
      <w:r>
        <w:rPr>
          <w:rFonts w:ascii="Baskerville Old Face" w:hAnsi="Baskerville Old Face"/>
          <w:sz w:val="24"/>
          <w:szCs w:val="24"/>
        </w:rPr>
        <w:t xml:space="preserve">The 2019 publication ‘Body Matters’, edited by Luci Attala and Louise Steel can be characterised as an interdisciplinary </w:t>
      </w:r>
      <w:r w:rsidR="00C4299F">
        <w:rPr>
          <w:rFonts w:ascii="Baskerville Old Face" w:hAnsi="Baskerville Old Face"/>
          <w:sz w:val="24"/>
          <w:szCs w:val="24"/>
        </w:rPr>
        <w:t>convergence</w:t>
      </w:r>
      <w:r>
        <w:rPr>
          <w:rFonts w:ascii="Baskerville Old Face" w:hAnsi="Baskerville Old Face"/>
          <w:sz w:val="24"/>
          <w:szCs w:val="24"/>
        </w:rPr>
        <w:t xml:space="preserve"> of research, </w:t>
      </w:r>
      <w:r w:rsidR="001D4025">
        <w:rPr>
          <w:rFonts w:ascii="Baskerville Old Face" w:hAnsi="Baskerville Old Face"/>
          <w:sz w:val="24"/>
          <w:szCs w:val="24"/>
        </w:rPr>
        <w:t>presented by scholars across various subjects and material. Luci Attala, one of the principal contributors to the book, is educated in social anthropology, and has expressed a further interest in environmental sustainability – even having earnt the Green Gown award in 2015 for her achievements in furthering sustainability within education.</w:t>
      </w:r>
      <w:r w:rsidR="006B4E42">
        <w:rPr>
          <w:rStyle w:val="FootnoteReference"/>
          <w:rFonts w:ascii="Baskerville Old Face" w:hAnsi="Baskerville Old Face"/>
          <w:sz w:val="24"/>
          <w:szCs w:val="24"/>
        </w:rPr>
        <w:footnoteReference w:id="1"/>
      </w:r>
      <w:r w:rsidR="001D4025">
        <w:rPr>
          <w:rFonts w:ascii="Baskerville Old Face" w:hAnsi="Baskerville Old Face"/>
          <w:sz w:val="24"/>
          <w:szCs w:val="24"/>
        </w:rPr>
        <w:t xml:space="preserve"> </w:t>
      </w:r>
      <w:r w:rsidR="006B4E42">
        <w:rPr>
          <w:rFonts w:ascii="Baskerville Old Face" w:hAnsi="Baskerville Old Face"/>
          <w:sz w:val="24"/>
          <w:szCs w:val="24"/>
        </w:rPr>
        <w:t xml:space="preserve">As such, the theme of environmental consciousness and sustainability is </w:t>
      </w:r>
      <w:r w:rsidR="00C4299F">
        <w:rPr>
          <w:rFonts w:ascii="Baskerville Old Face" w:hAnsi="Baskerville Old Face"/>
          <w:sz w:val="24"/>
          <w:szCs w:val="24"/>
        </w:rPr>
        <w:t>recurrent</w:t>
      </w:r>
      <w:r w:rsidR="006B4E42">
        <w:rPr>
          <w:rFonts w:ascii="Baskerville Old Face" w:hAnsi="Baskerville Old Face"/>
          <w:sz w:val="24"/>
          <w:szCs w:val="24"/>
        </w:rPr>
        <w:t xml:space="preserve"> throughout the book</w:t>
      </w:r>
      <w:r w:rsidR="00C4299F">
        <w:rPr>
          <w:rFonts w:ascii="Baskerville Old Face" w:hAnsi="Baskerville Old Face"/>
          <w:sz w:val="24"/>
          <w:szCs w:val="24"/>
        </w:rPr>
        <w:t>, within the context of a New Materialist approach.</w:t>
      </w:r>
      <w:r w:rsidR="00954403">
        <w:rPr>
          <w:rFonts w:ascii="Baskerville Old Face" w:hAnsi="Baskerville Old Face"/>
          <w:sz w:val="24"/>
          <w:szCs w:val="24"/>
        </w:rPr>
        <w:t xml:space="preserve"> ‘Body Matters’ is </w:t>
      </w:r>
      <w:r w:rsidR="00BC7910">
        <w:rPr>
          <w:rFonts w:ascii="Baskerville Old Face" w:hAnsi="Baskerville Old Face"/>
          <w:sz w:val="24"/>
          <w:szCs w:val="24"/>
        </w:rPr>
        <w:t>a part of the greater series, ‘</w:t>
      </w:r>
      <w:r w:rsidR="00BC7910" w:rsidRPr="00A72AF7">
        <w:rPr>
          <w:rFonts w:ascii="Baskerville Old Face" w:hAnsi="Baskerville Old Face"/>
          <w:sz w:val="24"/>
          <w:szCs w:val="24"/>
        </w:rPr>
        <w:t>Lampeter Matters’</w:t>
      </w:r>
      <w:r w:rsidR="00BC7910" w:rsidRPr="00BC7910">
        <w:rPr>
          <w:rFonts w:ascii="Baskerville Old Face" w:hAnsi="Baskerville Old Face"/>
          <w:sz w:val="24"/>
          <w:szCs w:val="24"/>
        </w:rPr>
        <w:t>,</w:t>
      </w:r>
      <w:r w:rsidR="00BC7910">
        <w:rPr>
          <w:rFonts w:ascii="Baskerville Old Face" w:hAnsi="Baskerville Old Face"/>
          <w:sz w:val="24"/>
          <w:szCs w:val="24"/>
        </w:rPr>
        <w:t xml:space="preserve"> in which the two scholars explore facets of the material world through an alternate, and non-anthropocentric lens. ‘Body Matters’, then, looks specifically at the materiality of the human body and its interactions with the wider material world, </w:t>
      </w:r>
      <w:r w:rsidR="009D5A10">
        <w:rPr>
          <w:rFonts w:ascii="Baskerville Old Face" w:hAnsi="Baskerville Old Face"/>
          <w:sz w:val="24"/>
          <w:szCs w:val="24"/>
        </w:rPr>
        <w:t>presenting the body as an assemblage of matter foremost. In laying out the book’s objectives throughout the introductory pages, Steel acknowledges the marked difficulty in accepting one’s body in this way, thus removing ourselves from the human exceptionalist thought that pervades Western culture.</w:t>
      </w:r>
      <w:r w:rsidR="00CF1945">
        <w:rPr>
          <w:rFonts w:ascii="Baskerville Old Face" w:hAnsi="Baskerville Old Face"/>
          <w:sz w:val="24"/>
          <w:szCs w:val="24"/>
        </w:rPr>
        <w:t xml:space="preserve"> A principal argument of the book also, is the hyper-sanitation of the human body, wherein </w:t>
      </w:r>
      <w:r w:rsidR="00851DB8">
        <w:rPr>
          <w:rFonts w:ascii="Baskerville Old Face" w:hAnsi="Baskerville Old Face"/>
          <w:sz w:val="24"/>
          <w:szCs w:val="24"/>
        </w:rPr>
        <w:t xml:space="preserve">the realities of </w:t>
      </w:r>
      <w:r w:rsidR="00B67751">
        <w:rPr>
          <w:rFonts w:ascii="Baskerville Old Face" w:hAnsi="Baskerville Old Face"/>
          <w:sz w:val="24"/>
          <w:szCs w:val="24"/>
        </w:rPr>
        <w:t>our bloody, fleshy makeup is ignored</w:t>
      </w:r>
      <w:r w:rsidR="00CF1945">
        <w:rPr>
          <w:rFonts w:ascii="Baskerville Old Face" w:hAnsi="Baskerville Old Face"/>
          <w:sz w:val="24"/>
          <w:szCs w:val="24"/>
        </w:rPr>
        <w:t>; this perception of the body causes us a further distance from the rest of materiality</w:t>
      </w:r>
      <w:r w:rsidR="00B67751">
        <w:rPr>
          <w:rFonts w:ascii="Baskerville Old Face" w:hAnsi="Baskerville Old Face"/>
          <w:sz w:val="24"/>
          <w:szCs w:val="24"/>
        </w:rPr>
        <w:t xml:space="preserve">. </w:t>
      </w:r>
      <w:r w:rsidR="00851DB8">
        <w:rPr>
          <w:rFonts w:ascii="Baskerville Old Face" w:hAnsi="Baskerville Old Face"/>
          <w:sz w:val="24"/>
          <w:szCs w:val="24"/>
        </w:rPr>
        <w:t xml:space="preserve">Steel and Attala argue that as a consequence, anthropocentrism is perpetuated, leading the environment </w:t>
      </w:r>
      <w:r w:rsidR="00BE18E7">
        <w:rPr>
          <w:rFonts w:ascii="Baskerville Old Face" w:hAnsi="Baskerville Old Face"/>
          <w:sz w:val="24"/>
          <w:szCs w:val="24"/>
        </w:rPr>
        <w:t>toward</w:t>
      </w:r>
      <w:r w:rsidR="00851DB8">
        <w:rPr>
          <w:rFonts w:ascii="Baskerville Old Face" w:hAnsi="Baskerville Old Face"/>
          <w:sz w:val="24"/>
          <w:szCs w:val="24"/>
        </w:rPr>
        <w:t xml:space="preserve"> greater and more disastrous ramifications. </w:t>
      </w:r>
    </w:p>
    <w:p w14:paraId="6EE14554" w14:textId="3F7DA42A" w:rsidR="000D178C" w:rsidRDefault="00851DB8" w:rsidP="002606CE">
      <w:pPr>
        <w:spacing w:line="240" w:lineRule="auto"/>
        <w:jc w:val="both"/>
        <w:rPr>
          <w:rFonts w:ascii="Baskerville Old Face" w:hAnsi="Baskerville Old Face"/>
          <w:sz w:val="24"/>
          <w:szCs w:val="24"/>
        </w:rPr>
      </w:pPr>
      <w:r>
        <w:rPr>
          <w:rFonts w:ascii="Baskerville Old Face" w:hAnsi="Baskerville Old Face"/>
          <w:sz w:val="24"/>
          <w:szCs w:val="24"/>
        </w:rPr>
        <w:t xml:space="preserve">A key motivation for the writing of this book, and of the Lampeter Matters series as a whole, lies in the authors’ acute awareness of the ecological collapses that have become increasingly </w:t>
      </w:r>
      <w:r w:rsidR="005E5B60">
        <w:rPr>
          <w:rFonts w:ascii="Baskerville Old Face" w:hAnsi="Baskerville Old Face"/>
          <w:sz w:val="24"/>
          <w:szCs w:val="24"/>
        </w:rPr>
        <w:t xml:space="preserve">disturbing to any remaining natural balance or order. Many refer to this present time as the ‘Age of the Anthropocene’, which marks humans as having become the single most dominant species of the planet – carbon dioxide emissions, habitat destruction and </w:t>
      </w:r>
      <w:r w:rsidR="008507E3">
        <w:rPr>
          <w:rFonts w:ascii="Baskerville Old Face" w:hAnsi="Baskerville Old Face"/>
          <w:sz w:val="24"/>
          <w:szCs w:val="24"/>
        </w:rPr>
        <w:t>natural resource extraction on a devastating scale have all collided to push the planet and its inhabitants into destruction.</w:t>
      </w:r>
      <w:r w:rsidR="00E75467">
        <w:rPr>
          <w:rStyle w:val="FootnoteReference"/>
          <w:rFonts w:ascii="Baskerville Old Face" w:hAnsi="Baskerville Old Face"/>
          <w:sz w:val="24"/>
          <w:szCs w:val="24"/>
        </w:rPr>
        <w:footnoteReference w:id="2"/>
      </w:r>
      <w:r w:rsidR="008507E3">
        <w:rPr>
          <w:rFonts w:ascii="Baskerville Old Face" w:hAnsi="Baskerville Old Face"/>
          <w:sz w:val="24"/>
          <w:szCs w:val="24"/>
        </w:rPr>
        <w:t xml:space="preserve"> With a keen sense of urgency therefore, Body Matters aims to reframe the subject of materiality</w:t>
      </w:r>
      <w:r w:rsidR="00EA66D0">
        <w:rPr>
          <w:rFonts w:ascii="Baskerville Old Face" w:hAnsi="Baskerville Old Face"/>
          <w:sz w:val="24"/>
          <w:szCs w:val="24"/>
        </w:rPr>
        <w:t xml:space="preserve"> around a consciousness, and rebuttal, of these human exceptionalist attitudes that prove to be so environmentally damning. It is evident in reading both the preface and introductory pages, that Steel and Attala’s aims lie in fostering this awareness in readers and promoting a collective appreciation of Earth’s natural materiality.</w:t>
      </w:r>
    </w:p>
    <w:p w14:paraId="3384BA69" w14:textId="1F8DBFB3" w:rsidR="00EE0392" w:rsidRPr="00A25DB0" w:rsidRDefault="00943F7E" w:rsidP="002606CE">
      <w:pPr>
        <w:spacing w:line="240" w:lineRule="auto"/>
        <w:jc w:val="both"/>
        <w:rPr>
          <w:rFonts w:ascii="Corbel" w:hAnsi="Corbel"/>
          <w:b/>
          <w:bCs/>
          <w:sz w:val="28"/>
          <w:szCs w:val="28"/>
        </w:rPr>
      </w:pPr>
      <w:r w:rsidRPr="00A25DB0">
        <w:rPr>
          <w:rFonts w:ascii="Corbel" w:hAnsi="Corbel"/>
          <w:b/>
          <w:bCs/>
          <w:sz w:val="36"/>
          <w:szCs w:val="36"/>
        </w:rPr>
        <w:t>2</w:t>
      </w:r>
      <w:r>
        <w:rPr>
          <w:rFonts w:ascii="Baskerville Old Face" w:hAnsi="Baskerville Old Face"/>
          <w:b/>
          <w:bCs/>
          <w:sz w:val="28"/>
          <w:szCs w:val="28"/>
        </w:rPr>
        <w:t xml:space="preserve"> - </w:t>
      </w:r>
      <w:r w:rsidR="00EE0392" w:rsidRPr="00A25DB0">
        <w:rPr>
          <w:rFonts w:ascii="Corbel" w:hAnsi="Corbel"/>
          <w:b/>
          <w:bCs/>
          <w:sz w:val="28"/>
          <w:szCs w:val="28"/>
        </w:rPr>
        <w:t>Bodies that Co-create: The Residues and Intimacies of Vital Materials</w:t>
      </w:r>
    </w:p>
    <w:p w14:paraId="310691A9" w14:textId="5E580153" w:rsidR="00EE0392" w:rsidRPr="00EE0392" w:rsidRDefault="00EE0392" w:rsidP="002606CE">
      <w:pPr>
        <w:spacing w:line="240" w:lineRule="auto"/>
        <w:jc w:val="both"/>
        <w:rPr>
          <w:rFonts w:ascii="Baskerville Old Face" w:hAnsi="Baskerville Old Face"/>
          <w:sz w:val="24"/>
          <w:szCs w:val="24"/>
        </w:rPr>
      </w:pPr>
      <w:r>
        <w:rPr>
          <w:rFonts w:ascii="Baskerville Old Face" w:hAnsi="Baskerville Old Face"/>
          <w:sz w:val="24"/>
          <w:szCs w:val="24"/>
        </w:rPr>
        <w:t xml:space="preserve">Body Matters begins its content with Eloise Govier’s analysis of </w:t>
      </w:r>
      <w:r w:rsidR="00B70654">
        <w:rPr>
          <w:rFonts w:ascii="Baskerville Old Face" w:hAnsi="Baskerville Old Face"/>
          <w:sz w:val="24"/>
          <w:szCs w:val="24"/>
        </w:rPr>
        <w:t>material co-creation in the archaeological record</w:t>
      </w:r>
      <w:r w:rsidR="008B6694">
        <w:rPr>
          <w:rFonts w:ascii="Baskerville Old Face" w:hAnsi="Baskerville Old Face"/>
          <w:sz w:val="24"/>
          <w:szCs w:val="24"/>
        </w:rPr>
        <w:t xml:space="preserve"> of the Neolithic</w:t>
      </w:r>
      <w:r w:rsidR="00B70654">
        <w:rPr>
          <w:rFonts w:ascii="Baskerville Old Face" w:hAnsi="Baskerville Old Face"/>
          <w:sz w:val="24"/>
          <w:szCs w:val="24"/>
        </w:rPr>
        <w:t xml:space="preserve">. </w:t>
      </w:r>
      <w:r w:rsidR="00265B08">
        <w:rPr>
          <w:rFonts w:ascii="Baskerville Old Face" w:hAnsi="Baskerville Old Face"/>
          <w:sz w:val="24"/>
          <w:szCs w:val="24"/>
        </w:rPr>
        <w:t xml:space="preserve">Govier addresses the fluctuating nature of relationships between body matter and non-body originating matter, </w:t>
      </w:r>
      <w:r w:rsidR="00BE18E7">
        <w:rPr>
          <w:rFonts w:ascii="Baskerville Old Face" w:hAnsi="Baskerville Old Face"/>
          <w:sz w:val="24"/>
          <w:szCs w:val="24"/>
        </w:rPr>
        <w:t>focusing specifically</w:t>
      </w:r>
      <w:r w:rsidR="00265B08">
        <w:rPr>
          <w:rFonts w:ascii="Baskerville Old Face" w:hAnsi="Baskerville Old Face"/>
          <w:sz w:val="24"/>
          <w:szCs w:val="24"/>
        </w:rPr>
        <w:t xml:space="preserve"> on carbon and cinnabar. </w:t>
      </w:r>
      <w:r w:rsidR="008B6694">
        <w:rPr>
          <w:rFonts w:ascii="Baskerville Old Face" w:hAnsi="Baskerville Old Face"/>
          <w:sz w:val="24"/>
          <w:szCs w:val="24"/>
        </w:rPr>
        <w:t>Govier proposes that in acknowledging the capacities of these substances, it is possible to understand</w:t>
      </w:r>
      <w:r w:rsidR="00BE18E7">
        <w:rPr>
          <w:rFonts w:ascii="Baskerville Old Face" w:hAnsi="Baskerville Old Face"/>
          <w:sz w:val="24"/>
          <w:szCs w:val="24"/>
        </w:rPr>
        <w:t xml:space="preserve"> </w:t>
      </w:r>
      <w:r w:rsidR="008B6694">
        <w:rPr>
          <w:rFonts w:ascii="Baskerville Old Face" w:hAnsi="Baskerville Old Face"/>
          <w:sz w:val="24"/>
          <w:szCs w:val="24"/>
        </w:rPr>
        <w:t>aspects of Neolithic domestic life</w:t>
      </w:r>
      <w:r w:rsidR="00674B66">
        <w:rPr>
          <w:rFonts w:ascii="Baskerville Old Face" w:hAnsi="Baskerville Old Face"/>
          <w:sz w:val="24"/>
          <w:szCs w:val="24"/>
        </w:rPr>
        <w:t>.</w:t>
      </w:r>
      <w:r w:rsidR="00CE33B0">
        <w:rPr>
          <w:rFonts w:ascii="Baskerville Old Face" w:hAnsi="Baskerville Old Face"/>
          <w:sz w:val="24"/>
          <w:szCs w:val="24"/>
        </w:rPr>
        <w:t xml:space="preserve"> </w:t>
      </w:r>
      <w:r w:rsidR="00FE3C85">
        <w:rPr>
          <w:rFonts w:ascii="Baskerville Old Face" w:hAnsi="Baskerville Old Face"/>
          <w:sz w:val="24"/>
          <w:szCs w:val="24"/>
        </w:rPr>
        <w:t>As the book aims to reframe the narrative of materiality as a whole</w:t>
      </w:r>
      <w:r w:rsidR="00CE33B0">
        <w:rPr>
          <w:rFonts w:ascii="Baskerville Old Face" w:hAnsi="Baskerville Old Face"/>
          <w:sz w:val="24"/>
          <w:szCs w:val="24"/>
        </w:rPr>
        <w:t xml:space="preserve">, </w:t>
      </w:r>
      <w:r w:rsidR="00FE3C85">
        <w:rPr>
          <w:rFonts w:ascii="Baskerville Old Face" w:hAnsi="Baskerville Old Face"/>
          <w:sz w:val="24"/>
          <w:szCs w:val="24"/>
        </w:rPr>
        <w:t xml:space="preserve">so too does </w:t>
      </w:r>
      <w:r w:rsidR="00CE33B0">
        <w:rPr>
          <w:rFonts w:ascii="Baskerville Old Face" w:hAnsi="Baskerville Old Face"/>
          <w:sz w:val="24"/>
          <w:szCs w:val="24"/>
        </w:rPr>
        <w:t>this chapter</w:t>
      </w:r>
      <w:r w:rsidR="00FE3C85">
        <w:rPr>
          <w:rFonts w:ascii="Baskerville Old Face" w:hAnsi="Baskerville Old Face"/>
          <w:sz w:val="24"/>
          <w:szCs w:val="24"/>
        </w:rPr>
        <w:t xml:space="preserve"> attempt to reframe </w:t>
      </w:r>
      <w:r w:rsidR="00CE33B0">
        <w:rPr>
          <w:rFonts w:ascii="Baskerville Old Face" w:hAnsi="Baskerville Old Face"/>
          <w:sz w:val="24"/>
          <w:szCs w:val="24"/>
        </w:rPr>
        <w:t xml:space="preserve">the perception of </w:t>
      </w:r>
      <w:r w:rsidR="00BE18E7">
        <w:rPr>
          <w:rFonts w:ascii="Baskerville Old Face" w:hAnsi="Baskerville Old Face"/>
          <w:sz w:val="24"/>
          <w:szCs w:val="24"/>
        </w:rPr>
        <w:t>‘dirt’</w:t>
      </w:r>
      <w:r w:rsidR="00CE33B0">
        <w:rPr>
          <w:rFonts w:ascii="Baskerville Old Face" w:hAnsi="Baskerville Old Face"/>
          <w:sz w:val="24"/>
          <w:szCs w:val="24"/>
        </w:rPr>
        <w:t xml:space="preserve">. </w:t>
      </w:r>
      <w:r w:rsidR="00FE3C85">
        <w:rPr>
          <w:rFonts w:ascii="Baskerville Old Face" w:hAnsi="Baskerville Old Face"/>
          <w:sz w:val="24"/>
          <w:szCs w:val="24"/>
        </w:rPr>
        <w:t xml:space="preserve">The way in which one uses language and terminology has a great effect on the subsequent reception of the thing or object in discussion, and Govier therefore strives to explore what is meant by </w:t>
      </w:r>
      <w:r w:rsidR="00BE18E7">
        <w:rPr>
          <w:rFonts w:ascii="Baskerville Old Face" w:hAnsi="Baskerville Old Face"/>
          <w:sz w:val="24"/>
          <w:szCs w:val="24"/>
        </w:rPr>
        <w:t xml:space="preserve">this </w:t>
      </w:r>
      <w:r w:rsidR="00BE18E7">
        <w:rPr>
          <w:rFonts w:ascii="Baskerville Old Face" w:hAnsi="Baskerville Old Face"/>
          <w:sz w:val="24"/>
          <w:szCs w:val="24"/>
        </w:rPr>
        <w:lastRenderedPageBreak/>
        <w:t xml:space="preserve">term, </w:t>
      </w:r>
      <w:r w:rsidR="00FE3C85">
        <w:rPr>
          <w:rFonts w:ascii="Baskerville Old Face" w:hAnsi="Baskerville Old Face"/>
          <w:sz w:val="24"/>
          <w:szCs w:val="24"/>
        </w:rPr>
        <w:t>unpacking its properties, agenc</w:t>
      </w:r>
      <w:r w:rsidR="00BE18E7">
        <w:rPr>
          <w:rFonts w:ascii="Baskerville Old Face" w:hAnsi="Baskerville Old Face"/>
          <w:sz w:val="24"/>
          <w:szCs w:val="24"/>
        </w:rPr>
        <w:t>ies</w:t>
      </w:r>
      <w:r w:rsidR="00FE3C85">
        <w:rPr>
          <w:rFonts w:ascii="Baskerville Old Face" w:hAnsi="Baskerville Old Face"/>
          <w:sz w:val="24"/>
          <w:szCs w:val="24"/>
        </w:rPr>
        <w:t xml:space="preserve">, and forms in order to distance ‘dirty’ substances from their negative and dismissive reception. The author refers to Bennet’s idea of vitalism to present such substances in a most respected light, and as </w:t>
      </w:r>
      <w:r w:rsidR="00727754">
        <w:rPr>
          <w:rFonts w:ascii="Baskerville Old Face" w:hAnsi="Baskerville Old Face"/>
          <w:sz w:val="24"/>
          <w:szCs w:val="24"/>
        </w:rPr>
        <w:t>an</w:t>
      </w:r>
      <w:r w:rsidR="00FE3C85">
        <w:rPr>
          <w:rFonts w:ascii="Baskerville Old Face" w:hAnsi="Baskerville Old Face"/>
          <w:sz w:val="24"/>
          <w:szCs w:val="24"/>
        </w:rPr>
        <w:t xml:space="preserve"> inextricable part of the human body. </w:t>
      </w:r>
      <w:r w:rsidR="00727754">
        <w:rPr>
          <w:rFonts w:ascii="Baskerville Old Face" w:hAnsi="Baskerville Old Face"/>
          <w:sz w:val="24"/>
          <w:szCs w:val="24"/>
        </w:rPr>
        <w:t xml:space="preserve">Cartesian thought, wherein the body is considered as a whole, bounded entity, is challenged by Govier within the context of ‘dirty’ substances and their material interactions with the body. Through analysis of the prehistoric remains of Catalhoyuk and the carbon residues within them, Govier </w:t>
      </w:r>
      <w:r w:rsidR="00BE18E7">
        <w:rPr>
          <w:rFonts w:ascii="Baskerville Old Face" w:hAnsi="Baskerville Old Face"/>
          <w:sz w:val="24"/>
          <w:szCs w:val="24"/>
        </w:rPr>
        <w:t xml:space="preserve">precedes to combat this </w:t>
      </w:r>
      <w:r w:rsidR="00727754">
        <w:rPr>
          <w:rFonts w:ascii="Baskerville Old Face" w:hAnsi="Baskerville Old Face"/>
          <w:sz w:val="24"/>
          <w:szCs w:val="24"/>
        </w:rPr>
        <w:t>Cartesian belief, explaining that the continued interaction with such a substance has cemented a material relationship that leaves body matter tangibly entangled within us. In sum, the author presents relevant, well-rounded information</w:t>
      </w:r>
      <w:r w:rsidR="002452BD">
        <w:rPr>
          <w:rFonts w:ascii="Baskerville Old Face" w:hAnsi="Baskerville Old Face"/>
          <w:sz w:val="24"/>
          <w:szCs w:val="24"/>
        </w:rPr>
        <w:t xml:space="preserve"> of socioeconomic, cultural, and microbial </w:t>
      </w:r>
      <w:r w:rsidR="006B3F0A">
        <w:rPr>
          <w:rFonts w:ascii="Baskerville Old Face" w:hAnsi="Baskerville Old Face"/>
          <w:sz w:val="24"/>
          <w:szCs w:val="24"/>
        </w:rPr>
        <w:t>nature</w:t>
      </w:r>
      <w:r w:rsidR="002C5A29">
        <w:rPr>
          <w:rFonts w:ascii="Baskerville Old Face" w:hAnsi="Baskerville Old Face"/>
          <w:sz w:val="24"/>
          <w:szCs w:val="24"/>
        </w:rPr>
        <w:t xml:space="preserve"> </w:t>
      </w:r>
      <w:r w:rsidR="002452BD">
        <w:rPr>
          <w:rFonts w:ascii="Baskerville Old Face" w:hAnsi="Baskerville Old Face"/>
          <w:sz w:val="24"/>
          <w:szCs w:val="24"/>
        </w:rPr>
        <w:t>to contextualise her argument that ‘dirt’ is, in fact, co-creative. That is to say, the human body does not simply host or form them, but they have their own respective capacities and agency</w:t>
      </w:r>
      <w:r w:rsidR="00EE3B94">
        <w:rPr>
          <w:rFonts w:ascii="Baskerville Old Face" w:hAnsi="Baskerville Old Face"/>
          <w:sz w:val="24"/>
          <w:szCs w:val="24"/>
        </w:rPr>
        <w:t xml:space="preserve"> that work with the human body</w:t>
      </w:r>
      <w:r w:rsidR="002452BD">
        <w:rPr>
          <w:rFonts w:ascii="Baskerville Old Face" w:hAnsi="Baskerville Old Face"/>
          <w:sz w:val="24"/>
          <w:szCs w:val="24"/>
        </w:rPr>
        <w:t xml:space="preserve">. </w:t>
      </w:r>
      <w:r w:rsidR="002C5A29">
        <w:rPr>
          <w:rFonts w:ascii="Baskerville Old Face" w:hAnsi="Baskerville Old Face"/>
          <w:sz w:val="24"/>
          <w:szCs w:val="24"/>
        </w:rPr>
        <w:t xml:space="preserve">As a contribution toward the overarching themes of the book, </w:t>
      </w:r>
      <w:r w:rsidR="006B3F0A">
        <w:rPr>
          <w:rFonts w:ascii="Baskerville Old Face" w:hAnsi="Baskerville Old Face"/>
          <w:sz w:val="24"/>
          <w:szCs w:val="24"/>
        </w:rPr>
        <w:t>‘</w:t>
      </w:r>
      <w:r w:rsidR="002C5A29" w:rsidRPr="006B3F0A">
        <w:rPr>
          <w:rFonts w:ascii="Baskerville Old Face" w:hAnsi="Baskerville Old Face"/>
          <w:sz w:val="24"/>
          <w:szCs w:val="24"/>
        </w:rPr>
        <w:t>Bodies that Co-create</w:t>
      </w:r>
      <w:r w:rsidR="006B3F0A">
        <w:rPr>
          <w:rFonts w:ascii="Baskerville Old Face" w:hAnsi="Baskerville Old Face"/>
          <w:sz w:val="24"/>
          <w:szCs w:val="24"/>
        </w:rPr>
        <w:t>’</w:t>
      </w:r>
      <w:r w:rsidR="002C5A29">
        <w:rPr>
          <w:rFonts w:ascii="Baskerville Old Face" w:hAnsi="Baskerville Old Face"/>
          <w:sz w:val="24"/>
          <w:szCs w:val="24"/>
        </w:rPr>
        <w:t xml:space="preserve"> appears to succeed in dethroning anthropocentrism within material studies of prehistory by recognising substance agency, and can be said to have been written quite accessibly</w:t>
      </w:r>
      <w:r w:rsidR="00943F7E">
        <w:rPr>
          <w:rFonts w:ascii="Baskerville Old Face" w:hAnsi="Baskerville Old Face"/>
          <w:sz w:val="24"/>
          <w:szCs w:val="24"/>
        </w:rPr>
        <w:t>, when one considers</w:t>
      </w:r>
      <w:r w:rsidR="002C5A29">
        <w:rPr>
          <w:rFonts w:ascii="Baskerville Old Face" w:hAnsi="Baskerville Old Face"/>
          <w:sz w:val="24"/>
          <w:szCs w:val="24"/>
        </w:rPr>
        <w:t xml:space="preserve"> Govier’s </w:t>
      </w:r>
      <w:r w:rsidR="008907B8">
        <w:rPr>
          <w:rFonts w:ascii="Baskerville Old Face" w:hAnsi="Baskerville Old Face"/>
          <w:sz w:val="24"/>
          <w:szCs w:val="24"/>
        </w:rPr>
        <w:t xml:space="preserve">preceding </w:t>
      </w:r>
      <w:r w:rsidR="002C5A29">
        <w:rPr>
          <w:rFonts w:ascii="Baskerville Old Face" w:hAnsi="Baskerville Old Face"/>
          <w:sz w:val="24"/>
          <w:szCs w:val="24"/>
        </w:rPr>
        <w:t xml:space="preserve">explanations of the surrounding ideology. </w:t>
      </w:r>
    </w:p>
    <w:p w14:paraId="4C8EB5CF" w14:textId="3ABE318E" w:rsidR="00CF1945" w:rsidRPr="00A25DB0" w:rsidRDefault="00943F7E" w:rsidP="002606CE">
      <w:pPr>
        <w:spacing w:line="240" w:lineRule="auto"/>
        <w:rPr>
          <w:rFonts w:ascii="Corbel" w:hAnsi="Corbel"/>
          <w:b/>
          <w:bCs/>
          <w:sz w:val="28"/>
          <w:szCs w:val="28"/>
        </w:rPr>
      </w:pPr>
      <w:r w:rsidRPr="00A25DB0">
        <w:rPr>
          <w:rFonts w:ascii="Corbel" w:hAnsi="Corbel"/>
          <w:b/>
          <w:bCs/>
          <w:sz w:val="36"/>
          <w:szCs w:val="36"/>
        </w:rPr>
        <w:t>3</w:t>
      </w:r>
      <w:r w:rsidRPr="00A25DB0">
        <w:rPr>
          <w:rFonts w:ascii="Corbel" w:hAnsi="Corbel"/>
          <w:sz w:val="24"/>
          <w:szCs w:val="24"/>
        </w:rPr>
        <w:t xml:space="preserve"> - </w:t>
      </w:r>
      <w:r w:rsidRPr="00A25DB0">
        <w:rPr>
          <w:rFonts w:ascii="Corbel" w:hAnsi="Corbel"/>
          <w:b/>
          <w:bCs/>
          <w:sz w:val="28"/>
          <w:szCs w:val="28"/>
        </w:rPr>
        <w:t>I am Apple: Relationships of the Flesh. Exploring the Corporeal Entanglements of Eating Plants in the Amazon</w:t>
      </w:r>
    </w:p>
    <w:p w14:paraId="50FC1F3C" w14:textId="550A4975" w:rsidR="009C6ED4" w:rsidRDefault="004915DA" w:rsidP="002606CE">
      <w:pPr>
        <w:spacing w:line="240" w:lineRule="auto"/>
        <w:jc w:val="both"/>
        <w:rPr>
          <w:rFonts w:ascii="Baskerville Old Face" w:hAnsi="Baskerville Old Face"/>
          <w:sz w:val="24"/>
          <w:szCs w:val="24"/>
        </w:rPr>
      </w:pPr>
      <w:r>
        <w:rPr>
          <w:rFonts w:ascii="Baskerville Old Face" w:hAnsi="Baskerville Old Face"/>
          <w:sz w:val="24"/>
          <w:szCs w:val="24"/>
        </w:rPr>
        <w:t xml:space="preserve">Attala begins by </w:t>
      </w:r>
      <w:r w:rsidR="00EE3B94">
        <w:rPr>
          <w:rFonts w:ascii="Baskerville Old Face" w:hAnsi="Baskerville Old Face"/>
          <w:sz w:val="24"/>
          <w:szCs w:val="24"/>
        </w:rPr>
        <w:t xml:space="preserve">defining eating as a process, whereby the eater becomes one with the eaten. </w:t>
      </w:r>
      <w:r w:rsidR="005972BB">
        <w:rPr>
          <w:rFonts w:ascii="Baskerville Old Face" w:hAnsi="Baskerville Old Face"/>
          <w:sz w:val="24"/>
          <w:szCs w:val="24"/>
        </w:rPr>
        <w:t xml:space="preserve">Under a New Materialisms approach, the act of eating is intrinsically the act of forging a relationship; Cartesian ideas are challenged in this chapter also, in that eating is a proposed blurring of boundaries. </w:t>
      </w:r>
      <w:r w:rsidR="00EE3B94">
        <w:rPr>
          <w:rFonts w:ascii="Baskerville Old Face" w:hAnsi="Baskerville Old Face"/>
          <w:sz w:val="24"/>
          <w:szCs w:val="24"/>
        </w:rPr>
        <w:t xml:space="preserve">Admittedly, understanding consumption in this way is foreign to many, </w:t>
      </w:r>
      <w:r w:rsidR="004D08E0">
        <w:rPr>
          <w:rFonts w:ascii="Baskerville Old Face" w:hAnsi="Baskerville Old Face"/>
          <w:sz w:val="24"/>
          <w:szCs w:val="24"/>
        </w:rPr>
        <w:t>most especially</w:t>
      </w:r>
      <w:r w:rsidR="00572243">
        <w:rPr>
          <w:rFonts w:ascii="Baskerville Old Face" w:hAnsi="Baskerville Old Face"/>
          <w:sz w:val="24"/>
          <w:szCs w:val="24"/>
        </w:rPr>
        <w:t xml:space="preserve"> through</w:t>
      </w:r>
      <w:r w:rsidR="00D23129">
        <w:rPr>
          <w:rFonts w:ascii="Baskerville Old Face" w:hAnsi="Baskerville Old Face"/>
          <w:sz w:val="24"/>
          <w:szCs w:val="24"/>
        </w:rPr>
        <w:t xml:space="preserve">out </w:t>
      </w:r>
      <w:r w:rsidR="00572243">
        <w:rPr>
          <w:rFonts w:ascii="Baskerville Old Face" w:hAnsi="Baskerville Old Face"/>
          <w:sz w:val="24"/>
          <w:szCs w:val="24"/>
        </w:rPr>
        <w:t>the West, where the exploitation of natural resource goes mostly unchallenged</w:t>
      </w:r>
      <w:r w:rsidR="00EE3B94">
        <w:rPr>
          <w:rFonts w:ascii="Baskerville Old Face" w:hAnsi="Baskerville Old Face"/>
          <w:sz w:val="24"/>
          <w:szCs w:val="24"/>
        </w:rPr>
        <w:t>. Driven by this consideration, Attala’s chapter c</w:t>
      </w:r>
      <w:r w:rsidR="00D23129">
        <w:rPr>
          <w:rFonts w:ascii="Baskerville Old Face" w:hAnsi="Baskerville Old Face"/>
          <w:sz w:val="24"/>
          <w:szCs w:val="24"/>
        </w:rPr>
        <w:t>onfronts</w:t>
      </w:r>
      <w:r w:rsidR="00EE3B94">
        <w:rPr>
          <w:rFonts w:ascii="Baskerville Old Face" w:hAnsi="Baskerville Old Face"/>
          <w:sz w:val="24"/>
          <w:szCs w:val="24"/>
        </w:rPr>
        <w:t xml:space="preserve"> the epistemology of separation within the context of edible materials, focusing on </w:t>
      </w:r>
      <w:r w:rsidR="00D23129" w:rsidRPr="00D23129">
        <w:rPr>
          <w:rFonts w:ascii="Baskerville Old Face" w:hAnsi="Baskerville Old Face"/>
          <w:sz w:val="24"/>
          <w:szCs w:val="24"/>
        </w:rPr>
        <w:t>liana</w:t>
      </w:r>
      <w:r w:rsidR="00EE3B94" w:rsidRPr="00EE3B94">
        <w:rPr>
          <w:rFonts w:ascii="Baskerville Old Face" w:hAnsi="Baskerville Old Face"/>
          <w:i/>
          <w:iCs/>
          <w:sz w:val="24"/>
          <w:szCs w:val="24"/>
        </w:rPr>
        <w:t xml:space="preserve"> Banisteriopsis caapi</w:t>
      </w:r>
      <w:r w:rsidR="008907B8">
        <w:rPr>
          <w:rFonts w:ascii="Baskerville Old Face" w:hAnsi="Baskerville Old Face"/>
          <w:sz w:val="24"/>
          <w:szCs w:val="24"/>
        </w:rPr>
        <w:t xml:space="preserve">, found in the Amazon Basin. The liana boasts hallucinogenic properties and as such, has a long history of employment by local Amerindian groups for both medicinal and ritualistic purposes. It is Attala’s objective to reinterpret this plant’s abilities to </w:t>
      </w:r>
      <w:r w:rsidR="001A5F41">
        <w:rPr>
          <w:rFonts w:ascii="Baskerville Old Face" w:hAnsi="Baskerville Old Face"/>
          <w:sz w:val="24"/>
          <w:szCs w:val="24"/>
        </w:rPr>
        <w:t xml:space="preserve">influencing abilities </w:t>
      </w:r>
      <w:r w:rsidR="008907B8">
        <w:rPr>
          <w:rFonts w:ascii="Baskerville Old Face" w:hAnsi="Baskerville Old Face"/>
          <w:sz w:val="24"/>
          <w:szCs w:val="24"/>
        </w:rPr>
        <w:t xml:space="preserve">through the perspective of New Materialism. Attala is particularly attentive to any benefit the plant may receive as a result of its hallucinogenic properties, which recentres the discourse from </w:t>
      </w:r>
      <w:r w:rsidR="005972BB">
        <w:rPr>
          <w:rFonts w:ascii="Baskerville Old Face" w:hAnsi="Baskerville Old Face"/>
          <w:sz w:val="24"/>
          <w:szCs w:val="24"/>
        </w:rPr>
        <w:t xml:space="preserve">humans to the plant in question. </w:t>
      </w:r>
      <w:r w:rsidR="009C6ED4">
        <w:rPr>
          <w:rFonts w:ascii="Baskerville Old Face" w:hAnsi="Baskerville Old Face"/>
          <w:sz w:val="24"/>
          <w:szCs w:val="24"/>
        </w:rPr>
        <w:t xml:space="preserve">The author presents a certain narrative which stands out as particularly orthodox and provoking, wherein she </w:t>
      </w:r>
      <w:r w:rsidR="00AA47D8">
        <w:rPr>
          <w:rFonts w:ascii="Baskerville Old Face" w:hAnsi="Baskerville Old Face"/>
          <w:sz w:val="24"/>
          <w:szCs w:val="24"/>
        </w:rPr>
        <w:t xml:space="preserve">uses enabling and agentive language to </w:t>
      </w:r>
      <w:r w:rsidR="009C6ED4">
        <w:rPr>
          <w:rFonts w:ascii="Baskerville Old Face" w:hAnsi="Baskerville Old Face"/>
          <w:sz w:val="24"/>
          <w:szCs w:val="24"/>
        </w:rPr>
        <w:t xml:space="preserve">describe the liana as a communicative entity capable of </w:t>
      </w:r>
      <w:r w:rsidR="00AA47D8">
        <w:rPr>
          <w:rFonts w:ascii="Baskerville Old Face" w:hAnsi="Baskerville Old Face"/>
          <w:sz w:val="24"/>
          <w:szCs w:val="24"/>
        </w:rPr>
        <w:t>self-expression</w:t>
      </w:r>
      <w:r w:rsidR="009C6ED4">
        <w:rPr>
          <w:rFonts w:ascii="Baskerville Old Face" w:hAnsi="Baskerville Old Face"/>
          <w:sz w:val="24"/>
          <w:szCs w:val="24"/>
        </w:rPr>
        <w:t xml:space="preserve">. </w:t>
      </w:r>
      <w:r w:rsidR="007A07E7">
        <w:rPr>
          <w:rFonts w:ascii="Baskerville Old Face" w:hAnsi="Baskerville Old Face"/>
          <w:sz w:val="24"/>
          <w:szCs w:val="24"/>
        </w:rPr>
        <w:t xml:space="preserve">The academic community largely regard this notion as </w:t>
      </w:r>
      <w:r w:rsidR="00CC2A6B">
        <w:rPr>
          <w:rFonts w:ascii="Baskerville Old Face" w:hAnsi="Baskerville Old Face"/>
          <w:sz w:val="24"/>
          <w:szCs w:val="24"/>
        </w:rPr>
        <w:t xml:space="preserve">belonging to </w:t>
      </w:r>
      <w:r w:rsidR="007A07E7">
        <w:rPr>
          <w:rFonts w:ascii="Baskerville Old Face" w:hAnsi="Baskerville Old Face"/>
          <w:sz w:val="24"/>
          <w:szCs w:val="24"/>
        </w:rPr>
        <w:t>fiction</w:t>
      </w:r>
      <w:r w:rsidR="00CC2A6B">
        <w:rPr>
          <w:rFonts w:ascii="Baskerville Old Face" w:hAnsi="Baskerville Old Face"/>
          <w:sz w:val="24"/>
          <w:szCs w:val="24"/>
        </w:rPr>
        <w:t>, and it is with this chapter that Attala does challenge this</w:t>
      </w:r>
      <w:r w:rsidR="00AA47D8">
        <w:rPr>
          <w:rFonts w:ascii="Baskerville Old Face" w:hAnsi="Baskerville Old Face"/>
          <w:sz w:val="24"/>
          <w:szCs w:val="24"/>
        </w:rPr>
        <w:t xml:space="preserve"> in her refusal to </w:t>
      </w:r>
      <w:r w:rsidR="00CC2A6B">
        <w:rPr>
          <w:rFonts w:ascii="Baskerville Old Face" w:hAnsi="Baskerville Old Face"/>
          <w:sz w:val="24"/>
          <w:szCs w:val="24"/>
        </w:rPr>
        <w:t xml:space="preserve">underestimate the liana’s, and by extension all other plants’, agency. </w:t>
      </w:r>
      <w:r w:rsidR="0045742D">
        <w:rPr>
          <w:rFonts w:ascii="Baskerville Old Face" w:hAnsi="Baskerville Old Face"/>
          <w:sz w:val="24"/>
          <w:szCs w:val="24"/>
        </w:rPr>
        <w:t xml:space="preserve">Using the ‘Edibility approach’ that Attala herself coined, the chapter continues on to suggest that being consumed is inferred to be a tragic, life-ending event, when alternatively, it can be </w:t>
      </w:r>
      <w:r w:rsidR="00AA47D8">
        <w:rPr>
          <w:rFonts w:ascii="Baskerville Old Face" w:hAnsi="Baskerville Old Face"/>
          <w:sz w:val="24"/>
          <w:szCs w:val="24"/>
        </w:rPr>
        <w:t xml:space="preserve">understood </w:t>
      </w:r>
      <w:r w:rsidR="0045742D">
        <w:rPr>
          <w:rFonts w:ascii="Baskerville Old Face" w:hAnsi="Baskerville Old Face"/>
          <w:sz w:val="24"/>
          <w:szCs w:val="24"/>
        </w:rPr>
        <w:t>as a mutualistic strategy developed by any organism seeking to derive evolutionary benefit or shaping.</w:t>
      </w:r>
      <w:r w:rsidR="007A07E7">
        <w:rPr>
          <w:rFonts w:ascii="Baskerville Old Face" w:hAnsi="Baskerville Old Face"/>
          <w:sz w:val="24"/>
          <w:szCs w:val="24"/>
        </w:rPr>
        <w:t xml:space="preserve"> Therefore, ingestion can no longer be imagined as a destructive act – human consumers are not necessarily hostile forces within Attala’s narrative, but can be positive influencers of local plant life through continued interaction, and mutual learning.</w:t>
      </w:r>
      <w:r w:rsidR="001163DF">
        <w:rPr>
          <w:rFonts w:ascii="Baskerville Old Face" w:hAnsi="Baskerville Old Face"/>
          <w:sz w:val="24"/>
          <w:szCs w:val="24"/>
        </w:rPr>
        <w:t xml:space="preserve"> Additionally, it is suggested </w:t>
      </w:r>
      <w:r w:rsidR="001163DF" w:rsidRPr="001163DF">
        <w:rPr>
          <w:rFonts w:ascii="Baskerville Old Face" w:hAnsi="Baskerville Old Face"/>
          <w:i/>
          <w:iCs/>
          <w:sz w:val="24"/>
          <w:szCs w:val="24"/>
        </w:rPr>
        <w:t>B. caapi</w:t>
      </w:r>
      <w:r w:rsidR="001163DF">
        <w:rPr>
          <w:rFonts w:ascii="Baskerville Old Face" w:hAnsi="Baskerville Old Face"/>
          <w:i/>
          <w:iCs/>
          <w:sz w:val="24"/>
          <w:szCs w:val="24"/>
        </w:rPr>
        <w:t>’</w:t>
      </w:r>
      <w:r w:rsidR="001163DF">
        <w:rPr>
          <w:rFonts w:ascii="Baskerville Old Face" w:hAnsi="Baskerville Old Face"/>
          <w:sz w:val="24"/>
          <w:szCs w:val="24"/>
        </w:rPr>
        <w:t xml:space="preserve">s hallucinogenic properties are measurably beneficial to itself also, in that this communicative ‘strategy’ encourages the cultivation of human relationships, and thusly of itself; the provision of a purpose, or significance to humans can therefore be </w:t>
      </w:r>
      <w:r w:rsidR="00AA47D8">
        <w:rPr>
          <w:rFonts w:ascii="Baskerville Old Face" w:hAnsi="Baskerville Old Face"/>
          <w:sz w:val="24"/>
          <w:szCs w:val="24"/>
        </w:rPr>
        <w:t>interpreted</w:t>
      </w:r>
      <w:r w:rsidR="001163DF">
        <w:rPr>
          <w:rFonts w:ascii="Baskerville Old Face" w:hAnsi="Baskerville Old Face"/>
          <w:sz w:val="24"/>
          <w:szCs w:val="24"/>
        </w:rPr>
        <w:t xml:space="preserve"> as a protective measure.</w:t>
      </w:r>
      <w:r w:rsidR="00472224">
        <w:rPr>
          <w:rFonts w:ascii="Baskerville Old Face" w:hAnsi="Baskerville Old Face"/>
          <w:sz w:val="24"/>
          <w:szCs w:val="24"/>
        </w:rPr>
        <w:t xml:space="preserve"> This chapter largely perpetuates the book’s themes of environmental conservation, and of repositioning humans within their material relationships so as to abandon anthropocentrism in the fields of social sciences.</w:t>
      </w:r>
      <w:r w:rsidR="005B3B88">
        <w:rPr>
          <w:rFonts w:ascii="Baskerville Old Face" w:hAnsi="Baskerville Old Face"/>
          <w:sz w:val="24"/>
          <w:szCs w:val="24"/>
        </w:rPr>
        <w:t xml:space="preserve"> ‘I am Apple’ contributes a pioneering attitude toward non-human agency, and is sophisticated in its </w:t>
      </w:r>
      <w:r w:rsidR="005B3B88">
        <w:rPr>
          <w:rFonts w:ascii="Baskerville Old Face" w:hAnsi="Baskerville Old Face"/>
          <w:sz w:val="24"/>
          <w:szCs w:val="24"/>
        </w:rPr>
        <w:lastRenderedPageBreak/>
        <w:t xml:space="preserve">interaction with scholarly sources, and its ability to persuade the reader to reevaluate certain preconceptions. </w:t>
      </w:r>
    </w:p>
    <w:p w14:paraId="005839B2" w14:textId="52317663" w:rsidR="00D044B7" w:rsidRDefault="009B5E1D" w:rsidP="002606CE">
      <w:pPr>
        <w:spacing w:line="240" w:lineRule="auto"/>
        <w:jc w:val="both"/>
        <w:rPr>
          <w:rFonts w:ascii="Baskerville Old Face" w:hAnsi="Baskerville Old Face"/>
          <w:sz w:val="24"/>
          <w:szCs w:val="24"/>
        </w:rPr>
      </w:pPr>
      <w:r>
        <w:rPr>
          <w:rFonts w:ascii="Baskerville Old Face" w:hAnsi="Baskerville Old Face"/>
          <w:sz w:val="24"/>
          <w:szCs w:val="24"/>
        </w:rPr>
        <w:t>The authors of ‘Body Matters’ employed a thoughtful and varied range of methodology to accompany, and bolster their respective arguments</w:t>
      </w:r>
      <w:r w:rsidR="006419FE">
        <w:rPr>
          <w:rFonts w:ascii="Baskerville Old Face" w:hAnsi="Baskerville Old Face"/>
          <w:sz w:val="24"/>
          <w:szCs w:val="24"/>
        </w:rPr>
        <w:t xml:space="preserve"> – the diversity of subject and discipline are certainly reflected in each methodological approach taken</w:t>
      </w:r>
      <w:r w:rsidR="00192328">
        <w:rPr>
          <w:rFonts w:ascii="Baskerville Old Face" w:hAnsi="Baskerville Old Face"/>
          <w:sz w:val="24"/>
          <w:szCs w:val="24"/>
        </w:rPr>
        <w:t xml:space="preserve">. </w:t>
      </w:r>
      <w:r w:rsidR="006E7135">
        <w:rPr>
          <w:rFonts w:ascii="Baskerville Old Face" w:hAnsi="Baskerville Old Face"/>
          <w:sz w:val="24"/>
          <w:szCs w:val="24"/>
        </w:rPr>
        <w:t>In Steel’s chapter ‘Embodied Encounters with the Ancestors’, for instance, her archaeological discipline is prevalent throughout her approach. Exploring the deliberate manipulation of human burials together with the argument that such actions can mediate communications</w:t>
      </w:r>
      <w:r w:rsidR="002A61F0">
        <w:rPr>
          <w:rFonts w:ascii="Baskerville Old Face" w:hAnsi="Baskerville Old Face"/>
          <w:sz w:val="24"/>
          <w:szCs w:val="24"/>
        </w:rPr>
        <w:t xml:space="preserve"> between the living and the deceased, St</w:t>
      </w:r>
      <w:r w:rsidR="007A3C21">
        <w:rPr>
          <w:rFonts w:ascii="Baskerville Old Face" w:hAnsi="Baskerville Old Face"/>
          <w:sz w:val="24"/>
          <w:szCs w:val="24"/>
        </w:rPr>
        <w:t xml:space="preserve">eel’s methodology can be described as largely interactive and </w:t>
      </w:r>
      <w:r w:rsidR="005D3CE6">
        <w:rPr>
          <w:rFonts w:ascii="Baskerville Old Face" w:hAnsi="Baskerville Old Face"/>
          <w:sz w:val="24"/>
          <w:szCs w:val="24"/>
        </w:rPr>
        <w:t>unique. Steel hosted an experiential workshop wherein herself and students were provided with a realistic plastic skull, and were tasked with recreating the plastered skulls of the Neolithic to the best of their</w:t>
      </w:r>
      <w:r w:rsidR="00D34889">
        <w:rPr>
          <w:rFonts w:ascii="Baskerville Old Face" w:hAnsi="Baskerville Old Face"/>
          <w:sz w:val="24"/>
          <w:szCs w:val="24"/>
        </w:rPr>
        <w:t xml:space="preserve"> abilities, </w:t>
      </w:r>
      <w:r w:rsidR="002606CE">
        <w:rPr>
          <w:rFonts w:ascii="Baskerville Old Face" w:hAnsi="Baskerville Old Face"/>
          <w:sz w:val="24"/>
          <w:szCs w:val="24"/>
        </w:rPr>
        <w:t xml:space="preserve">and </w:t>
      </w:r>
      <w:r w:rsidR="00D34889">
        <w:rPr>
          <w:rFonts w:ascii="Baskerville Old Face" w:hAnsi="Baskerville Old Face"/>
          <w:sz w:val="24"/>
          <w:szCs w:val="24"/>
        </w:rPr>
        <w:t>of the materials also. The students attended to the skull using clay for the recreation of facial features and musculature, which was then coated with lime mortar. Steel addresses a limitation of this tactile means of study, whereby the lime mortar, being of significant volatility, requires the use of protective gloves</w:t>
      </w:r>
      <w:r w:rsidR="004A758A">
        <w:rPr>
          <w:rFonts w:ascii="Baskerville Old Face" w:hAnsi="Baskerville Old Face"/>
          <w:sz w:val="24"/>
          <w:szCs w:val="24"/>
        </w:rPr>
        <w:t xml:space="preserve">, which ‘[deprives the students] of some possible tactile observations’. As a final measure of historical accuracy, the students placed cowrie shells in the eye sockets, as is seen in the subject of their investigation. According to Steel, this unorthodox means of methodology began as an ‘intellectual exercise’, wherein the potential for a sensory </w:t>
      </w:r>
      <w:r w:rsidR="00673FC8">
        <w:rPr>
          <w:rFonts w:ascii="Baskerville Old Face" w:hAnsi="Baskerville Old Face"/>
          <w:sz w:val="24"/>
          <w:szCs w:val="24"/>
        </w:rPr>
        <w:t xml:space="preserve">and interactive </w:t>
      </w:r>
      <w:r w:rsidR="004A758A">
        <w:rPr>
          <w:rFonts w:ascii="Baskerville Old Face" w:hAnsi="Baskerville Old Face"/>
          <w:sz w:val="24"/>
          <w:szCs w:val="24"/>
        </w:rPr>
        <w:t>education, in line with the ideologies of New Materialism</w:t>
      </w:r>
      <w:r w:rsidR="00673FC8">
        <w:rPr>
          <w:rFonts w:ascii="Baskerville Old Face" w:hAnsi="Baskerville Old Face"/>
          <w:sz w:val="24"/>
          <w:szCs w:val="24"/>
        </w:rPr>
        <w:t xml:space="preserve">, is clear. Discussions throughout revealed the formation of a striking, emotional relationship between the skull and its makers, directly demonstrating how this attentive relationship between the materials of the living and their ancestors can be a powerful mechanism of agency, and entanglement. Including the experience of this workshop into the book allows the reader to </w:t>
      </w:r>
      <w:r w:rsidR="002606CE">
        <w:rPr>
          <w:rFonts w:ascii="Baskerville Old Face" w:hAnsi="Baskerville Old Face"/>
          <w:sz w:val="24"/>
          <w:szCs w:val="24"/>
        </w:rPr>
        <w:t xml:space="preserve">develop their understanding of Neolithic mortuary practices in a clever, and innovative way; the reader’s focus and imagination can be markedly extended as they are better able to picture someone performing these actions. </w:t>
      </w:r>
    </w:p>
    <w:p w14:paraId="2F4DDDC3" w14:textId="150B75F0" w:rsidR="00D34889" w:rsidRDefault="00035AB1" w:rsidP="005972BB">
      <w:pPr>
        <w:jc w:val="both"/>
        <w:rPr>
          <w:rFonts w:ascii="Baskerville Old Face" w:hAnsi="Baskerville Old Face"/>
          <w:sz w:val="24"/>
          <w:szCs w:val="24"/>
        </w:rPr>
      </w:pPr>
      <w:r w:rsidRPr="006A3B88">
        <w:rPr>
          <w:rFonts w:ascii="Baskerville Old Face" w:hAnsi="Baskerville Old Face"/>
          <w:i/>
          <w:iCs/>
          <w:sz w:val="24"/>
          <w:szCs w:val="24"/>
        </w:rPr>
        <w:t>Body Matters</w:t>
      </w:r>
      <w:r w:rsidR="006A3B88">
        <w:rPr>
          <w:rFonts w:ascii="Baskerville Old Face" w:hAnsi="Baskerville Old Face"/>
          <w:sz w:val="24"/>
          <w:szCs w:val="24"/>
        </w:rPr>
        <w:t xml:space="preserve"> </w:t>
      </w:r>
      <w:r>
        <w:rPr>
          <w:rFonts w:ascii="Baskerville Old Face" w:hAnsi="Baskerville Old Face"/>
          <w:sz w:val="24"/>
          <w:szCs w:val="24"/>
        </w:rPr>
        <w:t xml:space="preserve">presents many individual arguments within its respective chapters, however the overall aims and arguments that span throughout are </w:t>
      </w:r>
      <w:r w:rsidR="00965A1E">
        <w:rPr>
          <w:rFonts w:ascii="Baskerville Old Face" w:hAnsi="Baskerville Old Face"/>
          <w:sz w:val="24"/>
          <w:szCs w:val="24"/>
        </w:rPr>
        <w:t xml:space="preserve">plainly </w:t>
      </w:r>
      <w:r>
        <w:rPr>
          <w:rFonts w:ascii="Baskerville Old Face" w:hAnsi="Baskerville Old Face"/>
          <w:sz w:val="24"/>
          <w:szCs w:val="24"/>
        </w:rPr>
        <w:t xml:space="preserve">outlined in the introduction. </w:t>
      </w:r>
      <w:r w:rsidR="00965A1E">
        <w:rPr>
          <w:rFonts w:ascii="Baskerville Old Face" w:hAnsi="Baskerville Old Face"/>
          <w:sz w:val="24"/>
          <w:szCs w:val="24"/>
        </w:rPr>
        <w:t>One such aim of the book and by extension the series,</w:t>
      </w:r>
      <w:r w:rsidR="00416841">
        <w:rPr>
          <w:rFonts w:ascii="Baskerville Old Face" w:hAnsi="Baskerville Old Face"/>
          <w:sz w:val="24"/>
          <w:szCs w:val="24"/>
        </w:rPr>
        <w:t xml:space="preserve"> is to both recognise, and thusly advocate for the non-human agent within the material world – this can be achieved by re-examining material entanglement in historical settings, which in turn permits one to extend that reflection toward their own roles in material interactions. </w:t>
      </w:r>
      <w:r w:rsidR="00A12C12">
        <w:rPr>
          <w:rFonts w:ascii="Baskerville Old Face" w:hAnsi="Baskerville Old Face"/>
          <w:sz w:val="24"/>
          <w:szCs w:val="24"/>
        </w:rPr>
        <w:t>This aim works in conjunction with another principal aim which is the dismissal of anthropocentrism, and that can be observed as an inextricable part of each chapter. Webster’s chapter, ‘</w:t>
      </w:r>
      <w:r w:rsidR="00A12C12" w:rsidRPr="00A12C12">
        <w:rPr>
          <w:rFonts w:ascii="Baskerville Old Face" w:hAnsi="Baskerville Old Face"/>
          <w:i/>
          <w:iCs/>
          <w:sz w:val="24"/>
          <w:szCs w:val="24"/>
        </w:rPr>
        <w:t>The Resuscitation of the Twice-hanged Man</w:t>
      </w:r>
      <w:r w:rsidR="006D55B7" w:rsidRPr="00A12C12">
        <w:rPr>
          <w:rFonts w:ascii="Baskerville Old Face" w:hAnsi="Baskerville Old Face"/>
          <w:i/>
          <w:iCs/>
          <w:sz w:val="24"/>
          <w:szCs w:val="24"/>
        </w:rPr>
        <w:t>’</w:t>
      </w:r>
      <w:r w:rsidR="006D55B7">
        <w:rPr>
          <w:rFonts w:ascii="Baskerville Old Face" w:hAnsi="Baskerville Old Face"/>
          <w:sz w:val="24"/>
          <w:szCs w:val="24"/>
        </w:rPr>
        <w:t xml:space="preserve"> wherein the agency of materiality is discussed within the context of Medieval Swansea, and more specifically the supposed miracle of William Cragh’s revival.</w:t>
      </w:r>
      <w:r w:rsidR="00B22274">
        <w:rPr>
          <w:rFonts w:ascii="Baskerville Old Face" w:hAnsi="Baskerville Old Face"/>
          <w:sz w:val="24"/>
          <w:szCs w:val="24"/>
        </w:rPr>
        <w:t xml:space="preserve"> Webster’s analysis of proxy bodies, and how they are intrinsically imbued with agency proves to be a thorough representation of these aims and arguments. These specific medieval and religious healing techniques have not been addressed before in such a manner, therefore Webster’s perspective brings with it a new understanding, and further contextualises New Materialist thought. As well as this, Webster engages with a great many scholars and theologians to navigate the materiality of miracles, </w:t>
      </w:r>
      <w:r w:rsidR="00655F94">
        <w:rPr>
          <w:rFonts w:ascii="Baskerville Old Face" w:hAnsi="Baskerville Old Face"/>
          <w:sz w:val="24"/>
          <w:szCs w:val="24"/>
        </w:rPr>
        <w:t>and explore Cartesian ideas like the separation of body and mind, or soul. The topic of this chapter, and the author’s approach</w:t>
      </w:r>
      <w:r w:rsidR="00252D57">
        <w:rPr>
          <w:rFonts w:ascii="Baskerville Old Face" w:hAnsi="Baskerville Old Face"/>
          <w:sz w:val="24"/>
          <w:szCs w:val="24"/>
        </w:rPr>
        <w:t xml:space="preserve">, is distinctive and important to the study of materiality, as it </w:t>
      </w:r>
      <w:r w:rsidR="007E747B">
        <w:rPr>
          <w:rFonts w:ascii="Baskerville Old Face" w:hAnsi="Baskerville Old Face"/>
          <w:sz w:val="24"/>
          <w:szCs w:val="24"/>
        </w:rPr>
        <w:t>tackles the eluding nature of material spirituality and religion, and the ideologies that surround it.</w:t>
      </w:r>
    </w:p>
    <w:p w14:paraId="0E7E8F91" w14:textId="7D4B94B8" w:rsidR="00D34889" w:rsidRDefault="00F57F87" w:rsidP="00F57F87">
      <w:pPr>
        <w:spacing w:line="240" w:lineRule="auto"/>
        <w:jc w:val="both"/>
        <w:rPr>
          <w:rFonts w:ascii="Baskerville Old Face" w:hAnsi="Baskerville Old Face"/>
          <w:sz w:val="24"/>
          <w:szCs w:val="24"/>
        </w:rPr>
      </w:pPr>
      <w:r>
        <w:rPr>
          <w:rFonts w:ascii="Baskerville Old Face" w:hAnsi="Baskerville Old Face"/>
          <w:sz w:val="24"/>
          <w:szCs w:val="24"/>
        </w:rPr>
        <w:t xml:space="preserve">In consideration of </w:t>
      </w:r>
      <w:r w:rsidRPr="00F57F87">
        <w:rPr>
          <w:rFonts w:ascii="Baskerville Old Face" w:hAnsi="Baskerville Old Face"/>
          <w:i/>
          <w:iCs/>
          <w:sz w:val="24"/>
          <w:szCs w:val="24"/>
        </w:rPr>
        <w:t>Body Matters</w:t>
      </w:r>
      <w:r>
        <w:rPr>
          <w:rFonts w:ascii="Baskerville Old Face" w:hAnsi="Baskerville Old Face"/>
          <w:sz w:val="24"/>
          <w:szCs w:val="24"/>
        </w:rPr>
        <w:t xml:space="preserve">’s multiple authors, some disparity in writing style is to be expected, however there were no considerable jolts to the reading experience, and multiple chapters could be read </w:t>
      </w:r>
      <w:r w:rsidR="001B559B">
        <w:rPr>
          <w:rFonts w:ascii="Baskerville Old Face" w:hAnsi="Baskerville Old Face"/>
          <w:sz w:val="24"/>
          <w:szCs w:val="24"/>
        </w:rPr>
        <w:t xml:space="preserve">successively with little feeling of readjustment. In accordance with the writing style however, the reader must have a developed, informed vocabulary, and </w:t>
      </w:r>
      <w:r w:rsidR="00A14043">
        <w:rPr>
          <w:rFonts w:ascii="Baskerville Old Face" w:hAnsi="Baskerville Old Face"/>
          <w:sz w:val="24"/>
          <w:szCs w:val="24"/>
        </w:rPr>
        <w:t xml:space="preserve">be </w:t>
      </w:r>
      <w:r w:rsidR="001B559B">
        <w:rPr>
          <w:rFonts w:ascii="Baskerville Old Face" w:hAnsi="Baskerville Old Face"/>
          <w:sz w:val="24"/>
          <w:szCs w:val="24"/>
        </w:rPr>
        <w:t xml:space="preserve">of </w:t>
      </w:r>
      <w:r w:rsidR="00A14043">
        <w:rPr>
          <w:rFonts w:ascii="Baskerville Old Face" w:hAnsi="Baskerville Old Face"/>
          <w:sz w:val="24"/>
          <w:szCs w:val="24"/>
        </w:rPr>
        <w:t xml:space="preserve">sound </w:t>
      </w:r>
      <w:r w:rsidR="00A14043">
        <w:rPr>
          <w:rFonts w:ascii="Baskerville Old Face" w:hAnsi="Baskerville Old Face"/>
          <w:sz w:val="24"/>
          <w:szCs w:val="24"/>
        </w:rPr>
        <w:lastRenderedPageBreak/>
        <w:t xml:space="preserve">intelligence in order to completely grasp the academic discussions of the book. It must be said though, that each chapter attended </w:t>
      </w:r>
      <w:r w:rsidR="00E776CE">
        <w:rPr>
          <w:rFonts w:ascii="Baskerville Old Face" w:hAnsi="Baskerville Old Face"/>
          <w:sz w:val="24"/>
          <w:szCs w:val="24"/>
        </w:rPr>
        <w:t>well to their introductory pages in that they explained relevant information before exploring their respective topic further, requiring no prior knowledge of these concepts</w:t>
      </w:r>
      <w:r w:rsidR="00022821">
        <w:rPr>
          <w:rFonts w:ascii="Baskerville Old Face" w:hAnsi="Baskerville Old Face"/>
          <w:sz w:val="24"/>
          <w:szCs w:val="24"/>
        </w:rPr>
        <w:t>. In this regard, the book was relatively accessible, and is useful as a learning tool to those that may be of limited, or no prior knowledge.</w:t>
      </w:r>
      <w:r w:rsidR="007351E6">
        <w:rPr>
          <w:rFonts w:ascii="Baskerville Old Face" w:hAnsi="Baskerville Old Face"/>
          <w:sz w:val="24"/>
          <w:szCs w:val="24"/>
        </w:rPr>
        <w:t xml:space="preserve"> </w:t>
      </w:r>
      <w:r w:rsidR="006A3B88">
        <w:rPr>
          <w:rFonts w:ascii="Baskerville Old Face" w:hAnsi="Baskerville Old Face"/>
          <w:sz w:val="24"/>
          <w:szCs w:val="24"/>
        </w:rPr>
        <w:t>It should also be acknowledged however, that a non-academic audience would likely feel lost in reading this book, as the concepts are not simplified enough, and the authors write in a manner that could feel elusive to those who do not have a higher education. This is not a substantial downfall of this book though, as an educational book such as</w:t>
      </w:r>
      <w:r w:rsidR="006A3B88" w:rsidRPr="009C1142">
        <w:rPr>
          <w:rFonts w:ascii="Baskerville Old Face" w:hAnsi="Baskerville Old Face"/>
          <w:sz w:val="24"/>
          <w:szCs w:val="24"/>
        </w:rPr>
        <w:t xml:space="preserve"> </w:t>
      </w:r>
      <w:r w:rsidR="009C1142" w:rsidRPr="009C1142">
        <w:rPr>
          <w:rFonts w:ascii="Baskerville Old Face" w:hAnsi="Baskerville Old Face"/>
          <w:sz w:val="24"/>
          <w:szCs w:val="24"/>
        </w:rPr>
        <w:t>‘</w:t>
      </w:r>
      <w:r w:rsidR="006A3B88" w:rsidRPr="009C1142">
        <w:rPr>
          <w:rFonts w:ascii="Baskerville Old Face" w:hAnsi="Baskerville Old Face"/>
          <w:sz w:val="24"/>
          <w:szCs w:val="24"/>
        </w:rPr>
        <w:t>Body Matters</w:t>
      </w:r>
      <w:r w:rsidR="009C1142" w:rsidRPr="009C1142">
        <w:rPr>
          <w:rFonts w:ascii="Baskerville Old Face" w:hAnsi="Baskerville Old Face"/>
          <w:sz w:val="24"/>
          <w:szCs w:val="24"/>
        </w:rPr>
        <w:t>’</w:t>
      </w:r>
      <w:r w:rsidR="009C1142" w:rsidRPr="009C1142">
        <w:rPr>
          <w:rFonts w:ascii="Baskerville Old Face" w:hAnsi="Baskerville Old Face"/>
          <w:i/>
          <w:iCs/>
          <w:sz w:val="24"/>
          <w:szCs w:val="24"/>
        </w:rPr>
        <w:t xml:space="preserve"> </w:t>
      </w:r>
      <w:r w:rsidR="006A3B88">
        <w:rPr>
          <w:rFonts w:ascii="Baskerville Old Face" w:hAnsi="Baskerville Old Face"/>
          <w:sz w:val="24"/>
          <w:szCs w:val="24"/>
        </w:rPr>
        <w:t xml:space="preserve">would lose its quality, and impact should it be simplified further. </w:t>
      </w:r>
    </w:p>
    <w:p w14:paraId="3A5C43F9" w14:textId="2391FDE0" w:rsidR="006D5107" w:rsidRDefault="006A3B88" w:rsidP="00F57F87">
      <w:pPr>
        <w:spacing w:line="240" w:lineRule="auto"/>
        <w:jc w:val="both"/>
        <w:rPr>
          <w:rFonts w:ascii="Baskerville Old Face" w:hAnsi="Baskerville Old Face"/>
          <w:sz w:val="24"/>
          <w:szCs w:val="24"/>
        </w:rPr>
      </w:pPr>
      <w:r>
        <w:rPr>
          <w:rFonts w:ascii="Baskerville Old Face" w:hAnsi="Baskerville Old Face"/>
          <w:sz w:val="24"/>
          <w:szCs w:val="24"/>
        </w:rPr>
        <w:t xml:space="preserve">A significant strength of the book is in its extensive subject matter. The collaboration of authors spanning many disciplines </w:t>
      </w:r>
      <w:r w:rsidR="00137EA4">
        <w:rPr>
          <w:rFonts w:ascii="Baskerville Old Face" w:hAnsi="Baskerville Old Face"/>
          <w:sz w:val="24"/>
          <w:szCs w:val="24"/>
        </w:rPr>
        <w:t>is a cleve</w:t>
      </w:r>
      <w:r w:rsidR="00803E22">
        <w:rPr>
          <w:rFonts w:ascii="Baskerville Old Face" w:hAnsi="Baskerville Old Face"/>
          <w:sz w:val="24"/>
          <w:szCs w:val="24"/>
        </w:rPr>
        <w:t xml:space="preserve">r means of applying New Materialist interpretation across a wider contextualisation – this allows for a </w:t>
      </w:r>
      <w:r w:rsidR="00B84E17">
        <w:rPr>
          <w:rFonts w:ascii="Baskerville Old Face" w:hAnsi="Baskerville Old Face"/>
          <w:sz w:val="24"/>
          <w:szCs w:val="24"/>
        </w:rPr>
        <w:t xml:space="preserve">more substantial development of the book and its arguments. </w:t>
      </w:r>
      <w:r w:rsidR="001C7280">
        <w:rPr>
          <w:rFonts w:ascii="Baskerville Old Face" w:hAnsi="Baskerville Old Face"/>
          <w:sz w:val="24"/>
          <w:szCs w:val="24"/>
        </w:rPr>
        <w:t>Fayers-Kerr’s chapter ‘Becoming a Community of Substance’ for example, explores the materiality of earth within the context of the Mursi, or Mun tribe of Ethiopia, whereas Burton’s chapter</w:t>
      </w:r>
      <w:r w:rsidR="001C7280">
        <w:rPr>
          <w:rStyle w:val="FootnoteReference"/>
          <w:rFonts w:ascii="Baskerville Old Face" w:hAnsi="Baskerville Old Face"/>
          <w:sz w:val="24"/>
          <w:szCs w:val="24"/>
        </w:rPr>
        <w:footnoteReference w:id="3"/>
      </w:r>
      <w:r w:rsidR="00BA7CA9">
        <w:rPr>
          <w:rFonts w:ascii="Baskerville Old Face" w:hAnsi="Baskerville Old Face"/>
          <w:sz w:val="24"/>
          <w:szCs w:val="24"/>
        </w:rPr>
        <w:t xml:space="preserve"> </w:t>
      </w:r>
      <w:r w:rsidR="001458FC">
        <w:rPr>
          <w:rFonts w:ascii="Baskerville Old Face" w:hAnsi="Baskerville Old Face"/>
          <w:sz w:val="24"/>
          <w:szCs w:val="24"/>
        </w:rPr>
        <w:t xml:space="preserve">covers medieval Christian relics. The disciplinary range </w:t>
      </w:r>
      <w:r w:rsidR="006D5107">
        <w:rPr>
          <w:rFonts w:ascii="Baskerville Old Face" w:hAnsi="Baskerville Old Face"/>
          <w:sz w:val="24"/>
          <w:szCs w:val="24"/>
        </w:rPr>
        <w:t xml:space="preserve">found throughout serves to bolster the overarching arguments, and promotes an awareness of unique cultures, like the Mun, that may be otherwise disregarded in mainstream academic discourse. In consideration of this, the messages and publication of Body Matters cannot be described as unimportant by any means; awareness of the </w:t>
      </w:r>
      <w:r w:rsidR="00DD2F85">
        <w:rPr>
          <w:rFonts w:ascii="Baskerville Old Face" w:hAnsi="Baskerville Old Face"/>
          <w:sz w:val="24"/>
          <w:szCs w:val="24"/>
        </w:rPr>
        <w:t xml:space="preserve">importance of </w:t>
      </w:r>
      <w:r w:rsidR="006D5107">
        <w:rPr>
          <w:rFonts w:ascii="Baskerville Old Face" w:hAnsi="Baskerville Old Face"/>
          <w:sz w:val="24"/>
          <w:szCs w:val="24"/>
        </w:rPr>
        <w:t>earth’s materiality</w:t>
      </w:r>
      <w:r w:rsidR="00DD2F85">
        <w:rPr>
          <w:rFonts w:ascii="Baskerville Old Face" w:hAnsi="Baskerville Old Face"/>
          <w:sz w:val="24"/>
          <w:szCs w:val="24"/>
        </w:rPr>
        <w:t>, and the consequences of dismissing it by way of an anthropocentric lifestyle,</w:t>
      </w:r>
      <w:r w:rsidR="006D5107">
        <w:rPr>
          <w:rFonts w:ascii="Baskerville Old Face" w:hAnsi="Baskerville Old Face"/>
          <w:sz w:val="24"/>
          <w:szCs w:val="24"/>
        </w:rPr>
        <w:t xml:space="preserve"> is </w:t>
      </w:r>
      <w:r w:rsidR="00DD2F85">
        <w:rPr>
          <w:rFonts w:ascii="Baskerville Old Face" w:hAnsi="Baskerville Old Face"/>
          <w:sz w:val="24"/>
          <w:szCs w:val="24"/>
        </w:rPr>
        <w:t>disseminated expertly.</w:t>
      </w:r>
    </w:p>
    <w:p w14:paraId="7C8ADD1F" w14:textId="77777777" w:rsidR="002206EE" w:rsidRDefault="002206EE" w:rsidP="00F57F87">
      <w:pPr>
        <w:spacing w:line="240" w:lineRule="auto"/>
        <w:jc w:val="both"/>
        <w:rPr>
          <w:rFonts w:ascii="Baskerville Old Face" w:hAnsi="Baskerville Old Face"/>
          <w:sz w:val="24"/>
          <w:szCs w:val="24"/>
        </w:rPr>
      </w:pPr>
    </w:p>
    <w:p w14:paraId="3D61CBF4" w14:textId="2CB70B2B" w:rsidR="002206EE" w:rsidRPr="002206EE" w:rsidRDefault="002206EE" w:rsidP="002206EE">
      <w:pPr>
        <w:spacing w:line="240" w:lineRule="auto"/>
        <w:jc w:val="center"/>
        <w:rPr>
          <w:rFonts w:ascii="Corbel" w:hAnsi="Corbel"/>
          <w:b/>
          <w:bCs/>
          <w:sz w:val="32"/>
          <w:szCs w:val="32"/>
        </w:rPr>
      </w:pPr>
      <w:r w:rsidRPr="002206EE">
        <w:rPr>
          <w:rFonts w:ascii="Corbel" w:hAnsi="Corbel"/>
          <w:b/>
          <w:bCs/>
          <w:sz w:val="32"/>
          <w:szCs w:val="32"/>
        </w:rPr>
        <w:t>BIBLIOGRAPHY</w:t>
      </w:r>
    </w:p>
    <w:p w14:paraId="17F22291" w14:textId="77777777" w:rsidR="0024294B" w:rsidRPr="001163DF" w:rsidRDefault="0024294B" w:rsidP="005972BB">
      <w:pPr>
        <w:jc w:val="both"/>
        <w:rPr>
          <w:rFonts w:ascii="Baskerville Old Face" w:hAnsi="Baskerville Old Face"/>
          <w:sz w:val="24"/>
          <w:szCs w:val="24"/>
        </w:rPr>
      </w:pPr>
    </w:p>
    <w:p w14:paraId="6BF1DCF1" w14:textId="57096869" w:rsidR="0045742D" w:rsidRDefault="002206EE" w:rsidP="002206EE">
      <w:pPr>
        <w:pStyle w:val="ListParagraph"/>
        <w:numPr>
          <w:ilvl w:val="0"/>
          <w:numId w:val="1"/>
        </w:numPr>
        <w:jc w:val="both"/>
        <w:rPr>
          <w:rFonts w:ascii="Baskerville Old Face" w:hAnsi="Baskerville Old Face"/>
          <w:sz w:val="24"/>
          <w:szCs w:val="24"/>
        </w:rPr>
      </w:pPr>
      <w:r w:rsidRPr="002206EE">
        <w:rPr>
          <w:rFonts w:ascii="Baskerville Old Face" w:hAnsi="Baskerville Old Face"/>
          <w:sz w:val="24"/>
          <w:szCs w:val="24"/>
        </w:rPr>
        <w:t xml:space="preserve">“Associate Prof Luci Attala Dip RN, BA (Hons), PG Cert, PhD (Exeter).” University of Wales Trinity Saint David, 5 Mar. 2024, </w:t>
      </w:r>
      <w:hyperlink r:id="rId8" w:history="1">
        <w:r w:rsidRPr="00774E05">
          <w:rPr>
            <w:rStyle w:val="Hyperlink"/>
            <w:rFonts w:ascii="Baskerville Old Face" w:hAnsi="Baskerville Old Face"/>
            <w:sz w:val="24"/>
            <w:szCs w:val="24"/>
          </w:rPr>
          <w:t>www.uwtsd.ac.uk/staff/luci-attala</w:t>
        </w:r>
      </w:hyperlink>
    </w:p>
    <w:p w14:paraId="2B099A78" w14:textId="321EC28E" w:rsidR="002206EE" w:rsidRDefault="00C52231" w:rsidP="002206EE">
      <w:pPr>
        <w:pStyle w:val="ListParagraph"/>
        <w:numPr>
          <w:ilvl w:val="0"/>
          <w:numId w:val="1"/>
        </w:numPr>
        <w:jc w:val="both"/>
        <w:rPr>
          <w:rFonts w:ascii="Baskerville Old Face" w:hAnsi="Baskerville Old Face"/>
          <w:sz w:val="24"/>
          <w:szCs w:val="24"/>
        </w:rPr>
      </w:pPr>
      <w:r w:rsidRPr="00C52231">
        <w:rPr>
          <w:rFonts w:ascii="Baskerville Old Face" w:hAnsi="Baskerville Old Face"/>
          <w:sz w:val="24"/>
          <w:szCs w:val="24"/>
        </w:rPr>
        <w:t>Pavid, Katie. “What Is the Anthropocene and Why Does It Matter?” Nhm.ac.uk, Natural History Museum, 2024</w:t>
      </w:r>
    </w:p>
    <w:p w14:paraId="541CFE07" w14:textId="310D3E68" w:rsidR="00C52231" w:rsidRPr="002206EE" w:rsidRDefault="00C52231" w:rsidP="002206EE">
      <w:pPr>
        <w:pStyle w:val="ListParagraph"/>
        <w:numPr>
          <w:ilvl w:val="0"/>
          <w:numId w:val="1"/>
        </w:numPr>
        <w:jc w:val="both"/>
        <w:rPr>
          <w:rFonts w:ascii="Baskerville Old Face" w:hAnsi="Baskerville Old Face"/>
          <w:sz w:val="24"/>
          <w:szCs w:val="24"/>
        </w:rPr>
      </w:pPr>
      <w:r w:rsidRPr="00C52231">
        <w:rPr>
          <w:rFonts w:ascii="Baskerville Old Face" w:hAnsi="Baskerville Old Face"/>
          <w:sz w:val="24"/>
          <w:szCs w:val="24"/>
        </w:rPr>
        <w:t xml:space="preserve">Attala, Luci, and Louise Steel. </w:t>
      </w:r>
      <w:r>
        <w:rPr>
          <w:rFonts w:ascii="Baskerville Old Face" w:hAnsi="Baskerville Old Face"/>
          <w:sz w:val="24"/>
          <w:szCs w:val="24"/>
        </w:rPr>
        <w:t>“</w:t>
      </w:r>
      <w:r w:rsidRPr="00C52231">
        <w:rPr>
          <w:rFonts w:ascii="Baskerville Old Face" w:hAnsi="Baskerville Old Face"/>
          <w:sz w:val="24"/>
          <w:szCs w:val="24"/>
        </w:rPr>
        <w:t>Body Matters</w:t>
      </w:r>
      <w:r>
        <w:rPr>
          <w:rFonts w:ascii="Baskerville Old Face" w:hAnsi="Baskerville Old Face"/>
          <w:sz w:val="24"/>
          <w:szCs w:val="24"/>
        </w:rPr>
        <w:t>”</w:t>
      </w:r>
      <w:r w:rsidRPr="00C52231">
        <w:rPr>
          <w:rFonts w:ascii="Baskerville Old Face" w:hAnsi="Baskerville Old Face"/>
          <w:sz w:val="24"/>
          <w:szCs w:val="24"/>
        </w:rPr>
        <w:t>. University of Wales Press, 2019.</w:t>
      </w:r>
    </w:p>
    <w:sectPr w:rsidR="00C52231" w:rsidRPr="002206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83CB68" w14:textId="77777777" w:rsidR="008A4383" w:rsidRDefault="008A4383" w:rsidP="006B4E42">
      <w:pPr>
        <w:spacing w:after="0" w:line="240" w:lineRule="auto"/>
      </w:pPr>
      <w:r>
        <w:separator/>
      </w:r>
    </w:p>
  </w:endnote>
  <w:endnote w:type="continuationSeparator" w:id="0">
    <w:p w14:paraId="16602383" w14:textId="77777777" w:rsidR="008A4383" w:rsidRDefault="008A4383" w:rsidP="006B4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Baskerville Old Face">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14DAF9" w14:textId="77777777" w:rsidR="008A4383" w:rsidRDefault="008A4383" w:rsidP="006B4E42">
      <w:pPr>
        <w:spacing w:after="0" w:line="240" w:lineRule="auto"/>
      </w:pPr>
      <w:r>
        <w:separator/>
      </w:r>
    </w:p>
  </w:footnote>
  <w:footnote w:type="continuationSeparator" w:id="0">
    <w:p w14:paraId="6B57DE61" w14:textId="77777777" w:rsidR="008A4383" w:rsidRDefault="008A4383" w:rsidP="006B4E42">
      <w:pPr>
        <w:spacing w:after="0" w:line="240" w:lineRule="auto"/>
      </w:pPr>
      <w:r>
        <w:continuationSeparator/>
      </w:r>
    </w:p>
  </w:footnote>
  <w:footnote w:id="1">
    <w:p w14:paraId="48E4FB35" w14:textId="70DE7980" w:rsidR="006B4E42" w:rsidRPr="00210587" w:rsidRDefault="006B4E42">
      <w:pPr>
        <w:pStyle w:val="FootnoteText"/>
        <w:rPr>
          <w:rFonts w:ascii="Baskerville Old Face" w:hAnsi="Baskerville Old Face"/>
        </w:rPr>
      </w:pPr>
      <w:r w:rsidRPr="00210587">
        <w:rPr>
          <w:rStyle w:val="FootnoteReference"/>
          <w:rFonts w:ascii="Baskerville Old Face" w:hAnsi="Baskerville Old Face"/>
        </w:rPr>
        <w:footnoteRef/>
      </w:r>
      <w:r w:rsidRPr="00210587">
        <w:rPr>
          <w:rFonts w:ascii="Baskerville Old Face" w:hAnsi="Baskerville Old Face"/>
        </w:rPr>
        <w:t xml:space="preserve"> </w:t>
      </w:r>
      <w:bookmarkStart w:id="0" w:name="_Hlk183111877"/>
      <w:r w:rsidR="00210587" w:rsidRPr="00210587">
        <w:rPr>
          <w:rFonts w:ascii="Baskerville Old Face" w:hAnsi="Baskerville Old Face"/>
        </w:rPr>
        <w:t>“Associate Prof Luci Attala Dip RN, BA (Hons), PG Cert, PhD (Exeter).” University of Wales Trinity Saint David, 5 Mar. 2024, www.uwtsd.ac.uk/staff/luci-attala</w:t>
      </w:r>
      <w:bookmarkEnd w:id="0"/>
    </w:p>
  </w:footnote>
  <w:footnote w:id="2">
    <w:p w14:paraId="520FBDAB" w14:textId="104D5210" w:rsidR="00E75467" w:rsidRPr="00E75467" w:rsidRDefault="00E75467">
      <w:pPr>
        <w:pStyle w:val="FootnoteText"/>
        <w:rPr>
          <w:rFonts w:ascii="Baskerville Old Face" w:hAnsi="Baskerville Old Face"/>
        </w:rPr>
      </w:pPr>
      <w:r w:rsidRPr="00E75467">
        <w:rPr>
          <w:rStyle w:val="FootnoteReference"/>
          <w:rFonts w:ascii="Baskerville Old Face" w:hAnsi="Baskerville Old Face"/>
        </w:rPr>
        <w:footnoteRef/>
      </w:r>
      <w:r w:rsidRPr="00E75467">
        <w:rPr>
          <w:rFonts w:ascii="Baskerville Old Face" w:hAnsi="Baskerville Old Face"/>
        </w:rPr>
        <w:t xml:space="preserve"> Pavid, Katie. “What Is the Anthropocene and Why Does It Matter?” Nhm.ac.uk, Natural History Museum, 2024</w:t>
      </w:r>
    </w:p>
  </w:footnote>
  <w:footnote w:id="3">
    <w:p w14:paraId="518B73FA" w14:textId="4EDDE64D" w:rsidR="001C7280" w:rsidRPr="001C7280" w:rsidRDefault="001C7280">
      <w:pPr>
        <w:pStyle w:val="FootnoteText"/>
        <w:rPr>
          <w:rFonts w:ascii="Baskerville Old Face" w:hAnsi="Baskerville Old Face"/>
        </w:rPr>
      </w:pPr>
      <w:r w:rsidRPr="001C7280">
        <w:rPr>
          <w:rStyle w:val="FootnoteReference"/>
          <w:rFonts w:ascii="Baskerville Old Face" w:hAnsi="Baskerville Old Face"/>
        </w:rPr>
        <w:footnoteRef/>
      </w:r>
      <w:r w:rsidRPr="001C7280">
        <w:rPr>
          <w:rFonts w:ascii="Baskerville Old Face" w:hAnsi="Baskerville Old Face"/>
        </w:rPr>
        <w:t xml:space="preserve"> ‘All fingers, no thumbs: the Materiality of a Medieval Relic’</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A23808"/>
    <w:multiLevelType w:val="hybridMultilevel"/>
    <w:tmpl w:val="A1801960"/>
    <w:lvl w:ilvl="0" w:tplc="D29415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827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78C"/>
    <w:rsid w:val="00022821"/>
    <w:rsid w:val="000305DF"/>
    <w:rsid w:val="00035AB1"/>
    <w:rsid w:val="000D178C"/>
    <w:rsid w:val="001163DF"/>
    <w:rsid w:val="00137EA4"/>
    <w:rsid w:val="001458FC"/>
    <w:rsid w:val="00192328"/>
    <w:rsid w:val="001A5F41"/>
    <w:rsid w:val="001B559B"/>
    <w:rsid w:val="001C7280"/>
    <w:rsid w:val="001D4025"/>
    <w:rsid w:val="00210587"/>
    <w:rsid w:val="002206EE"/>
    <w:rsid w:val="0024294B"/>
    <w:rsid w:val="002452BD"/>
    <w:rsid w:val="00252D57"/>
    <w:rsid w:val="002606CE"/>
    <w:rsid w:val="00265B08"/>
    <w:rsid w:val="002A61F0"/>
    <w:rsid w:val="002C5A29"/>
    <w:rsid w:val="00416841"/>
    <w:rsid w:val="0045742D"/>
    <w:rsid w:val="00472224"/>
    <w:rsid w:val="004915DA"/>
    <w:rsid w:val="004A758A"/>
    <w:rsid w:val="004D08E0"/>
    <w:rsid w:val="00572243"/>
    <w:rsid w:val="005972BB"/>
    <w:rsid w:val="005B3B88"/>
    <w:rsid w:val="005D3CE6"/>
    <w:rsid w:val="005E5B60"/>
    <w:rsid w:val="006419FE"/>
    <w:rsid w:val="00655F94"/>
    <w:rsid w:val="00673FC8"/>
    <w:rsid w:val="00674B66"/>
    <w:rsid w:val="006A3B88"/>
    <w:rsid w:val="006B3F0A"/>
    <w:rsid w:val="006B4E42"/>
    <w:rsid w:val="006D5107"/>
    <w:rsid w:val="006D55B7"/>
    <w:rsid w:val="006E7135"/>
    <w:rsid w:val="00727754"/>
    <w:rsid w:val="007351E6"/>
    <w:rsid w:val="00753148"/>
    <w:rsid w:val="007A07E7"/>
    <w:rsid w:val="007A3C21"/>
    <w:rsid w:val="007E747B"/>
    <w:rsid w:val="00803E22"/>
    <w:rsid w:val="008507E3"/>
    <w:rsid w:val="00851DB8"/>
    <w:rsid w:val="008907B8"/>
    <w:rsid w:val="008A4383"/>
    <w:rsid w:val="008B6694"/>
    <w:rsid w:val="00943F7E"/>
    <w:rsid w:val="00954403"/>
    <w:rsid w:val="00965A1E"/>
    <w:rsid w:val="009B5E1D"/>
    <w:rsid w:val="009C1142"/>
    <w:rsid w:val="009C6ED4"/>
    <w:rsid w:val="009D5A10"/>
    <w:rsid w:val="009E4652"/>
    <w:rsid w:val="00A12C12"/>
    <w:rsid w:val="00A14043"/>
    <w:rsid w:val="00A25DB0"/>
    <w:rsid w:val="00A72AF7"/>
    <w:rsid w:val="00AA47D8"/>
    <w:rsid w:val="00B22274"/>
    <w:rsid w:val="00B67751"/>
    <w:rsid w:val="00B70654"/>
    <w:rsid w:val="00B84E17"/>
    <w:rsid w:val="00BA7CA9"/>
    <w:rsid w:val="00BC7910"/>
    <w:rsid w:val="00BE18E7"/>
    <w:rsid w:val="00C4299F"/>
    <w:rsid w:val="00C52231"/>
    <w:rsid w:val="00C52F04"/>
    <w:rsid w:val="00CC2A6B"/>
    <w:rsid w:val="00CD5FF3"/>
    <w:rsid w:val="00CE33B0"/>
    <w:rsid w:val="00CF1945"/>
    <w:rsid w:val="00D044B7"/>
    <w:rsid w:val="00D21445"/>
    <w:rsid w:val="00D23129"/>
    <w:rsid w:val="00D34889"/>
    <w:rsid w:val="00DB4552"/>
    <w:rsid w:val="00DD2F85"/>
    <w:rsid w:val="00E75467"/>
    <w:rsid w:val="00E776CE"/>
    <w:rsid w:val="00EA66D0"/>
    <w:rsid w:val="00EE0392"/>
    <w:rsid w:val="00EE3B94"/>
    <w:rsid w:val="00F1423B"/>
    <w:rsid w:val="00F57F87"/>
    <w:rsid w:val="00F77EED"/>
    <w:rsid w:val="00FE3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0BC8E"/>
  <w15:chartTrackingRefBased/>
  <w15:docId w15:val="{626077CE-6A89-4794-9864-12C3FF60C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B4E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4E42"/>
    <w:rPr>
      <w:sz w:val="20"/>
      <w:szCs w:val="20"/>
    </w:rPr>
  </w:style>
  <w:style w:type="character" w:styleId="FootnoteReference">
    <w:name w:val="footnote reference"/>
    <w:basedOn w:val="DefaultParagraphFont"/>
    <w:uiPriority w:val="99"/>
    <w:semiHidden/>
    <w:unhideWhenUsed/>
    <w:rsid w:val="006B4E42"/>
    <w:rPr>
      <w:vertAlign w:val="superscript"/>
    </w:rPr>
  </w:style>
  <w:style w:type="paragraph" w:styleId="ListParagraph">
    <w:name w:val="List Paragraph"/>
    <w:basedOn w:val="Normal"/>
    <w:uiPriority w:val="34"/>
    <w:qFormat/>
    <w:rsid w:val="002206EE"/>
    <w:pPr>
      <w:ind w:left="720"/>
      <w:contextualSpacing/>
    </w:pPr>
  </w:style>
  <w:style w:type="character" w:styleId="Hyperlink">
    <w:name w:val="Hyperlink"/>
    <w:basedOn w:val="DefaultParagraphFont"/>
    <w:uiPriority w:val="99"/>
    <w:unhideWhenUsed/>
    <w:rsid w:val="002206EE"/>
    <w:rPr>
      <w:color w:val="0563C1" w:themeColor="hyperlink"/>
      <w:u w:val="single"/>
    </w:rPr>
  </w:style>
  <w:style w:type="character" w:styleId="UnresolvedMention">
    <w:name w:val="Unresolved Mention"/>
    <w:basedOn w:val="DefaultParagraphFont"/>
    <w:uiPriority w:val="99"/>
    <w:semiHidden/>
    <w:unhideWhenUsed/>
    <w:rsid w:val="002206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staff/luci-attal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3CCA3-CE28-45E4-A1FF-431BF1E43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4018</TotalTime>
  <Pages>4</Pages>
  <Words>2176</Words>
  <Characters>12405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24</cp:revision>
  <dcterms:created xsi:type="dcterms:W3CDTF">2024-11-13T13:16:00Z</dcterms:created>
  <dcterms:modified xsi:type="dcterms:W3CDTF">2024-11-21T20:10:00Z</dcterms:modified>
</cp:coreProperties>
</file>