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604389803"/>
        <w:docPartObj>
          <w:docPartGallery w:val="Cover Pages"/>
          <w:docPartUnique/>
        </w:docPartObj>
      </w:sdtPr>
      <w:sdtEndPr>
        <w:rPr>
          <w:color w:val="auto"/>
        </w:rPr>
      </w:sdtEndPr>
      <w:sdtContent>
        <w:p w14:paraId="7465761D" w14:textId="0009C625" w:rsidR="00A61BF6" w:rsidRDefault="00A61BF6">
          <w:pPr>
            <w:pStyle w:val="NoSpacing"/>
            <w:spacing w:before="1540" w:after="240"/>
            <w:jc w:val="center"/>
            <w:rPr>
              <w:color w:val="4472C4" w:themeColor="accent1"/>
            </w:rPr>
          </w:pPr>
          <w:r>
            <w:rPr>
              <w:noProof/>
              <w:color w:val="4472C4" w:themeColor="accent1"/>
            </w:rPr>
            <w:drawing>
              <wp:inline distT="0" distB="0" distL="0" distR="0" wp14:anchorId="3EB2ABA0" wp14:editId="676EECF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B94D933C2A2B34E924AF8ED2E7BA74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713B61" w14:textId="0D8CD2A5" w:rsidR="00A61BF6" w:rsidRDefault="009D44C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THE </w:t>
              </w:r>
              <w:r w:rsidR="00A61BF6">
                <w:rPr>
                  <w:rFonts w:asciiTheme="majorHAnsi" w:eastAsiaTheme="majorEastAsia" w:hAnsiTheme="majorHAnsi" w:cstheme="majorBidi"/>
                  <w:caps/>
                  <w:color w:val="4472C4" w:themeColor="accent1"/>
                  <w:sz w:val="72"/>
                  <w:szCs w:val="72"/>
                </w:rPr>
                <w:t>global business environment assessment 2</w:t>
              </w:r>
            </w:p>
          </w:sdtContent>
        </w:sdt>
        <w:sdt>
          <w:sdtPr>
            <w:rPr>
              <w:color w:val="4472C4" w:themeColor="accent1"/>
              <w:sz w:val="28"/>
              <w:szCs w:val="28"/>
            </w:rPr>
            <w:alias w:val="Subtitle"/>
            <w:tag w:val=""/>
            <w:id w:val="328029620"/>
            <w:placeholder>
              <w:docPart w:val="944AF8C3752ECA4CB6CB2AC48394DB2A"/>
            </w:placeholder>
            <w:dataBinding w:prefixMappings="xmlns:ns0='http://purl.org/dc/elements/1.1/' xmlns:ns1='http://schemas.openxmlformats.org/package/2006/metadata/core-properties' " w:xpath="/ns1:coreProperties[1]/ns0:subject[1]" w:storeItemID="{6C3C8BC8-F283-45AE-878A-BAB7291924A1}"/>
            <w:text/>
          </w:sdtPr>
          <w:sdtEndPr/>
          <w:sdtContent>
            <w:p w14:paraId="59FFFA63" w14:textId="7F650B72" w:rsidR="00A61BF6" w:rsidRDefault="009D44C5">
              <w:pPr>
                <w:pStyle w:val="NoSpacing"/>
                <w:jc w:val="center"/>
                <w:rPr>
                  <w:color w:val="4472C4" w:themeColor="accent1"/>
                  <w:sz w:val="28"/>
                  <w:szCs w:val="28"/>
                </w:rPr>
              </w:pPr>
              <w:r>
                <w:rPr>
                  <w:color w:val="4472C4" w:themeColor="accent1"/>
                  <w:sz w:val="28"/>
                  <w:szCs w:val="28"/>
                </w:rPr>
                <w:t>Module: LCBB4005</w:t>
              </w:r>
            </w:p>
          </w:sdtContent>
        </w:sdt>
        <w:p w14:paraId="4C35956F" w14:textId="77777777" w:rsidR="00A61BF6" w:rsidRDefault="00A61BF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585C9C0" wp14:editId="1899948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5FF8027" w14:textId="23CD72FC" w:rsidR="00A61BF6" w:rsidRPr="00A61BF6" w:rsidRDefault="00A61BF6">
                                    <w:pPr>
                                      <w:pStyle w:val="NoSpacing"/>
                                      <w:spacing w:after="40"/>
                                      <w:jc w:val="center"/>
                                      <w:rPr>
                                        <w:caps/>
                                        <w:color w:val="4472C4" w:themeColor="accent1"/>
                                        <w:sz w:val="32"/>
                                        <w:szCs w:val="32"/>
                                      </w:rPr>
                                    </w:pPr>
                                    <w:r w:rsidRPr="00A61BF6">
                                      <w:rPr>
                                        <w:caps/>
                                        <w:color w:val="4472C4" w:themeColor="accent1"/>
                                        <w:sz w:val="32"/>
                                        <w:szCs w:val="32"/>
                                      </w:rPr>
                                      <w:t>student id:</w:t>
                                    </w:r>
                                    <w:r w:rsidR="009D44C5">
                                      <w:rPr>
                                        <w:caps/>
                                        <w:color w:val="4472C4" w:themeColor="accent1"/>
                                        <w:sz w:val="32"/>
                                        <w:szCs w:val="32"/>
                                      </w:rPr>
                                      <w:t xml:space="preserve"> 2028270</w:t>
                                    </w:r>
                                  </w:p>
                                </w:sdtContent>
                              </w:sdt>
                              <w:p w14:paraId="18324F88" w14:textId="44C9B9B2" w:rsidR="00A61BF6" w:rsidRPr="00A61BF6" w:rsidRDefault="00841BB4" w:rsidP="00A61BF6">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61BF6" w:rsidRPr="00A61BF6">
                                      <w:rPr>
                                        <w:caps/>
                                        <w:color w:val="4472C4" w:themeColor="accent1"/>
                                        <w:sz w:val="24"/>
                                        <w:szCs w:val="24"/>
                                      </w:rPr>
                                      <w:t>student name:</w:t>
                                    </w:r>
                                  </w:sdtContent>
                                </w:sdt>
                                <w:r w:rsidR="009D44C5">
                                  <w:rPr>
                                    <w:caps/>
                                    <w:color w:val="4472C4" w:themeColor="accent1"/>
                                    <w:sz w:val="24"/>
                                    <w:szCs w:val="24"/>
                                  </w:rPr>
                                  <w:t xml:space="preserve"> Nevyan Gospodinov</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85C9C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5FF8027" w14:textId="23CD72FC" w:rsidR="00A61BF6" w:rsidRPr="00A61BF6" w:rsidRDefault="00A61BF6">
                              <w:pPr>
                                <w:pStyle w:val="NoSpacing"/>
                                <w:spacing w:after="40"/>
                                <w:jc w:val="center"/>
                                <w:rPr>
                                  <w:caps/>
                                  <w:color w:val="4472C4" w:themeColor="accent1"/>
                                  <w:sz w:val="32"/>
                                  <w:szCs w:val="32"/>
                                </w:rPr>
                              </w:pPr>
                              <w:r w:rsidRPr="00A61BF6">
                                <w:rPr>
                                  <w:caps/>
                                  <w:color w:val="4472C4" w:themeColor="accent1"/>
                                  <w:sz w:val="32"/>
                                  <w:szCs w:val="32"/>
                                </w:rPr>
                                <w:t>student id:</w:t>
                              </w:r>
                              <w:r w:rsidR="009D44C5">
                                <w:rPr>
                                  <w:caps/>
                                  <w:color w:val="4472C4" w:themeColor="accent1"/>
                                  <w:sz w:val="32"/>
                                  <w:szCs w:val="32"/>
                                </w:rPr>
                                <w:t xml:space="preserve"> 2028270</w:t>
                              </w:r>
                            </w:p>
                          </w:sdtContent>
                        </w:sdt>
                        <w:p w14:paraId="18324F88" w14:textId="44C9B9B2" w:rsidR="00A61BF6" w:rsidRPr="00A61BF6" w:rsidRDefault="00841BB4" w:rsidP="00A61BF6">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61BF6" w:rsidRPr="00A61BF6">
                                <w:rPr>
                                  <w:caps/>
                                  <w:color w:val="4472C4" w:themeColor="accent1"/>
                                  <w:sz w:val="24"/>
                                  <w:szCs w:val="24"/>
                                </w:rPr>
                                <w:t>student name:</w:t>
                              </w:r>
                            </w:sdtContent>
                          </w:sdt>
                          <w:r w:rsidR="009D44C5">
                            <w:rPr>
                              <w:caps/>
                              <w:color w:val="4472C4" w:themeColor="accent1"/>
                              <w:sz w:val="24"/>
                              <w:szCs w:val="24"/>
                            </w:rPr>
                            <w:t xml:space="preserve"> Nevyan Gospodinov</w:t>
                          </w:r>
                        </w:p>
                      </w:txbxContent>
                    </v:textbox>
                    <w10:wrap anchorx="margin" anchory="page"/>
                  </v:shape>
                </w:pict>
              </mc:Fallback>
            </mc:AlternateContent>
          </w:r>
          <w:r>
            <w:rPr>
              <w:noProof/>
              <w:color w:val="4472C4" w:themeColor="accent1"/>
            </w:rPr>
            <w:drawing>
              <wp:inline distT="0" distB="0" distL="0" distR="0" wp14:anchorId="56E4E234" wp14:editId="25C6BDD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6EF9FA" w14:textId="407E5411" w:rsidR="00A61BF6" w:rsidRDefault="00A61BF6">
          <w:pPr>
            <w:spacing w:after="0" w:line="240" w:lineRule="auto"/>
          </w:pPr>
          <w:r>
            <w:br w:type="page"/>
          </w:r>
        </w:p>
      </w:sdtContent>
    </w:sdt>
    <w:sdt>
      <w:sdtPr>
        <w:rPr>
          <w:rFonts w:ascii="Arial" w:eastAsiaTheme="minorHAnsi" w:hAnsi="Arial" w:cstheme="minorBidi"/>
          <w:b w:val="0"/>
          <w:bCs w:val="0"/>
          <w:color w:val="auto"/>
          <w:sz w:val="24"/>
          <w:szCs w:val="22"/>
          <w:lang w:val="en-GB"/>
        </w:rPr>
        <w:id w:val="-1689600894"/>
        <w:docPartObj>
          <w:docPartGallery w:val="Table of Contents"/>
          <w:docPartUnique/>
        </w:docPartObj>
      </w:sdtPr>
      <w:sdtEndPr>
        <w:rPr>
          <w:noProof/>
        </w:rPr>
      </w:sdtEndPr>
      <w:sdtContent>
        <w:p w14:paraId="650225D7" w14:textId="3EE0B5A6" w:rsidR="00926ADC" w:rsidRPr="00926ADC" w:rsidRDefault="00926ADC" w:rsidP="00926ADC">
          <w:pPr>
            <w:pStyle w:val="TOCHeading"/>
            <w:jc w:val="center"/>
            <w:rPr>
              <w:sz w:val="36"/>
              <w:szCs w:val="36"/>
            </w:rPr>
          </w:pPr>
          <w:r w:rsidRPr="00926ADC">
            <w:rPr>
              <w:sz w:val="36"/>
              <w:szCs w:val="36"/>
            </w:rPr>
            <w:t>Table of Contents</w:t>
          </w:r>
        </w:p>
        <w:p w14:paraId="03712BED" w14:textId="2FA4415D" w:rsidR="00926ADC" w:rsidRPr="00926ADC" w:rsidRDefault="00926ADC" w:rsidP="00926ADC">
          <w:pPr>
            <w:pStyle w:val="TOC1"/>
            <w:tabs>
              <w:tab w:val="right" w:leader="dot" w:pos="9016"/>
            </w:tabs>
            <w:jc w:val="center"/>
            <w:rPr>
              <w:b w:val="0"/>
              <w:bCs w:val="0"/>
              <w:i w:val="0"/>
              <w:iCs w:val="0"/>
              <w:noProof/>
            </w:rPr>
          </w:pPr>
          <w:r w:rsidRPr="00926ADC">
            <w:rPr>
              <w:b w:val="0"/>
              <w:bCs w:val="0"/>
              <w:i w:val="0"/>
              <w:iCs w:val="0"/>
            </w:rPr>
            <w:fldChar w:fldCharType="begin"/>
          </w:r>
          <w:r w:rsidRPr="00926ADC">
            <w:rPr>
              <w:b w:val="0"/>
              <w:bCs w:val="0"/>
              <w:i w:val="0"/>
              <w:iCs w:val="0"/>
            </w:rPr>
            <w:instrText xml:space="preserve"> TOC \o "1-3" \h \z \u </w:instrText>
          </w:r>
          <w:r w:rsidRPr="00926ADC">
            <w:rPr>
              <w:b w:val="0"/>
              <w:bCs w:val="0"/>
              <w:i w:val="0"/>
              <w:iCs w:val="0"/>
            </w:rPr>
            <w:fldChar w:fldCharType="separate"/>
          </w:r>
          <w:hyperlink w:anchor="_Toc93069781" w:history="1">
            <w:r w:rsidRPr="00926ADC">
              <w:rPr>
                <w:rStyle w:val="Hyperlink"/>
                <w:b w:val="0"/>
                <w:bCs w:val="0"/>
                <w:i w:val="0"/>
                <w:iCs w:val="0"/>
                <w:noProof/>
              </w:rPr>
              <w:t>Introduction</w:t>
            </w:r>
            <w:r w:rsidRPr="00926ADC">
              <w:rPr>
                <w:b w:val="0"/>
                <w:bCs w:val="0"/>
                <w:i w:val="0"/>
                <w:iCs w:val="0"/>
                <w:noProof/>
                <w:webHidden/>
              </w:rPr>
              <w:tab/>
            </w:r>
            <w:r w:rsidRPr="00926ADC">
              <w:rPr>
                <w:b w:val="0"/>
                <w:bCs w:val="0"/>
                <w:i w:val="0"/>
                <w:iCs w:val="0"/>
                <w:noProof/>
                <w:webHidden/>
              </w:rPr>
              <w:fldChar w:fldCharType="begin"/>
            </w:r>
            <w:r w:rsidRPr="00926ADC">
              <w:rPr>
                <w:b w:val="0"/>
                <w:bCs w:val="0"/>
                <w:i w:val="0"/>
                <w:iCs w:val="0"/>
                <w:noProof/>
                <w:webHidden/>
              </w:rPr>
              <w:instrText xml:space="preserve"> PAGEREF _Toc93069781 \h </w:instrText>
            </w:r>
            <w:r w:rsidRPr="00926ADC">
              <w:rPr>
                <w:b w:val="0"/>
                <w:bCs w:val="0"/>
                <w:i w:val="0"/>
                <w:iCs w:val="0"/>
                <w:noProof/>
                <w:webHidden/>
              </w:rPr>
            </w:r>
            <w:r w:rsidRPr="00926ADC">
              <w:rPr>
                <w:b w:val="0"/>
                <w:bCs w:val="0"/>
                <w:i w:val="0"/>
                <w:iCs w:val="0"/>
                <w:noProof/>
                <w:webHidden/>
              </w:rPr>
              <w:fldChar w:fldCharType="separate"/>
            </w:r>
            <w:r w:rsidRPr="00926ADC">
              <w:rPr>
                <w:b w:val="0"/>
                <w:bCs w:val="0"/>
                <w:i w:val="0"/>
                <w:iCs w:val="0"/>
                <w:noProof/>
                <w:webHidden/>
              </w:rPr>
              <w:t>2</w:t>
            </w:r>
            <w:r w:rsidRPr="00926ADC">
              <w:rPr>
                <w:b w:val="0"/>
                <w:bCs w:val="0"/>
                <w:i w:val="0"/>
                <w:iCs w:val="0"/>
                <w:noProof/>
                <w:webHidden/>
              </w:rPr>
              <w:fldChar w:fldCharType="end"/>
            </w:r>
          </w:hyperlink>
        </w:p>
        <w:p w14:paraId="27AED3E1" w14:textId="2EB605A8" w:rsidR="00926ADC" w:rsidRPr="00926ADC" w:rsidRDefault="00841BB4" w:rsidP="00926ADC">
          <w:pPr>
            <w:pStyle w:val="TOC1"/>
            <w:tabs>
              <w:tab w:val="right" w:leader="dot" w:pos="9016"/>
            </w:tabs>
            <w:jc w:val="center"/>
            <w:rPr>
              <w:b w:val="0"/>
              <w:bCs w:val="0"/>
              <w:i w:val="0"/>
              <w:iCs w:val="0"/>
              <w:noProof/>
            </w:rPr>
          </w:pPr>
          <w:hyperlink w:anchor="_Toc93069782" w:history="1">
            <w:r w:rsidR="00926ADC" w:rsidRPr="00926ADC">
              <w:rPr>
                <w:rStyle w:val="Hyperlink"/>
                <w:b w:val="0"/>
                <w:bCs w:val="0"/>
                <w:i w:val="0"/>
                <w:iCs w:val="0"/>
                <w:noProof/>
              </w:rPr>
              <w:t>Analysis</w:t>
            </w:r>
            <w:r w:rsidR="00926ADC" w:rsidRPr="00926ADC">
              <w:rPr>
                <w:b w:val="0"/>
                <w:bCs w:val="0"/>
                <w:i w:val="0"/>
                <w:iCs w:val="0"/>
                <w:noProof/>
                <w:webHidden/>
              </w:rPr>
              <w:tab/>
            </w:r>
            <w:r w:rsidR="00926ADC" w:rsidRPr="00926ADC">
              <w:rPr>
                <w:b w:val="0"/>
                <w:bCs w:val="0"/>
                <w:i w:val="0"/>
                <w:iCs w:val="0"/>
                <w:noProof/>
                <w:webHidden/>
              </w:rPr>
              <w:fldChar w:fldCharType="begin"/>
            </w:r>
            <w:r w:rsidR="00926ADC" w:rsidRPr="00926ADC">
              <w:rPr>
                <w:b w:val="0"/>
                <w:bCs w:val="0"/>
                <w:i w:val="0"/>
                <w:iCs w:val="0"/>
                <w:noProof/>
                <w:webHidden/>
              </w:rPr>
              <w:instrText xml:space="preserve"> PAGEREF _Toc93069782 \h </w:instrText>
            </w:r>
            <w:r w:rsidR="00926ADC" w:rsidRPr="00926ADC">
              <w:rPr>
                <w:b w:val="0"/>
                <w:bCs w:val="0"/>
                <w:i w:val="0"/>
                <w:iCs w:val="0"/>
                <w:noProof/>
                <w:webHidden/>
              </w:rPr>
            </w:r>
            <w:r w:rsidR="00926ADC" w:rsidRPr="00926ADC">
              <w:rPr>
                <w:b w:val="0"/>
                <w:bCs w:val="0"/>
                <w:i w:val="0"/>
                <w:iCs w:val="0"/>
                <w:noProof/>
                <w:webHidden/>
              </w:rPr>
              <w:fldChar w:fldCharType="separate"/>
            </w:r>
            <w:r w:rsidR="00926ADC" w:rsidRPr="00926ADC">
              <w:rPr>
                <w:b w:val="0"/>
                <w:bCs w:val="0"/>
                <w:i w:val="0"/>
                <w:iCs w:val="0"/>
                <w:noProof/>
                <w:webHidden/>
              </w:rPr>
              <w:t>2</w:t>
            </w:r>
            <w:r w:rsidR="00926ADC" w:rsidRPr="00926ADC">
              <w:rPr>
                <w:b w:val="0"/>
                <w:bCs w:val="0"/>
                <w:i w:val="0"/>
                <w:iCs w:val="0"/>
                <w:noProof/>
                <w:webHidden/>
              </w:rPr>
              <w:fldChar w:fldCharType="end"/>
            </w:r>
          </w:hyperlink>
        </w:p>
        <w:p w14:paraId="79031BBA" w14:textId="5286A57B" w:rsidR="00926ADC" w:rsidRPr="00926ADC" w:rsidRDefault="00841BB4" w:rsidP="00926ADC">
          <w:pPr>
            <w:pStyle w:val="TOC1"/>
            <w:tabs>
              <w:tab w:val="right" w:leader="dot" w:pos="9016"/>
            </w:tabs>
            <w:jc w:val="center"/>
            <w:rPr>
              <w:b w:val="0"/>
              <w:bCs w:val="0"/>
              <w:i w:val="0"/>
              <w:iCs w:val="0"/>
              <w:noProof/>
            </w:rPr>
          </w:pPr>
          <w:hyperlink w:anchor="_Toc93069783" w:history="1">
            <w:r w:rsidR="00926ADC" w:rsidRPr="00926ADC">
              <w:rPr>
                <w:rStyle w:val="Hyperlink"/>
                <w:b w:val="0"/>
                <w:bCs w:val="0"/>
                <w:i w:val="0"/>
                <w:iCs w:val="0"/>
                <w:noProof/>
              </w:rPr>
              <w:t>Evaluation</w:t>
            </w:r>
            <w:r w:rsidR="00926ADC" w:rsidRPr="00926ADC">
              <w:rPr>
                <w:b w:val="0"/>
                <w:bCs w:val="0"/>
                <w:i w:val="0"/>
                <w:iCs w:val="0"/>
                <w:noProof/>
                <w:webHidden/>
              </w:rPr>
              <w:tab/>
            </w:r>
            <w:r w:rsidR="00926ADC" w:rsidRPr="00926ADC">
              <w:rPr>
                <w:b w:val="0"/>
                <w:bCs w:val="0"/>
                <w:i w:val="0"/>
                <w:iCs w:val="0"/>
                <w:noProof/>
                <w:webHidden/>
              </w:rPr>
              <w:fldChar w:fldCharType="begin"/>
            </w:r>
            <w:r w:rsidR="00926ADC" w:rsidRPr="00926ADC">
              <w:rPr>
                <w:b w:val="0"/>
                <w:bCs w:val="0"/>
                <w:i w:val="0"/>
                <w:iCs w:val="0"/>
                <w:noProof/>
                <w:webHidden/>
              </w:rPr>
              <w:instrText xml:space="preserve"> PAGEREF _Toc93069783 \h </w:instrText>
            </w:r>
            <w:r w:rsidR="00926ADC" w:rsidRPr="00926ADC">
              <w:rPr>
                <w:b w:val="0"/>
                <w:bCs w:val="0"/>
                <w:i w:val="0"/>
                <w:iCs w:val="0"/>
                <w:noProof/>
                <w:webHidden/>
              </w:rPr>
            </w:r>
            <w:r w:rsidR="00926ADC" w:rsidRPr="00926ADC">
              <w:rPr>
                <w:b w:val="0"/>
                <w:bCs w:val="0"/>
                <w:i w:val="0"/>
                <w:iCs w:val="0"/>
                <w:noProof/>
                <w:webHidden/>
              </w:rPr>
              <w:fldChar w:fldCharType="separate"/>
            </w:r>
            <w:r w:rsidR="00926ADC" w:rsidRPr="00926ADC">
              <w:rPr>
                <w:b w:val="0"/>
                <w:bCs w:val="0"/>
                <w:i w:val="0"/>
                <w:iCs w:val="0"/>
                <w:noProof/>
                <w:webHidden/>
              </w:rPr>
              <w:t>4</w:t>
            </w:r>
            <w:r w:rsidR="00926ADC" w:rsidRPr="00926ADC">
              <w:rPr>
                <w:b w:val="0"/>
                <w:bCs w:val="0"/>
                <w:i w:val="0"/>
                <w:iCs w:val="0"/>
                <w:noProof/>
                <w:webHidden/>
              </w:rPr>
              <w:fldChar w:fldCharType="end"/>
            </w:r>
          </w:hyperlink>
        </w:p>
        <w:p w14:paraId="074BA93B" w14:textId="71D93393" w:rsidR="00926ADC" w:rsidRPr="00926ADC" w:rsidRDefault="00841BB4" w:rsidP="00926ADC">
          <w:pPr>
            <w:pStyle w:val="TOC1"/>
            <w:tabs>
              <w:tab w:val="right" w:leader="dot" w:pos="9016"/>
            </w:tabs>
            <w:jc w:val="center"/>
            <w:rPr>
              <w:b w:val="0"/>
              <w:bCs w:val="0"/>
              <w:i w:val="0"/>
              <w:iCs w:val="0"/>
              <w:noProof/>
            </w:rPr>
          </w:pPr>
          <w:hyperlink w:anchor="_Toc93069784" w:history="1">
            <w:r w:rsidR="00926ADC" w:rsidRPr="00926ADC">
              <w:rPr>
                <w:rStyle w:val="Hyperlink"/>
                <w:b w:val="0"/>
                <w:bCs w:val="0"/>
                <w:i w:val="0"/>
                <w:iCs w:val="0"/>
                <w:noProof/>
              </w:rPr>
              <w:t>Recommendations and Conclusion</w:t>
            </w:r>
            <w:r w:rsidR="00926ADC" w:rsidRPr="00926ADC">
              <w:rPr>
                <w:b w:val="0"/>
                <w:bCs w:val="0"/>
                <w:i w:val="0"/>
                <w:iCs w:val="0"/>
                <w:noProof/>
                <w:webHidden/>
              </w:rPr>
              <w:tab/>
            </w:r>
            <w:r w:rsidR="00926ADC" w:rsidRPr="00926ADC">
              <w:rPr>
                <w:b w:val="0"/>
                <w:bCs w:val="0"/>
                <w:i w:val="0"/>
                <w:iCs w:val="0"/>
                <w:noProof/>
                <w:webHidden/>
              </w:rPr>
              <w:fldChar w:fldCharType="begin"/>
            </w:r>
            <w:r w:rsidR="00926ADC" w:rsidRPr="00926ADC">
              <w:rPr>
                <w:b w:val="0"/>
                <w:bCs w:val="0"/>
                <w:i w:val="0"/>
                <w:iCs w:val="0"/>
                <w:noProof/>
                <w:webHidden/>
              </w:rPr>
              <w:instrText xml:space="preserve"> PAGEREF _Toc93069784 \h </w:instrText>
            </w:r>
            <w:r w:rsidR="00926ADC" w:rsidRPr="00926ADC">
              <w:rPr>
                <w:b w:val="0"/>
                <w:bCs w:val="0"/>
                <w:i w:val="0"/>
                <w:iCs w:val="0"/>
                <w:noProof/>
                <w:webHidden/>
              </w:rPr>
            </w:r>
            <w:r w:rsidR="00926ADC" w:rsidRPr="00926ADC">
              <w:rPr>
                <w:b w:val="0"/>
                <w:bCs w:val="0"/>
                <w:i w:val="0"/>
                <w:iCs w:val="0"/>
                <w:noProof/>
                <w:webHidden/>
              </w:rPr>
              <w:fldChar w:fldCharType="separate"/>
            </w:r>
            <w:r w:rsidR="00926ADC" w:rsidRPr="00926ADC">
              <w:rPr>
                <w:b w:val="0"/>
                <w:bCs w:val="0"/>
                <w:i w:val="0"/>
                <w:iCs w:val="0"/>
                <w:noProof/>
                <w:webHidden/>
              </w:rPr>
              <w:t>5</w:t>
            </w:r>
            <w:r w:rsidR="00926ADC" w:rsidRPr="00926ADC">
              <w:rPr>
                <w:b w:val="0"/>
                <w:bCs w:val="0"/>
                <w:i w:val="0"/>
                <w:iCs w:val="0"/>
                <w:noProof/>
                <w:webHidden/>
              </w:rPr>
              <w:fldChar w:fldCharType="end"/>
            </w:r>
          </w:hyperlink>
        </w:p>
        <w:p w14:paraId="7CA7FD3E" w14:textId="77B9C22D" w:rsidR="00926ADC" w:rsidRPr="00926ADC" w:rsidRDefault="00841BB4" w:rsidP="00926ADC">
          <w:pPr>
            <w:pStyle w:val="TOC1"/>
            <w:tabs>
              <w:tab w:val="right" w:leader="dot" w:pos="9016"/>
            </w:tabs>
            <w:jc w:val="center"/>
            <w:rPr>
              <w:b w:val="0"/>
              <w:bCs w:val="0"/>
              <w:i w:val="0"/>
              <w:iCs w:val="0"/>
              <w:noProof/>
            </w:rPr>
          </w:pPr>
          <w:hyperlink w:anchor="_Toc93069785" w:history="1">
            <w:r w:rsidR="00926ADC" w:rsidRPr="00926ADC">
              <w:rPr>
                <w:rStyle w:val="Hyperlink"/>
                <w:b w:val="0"/>
                <w:bCs w:val="0"/>
                <w:i w:val="0"/>
                <w:iCs w:val="0"/>
                <w:noProof/>
              </w:rPr>
              <w:t>References</w:t>
            </w:r>
            <w:r w:rsidR="00926ADC" w:rsidRPr="00926ADC">
              <w:rPr>
                <w:b w:val="0"/>
                <w:bCs w:val="0"/>
                <w:i w:val="0"/>
                <w:iCs w:val="0"/>
                <w:noProof/>
                <w:webHidden/>
              </w:rPr>
              <w:tab/>
            </w:r>
            <w:r w:rsidR="00926ADC" w:rsidRPr="00926ADC">
              <w:rPr>
                <w:b w:val="0"/>
                <w:bCs w:val="0"/>
                <w:i w:val="0"/>
                <w:iCs w:val="0"/>
                <w:noProof/>
                <w:webHidden/>
              </w:rPr>
              <w:fldChar w:fldCharType="begin"/>
            </w:r>
            <w:r w:rsidR="00926ADC" w:rsidRPr="00926ADC">
              <w:rPr>
                <w:b w:val="0"/>
                <w:bCs w:val="0"/>
                <w:i w:val="0"/>
                <w:iCs w:val="0"/>
                <w:noProof/>
                <w:webHidden/>
              </w:rPr>
              <w:instrText xml:space="preserve"> PAGEREF _Toc93069785 \h </w:instrText>
            </w:r>
            <w:r w:rsidR="00926ADC" w:rsidRPr="00926ADC">
              <w:rPr>
                <w:b w:val="0"/>
                <w:bCs w:val="0"/>
                <w:i w:val="0"/>
                <w:iCs w:val="0"/>
                <w:noProof/>
                <w:webHidden/>
              </w:rPr>
            </w:r>
            <w:r w:rsidR="00926ADC" w:rsidRPr="00926ADC">
              <w:rPr>
                <w:b w:val="0"/>
                <w:bCs w:val="0"/>
                <w:i w:val="0"/>
                <w:iCs w:val="0"/>
                <w:noProof/>
                <w:webHidden/>
              </w:rPr>
              <w:fldChar w:fldCharType="separate"/>
            </w:r>
            <w:r w:rsidR="00926ADC" w:rsidRPr="00926ADC">
              <w:rPr>
                <w:b w:val="0"/>
                <w:bCs w:val="0"/>
                <w:i w:val="0"/>
                <w:iCs w:val="0"/>
                <w:noProof/>
                <w:webHidden/>
              </w:rPr>
              <w:t>7</w:t>
            </w:r>
            <w:r w:rsidR="00926ADC" w:rsidRPr="00926ADC">
              <w:rPr>
                <w:b w:val="0"/>
                <w:bCs w:val="0"/>
                <w:i w:val="0"/>
                <w:iCs w:val="0"/>
                <w:noProof/>
                <w:webHidden/>
              </w:rPr>
              <w:fldChar w:fldCharType="end"/>
            </w:r>
          </w:hyperlink>
        </w:p>
        <w:p w14:paraId="1E72905C" w14:textId="2C5B1FD3" w:rsidR="00926ADC" w:rsidRPr="00926ADC" w:rsidRDefault="00926ADC" w:rsidP="00926ADC">
          <w:pPr>
            <w:jc w:val="center"/>
          </w:pPr>
          <w:r w:rsidRPr="00926ADC">
            <w:rPr>
              <w:noProof/>
            </w:rPr>
            <w:fldChar w:fldCharType="end"/>
          </w:r>
        </w:p>
      </w:sdtContent>
    </w:sdt>
    <w:p w14:paraId="312D2B20" w14:textId="77777777" w:rsidR="00A61BF6" w:rsidRPr="00926ADC" w:rsidRDefault="00A61BF6" w:rsidP="00926ADC">
      <w:pPr>
        <w:jc w:val="center"/>
      </w:pPr>
    </w:p>
    <w:p w14:paraId="771C7CEF" w14:textId="1AF1D77C" w:rsidR="00A61BF6" w:rsidRPr="00926ADC" w:rsidRDefault="00A61BF6" w:rsidP="00926ADC">
      <w:pPr>
        <w:jc w:val="center"/>
      </w:pPr>
    </w:p>
    <w:p w14:paraId="4AE470DC" w14:textId="38CA8655" w:rsidR="00A61BF6" w:rsidRDefault="00A61BF6" w:rsidP="000B0AE8"/>
    <w:p w14:paraId="4C903F9F" w14:textId="54E5A14F" w:rsidR="00A61BF6" w:rsidRDefault="00A61BF6" w:rsidP="000B0AE8"/>
    <w:p w14:paraId="086A38C8" w14:textId="6E110567" w:rsidR="00A61BF6" w:rsidRDefault="00A61BF6" w:rsidP="000B0AE8"/>
    <w:p w14:paraId="1E093BD4" w14:textId="6348EDC9" w:rsidR="00A61BF6" w:rsidRDefault="00A61BF6" w:rsidP="000B0AE8"/>
    <w:p w14:paraId="7FD71394" w14:textId="7917139E" w:rsidR="00A61BF6" w:rsidRDefault="00A61BF6" w:rsidP="000B0AE8"/>
    <w:p w14:paraId="0558822C" w14:textId="2F868982" w:rsidR="00A61BF6" w:rsidRDefault="00A61BF6" w:rsidP="000B0AE8"/>
    <w:p w14:paraId="57560A8E" w14:textId="1ADFCA9F" w:rsidR="00A61BF6" w:rsidRDefault="00A61BF6" w:rsidP="000B0AE8"/>
    <w:p w14:paraId="166CF1DB" w14:textId="6C872BF5" w:rsidR="00A61BF6" w:rsidRDefault="00A61BF6" w:rsidP="000B0AE8"/>
    <w:p w14:paraId="18AE4833" w14:textId="7114791B" w:rsidR="00A61BF6" w:rsidRDefault="00A61BF6" w:rsidP="000B0AE8"/>
    <w:p w14:paraId="397703EF" w14:textId="25DEBCDF" w:rsidR="00A61BF6" w:rsidRDefault="00A61BF6" w:rsidP="000B0AE8"/>
    <w:p w14:paraId="6D0070B4" w14:textId="44F0A459" w:rsidR="00A61BF6" w:rsidRDefault="00A61BF6" w:rsidP="000B0AE8"/>
    <w:p w14:paraId="5EDDC704" w14:textId="7D28D8BD" w:rsidR="00A61BF6" w:rsidRDefault="00A61BF6" w:rsidP="000B0AE8"/>
    <w:p w14:paraId="230FC745" w14:textId="2F5C583E" w:rsidR="00A61BF6" w:rsidRDefault="00A61BF6" w:rsidP="000B0AE8"/>
    <w:p w14:paraId="04B20284" w14:textId="3C173A13" w:rsidR="00A61BF6" w:rsidRDefault="00A61BF6" w:rsidP="000B0AE8"/>
    <w:p w14:paraId="621BC69D" w14:textId="5E9F5B76" w:rsidR="00A61BF6" w:rsidRDefault="00A61BF6" w:rsidP="000B0AE8"/>
    <w:p w14:paraId="2284A352" w14:textId="557A5861" w:rsidR="00A61BF6" w:rsidRDefault="00A61BF6" w:rsidP="000B0AE8"/>
    <w:p w14:paraId="7922F0B7" w14:textId="4C799A49" w:rsidR="00A61BF6" w:rsidRDefault="00A61BF6" w:rsidP="000B0AE8"/>
    <w:p w14:paraId="7020BB75" w14:textId="32C468A6" w:rsidR="00A61BF6" w:rsidRDefault="00A61BF6" w:rsidP="000B0AE8"/>
    <w:p w14:paraId="33EF6692" w14:textId="13A89CAE" w:rsidR="00A61BF6" w:rsidRDefault="00A61BF6" w:rsidP="00A61BF6">
      <w:pPr>
        <w:pStyle w:val="Heading1"/>
      </w:pPr>
      <w:bookmarkStart w:id="0" w:name="_Toc93069781"/>
      <w:r>
        <w:lastRenderedPageBreak/>
        <w:t>Introduction</w:t>
      </w:r>
      <w:bookmarkEnd w:id="0"/>
    </w:p>
    <w:p w14:paraId="52B6C462" w14:textId="0D91596C" w:rsidR="000B0AE8" w:rsidRDefault="00A61BF6" w:rsidP="000B0AE8">
      <w:r w:rsidRPr="00A61BF6">
        <w:t>The coronavirus pandemic has exposed the entire automotive industry to remarkable shock. In Europe, the implementation of regulatory measures has led to the creation and solicitation of disruptions by car manufacturers and their rental subcontractors. In mid-2020, the sudden halt to creation spread through the business, effectively closing the entire inventory network</w:t>
      </w:r>
      <w:r w:rsidR="001F3E20" w:rsidRPr="001F3E20">
        <w:t xml:space="preserve"> (Manufacturing and service supply chain resilience to the COVID-19 outbreak: Lessons learned from the automobile and airline industries, 2020)</w:t>
      </w:r>
      <w:r w:rsidRPr="00A61BF6">
        <w:t>. Raising the constraints of alternative speed between districts and nations has led to shortages of inputs in the region's complex value chains. At the same time and even more diligently, the shock of interest especially reduced the creation in all construction agents. Moreover, recently the main component affecting the automotive zone is the constant negative interest rate shock. The late blockages in the light of the resumption of the infection have not led to supply disruptions so far.</w:t>
      </w:r>
    </w:p>
    <w:p w14:paraId="65D91D8D" w14:textId="3664CC2A" w:rsidR="00A61BF6" w:rsidRDefault="00A61BF6" w:rsidP="00A61BF6">
      <w:pPr>
        <w:pStyle w:val="Heading1"/>
      </w:pPr>
      <w:bookmarkStart w:id="1" w:name="_Toc93069782"/>
      <w:r>
        <w:t>Analysis</w:t>
      </w:r>
      <w:bookmarkEnd w:id="1"/>
    </w:p>
    <w:p w14:paraId="1EEF60BB" w14:textId="29361E47" w:rsidR="00A61BF6" w:rsidRDefault="00A61BF6" w:rsidP="00A61BF6">
      <w:r>
        <w:t>The effects of the state of emergency appeared early and were expressed in the CEE region. In particular, vehicle transactions fell by almost 30% in the first two quarters of 2020. Vehicle production successfully stopped in the normal 28 days. In September, the projected decline in vehicle creation due to the closure of industrial facilities and a carefully reduced creation limit increased from around 15% in Slovakia to over 20% in Poland, compared to 2019 levels. lower in most CEE countries than usual in the EU</w:t>
      </w:r>
      <w:r w:rsidR="001F3E20" w:rsidRPr="001F3E20">
        <w:t xml:space="preserve"> (Kim, 2020)</w:t>
      </w:r>
      <w:r>
        <w:t>.</w:t>
      </w:r>
    </w:p>
    <w:p w14:paraId="605EAD1D" w14:textId="7C26FF24" w:rsidR="00A61BF6" w:rsidRDefault="00A61BF6" w:rsidP="00A61BF6">
      <w:r>
        <w:t>After major blockages in the spring of 2020, the creation of the engine vehicle industry has definitely returned to Europe and quickly reached its previously extraordinary level in the CEE region. However, it can remain well below the full limit levels in the longer term</w:t>
      </w:r>
      <w:r w:rsidR="001F3E20" w:rsidRPr="001F3E20">
        <w:t xml:space="preserve"> (Kim, 2020)</w:t>
      </w:r>
      <w:r>
        <w:t>. In particular, the interest in vehicles is extremely delicate in terms of monetary conditions and financial opportunities have weakened substantially, with huge job losses expected in the medium term. The misfortunes of the impact of family purchases and a significant degree of vulnerability will burden the interest in healthy goods, the purchase of which can be postponed, such as vehicles.</w:t>
      </w:r>
    </w:p>
    <w:p w14:paraId="2B2420CE" w14:textId="725D22BC" w:rsidR="00A61BF6" w:rsidRDefault="00A61BF6" w:rsidP="00A61BF6">
      <w:r>
        <w:t>Following a steady recovery, buyers' interest in vehicles delivered to CEE regions has declined over the past few months. The European Automobile Manufacturers Association and S&amp;P see that vehicle transactions in the European Association will decrease by around 30% and 20% respectively in 2020</w:t>
      </w:r>
      <w:r w:rsidR="001F3E20" w:rsidRPr="001F3E20">
        <w:t xml:space="preserve"> (Seetharaman, 2020)</w:t>
      </w:r>
      <w:r>
        <w:t>. In light of the pre-emergency relationship between vehicle transactions and major drivers and monetary projections OECD point, interest in manufactured vehicles in Europe is expected to remain 10% below the level of 2019 in 2021 without any strategic support</w:t>
      </w:r>
      <w:r w:rsidR="00926ADC" w:rsidRPr="00926ADC">
        <w:t xml:space="preserve"> (</w:t>
      </w:r>
      <w:proofErr w:type="spellStart"/>
      <w:r w:rsidR="00926ADC" w:rsidRPr="00926ADC">
        <w:t>Xiong</w:t>
      </w:r>
      <w:proofErr w:type="spellEnd"/>
      <w:r w:rsidR="00926ADC" w:rsidRPr="00926ADC">
        <w:t xml:space="preserve"> et al., 2020)</w:t>
      </w:r>
      <w:r>
        <w:t>.</w:t>
      </w:r>
    </w:p>
    <w:p w14:paraId="240B4E90" w14:textId="46C6B8A2" w:rsidR="00A61BF6" w:rsidRDefault="00A61BF6" w:rsidP="00A61BF6">
      <w:r>
        <w:lastRenderedPageBreak/>
        <w:t>Huge vulnerabilities cover forecasts of interest in vehicles. To begin with, the monetary perspective relies exceptionally on sterile circumstances, arrangements made to counter the pandemic, measures to support recovery and the security impact</w:t>
      </w:r>
      <w:r w:rsidR="00926ADC" w:rsidRPr="00926ADC">
        <w:t xml:space="preserve"> (</w:t>
      </w:r>
      <w:proofErr w:type="spellStart"/>
      <w:r w:rsidR="00926ADC" w:rsidRPr="00926ADC">
        <w:t>Xiong</w:t>
      </w:r>
      <w:proofErr w:type="spellEnd"/>
      <w:r w:rsidR="00926ADC" w:rsidRPr="00926ADC">
        <w:t xml:space="preserve"> et al., 2020)</w:t>
      </w:r>
      <w:r>
        <w:t xml:space="preserve">. Second, a pandemic can also affect customer </w:t>
      </w:r>
      <w:r w:rsidR="00926ADC">
        <w:t>behaviour</w:t>
      </w:r>
      <w:r>
        <w:t xml:space="preserve"> and inclinations. The inevitable remote work may reduce interest in vehicles, while more noticeable fluctuations in public transport use may have the opposite effect. There may also be a change in interest, with a shift in interest in car rental or vehicle sharing.</w:t>
      </w:r>
    </w:p>
    <w:p w14:paraId="60D1A7FA" w14:textId="4FF4A6D8" w:rsidR="00A61BF6" w:rsidRDefault="00A61BF6" w:rsidP="00A61BF6">
      <w:r>
        <w:t>The adverse effects of the ongoing financial emergency could also contrast between market shares. The share of small vehicles in full vehicle transactions will generally increase during the downturn, whenever the price of oil falls. Therefore, the creation of vehicles in the CEE region could be generally accepted better than elsewhere in Europe, as a result of this focus on parts of the mass market</w:t>
      </w:r>
      <w:r w:rsidR="00926ADC" w:rsidRPr="00926ADC">
        <w:t xml:space="preserve"> (Kumar et al., 2020)</w:t>
      </w:r>
      <w:r>
        <w:t>. Global manufacturers operating in CEE countries usually supply more modest and cheaper models within the range of individual models.</w:t>
      </w:r>
    </w:p>
    <w:p w14:paraId="332BB004" w14:textId="58F0C7E7" w:rsidR="000B0AE8" w:rsidRDefault="00A61BF6" w:rsidP="00A61BF6">
      <w:r>
        <w:t>The sharp shift in interest in electric vehicles may delay the recovery of vehicle transactions in the CEE region, creating confusion between the vehicles currently being delivered and those requested by buyers</w:t>
      </w:r>
      <w:r w:rsidR="00926ADC" w:rsidRPr="00926ADC">
        <w:t xml:space="preserve"> (Xu et al., 2020)</w:t>
      </w:r>
      <w:r>
        <w:t>. As electric vehicles contain fewer and simpler parts, the rapid entry of electric vehicles can cause employment woes and reduce action in nations that take place in more common market pieces such as Germany. The mechanical change to electric drive presents difficulties especially for small and medium-sized organizations in the supplier business. Second- or third-level suppliers in Central and Eastern European countries could benefit from the impact of the car armada to the extent that</w:t>
      </w:r>
    </w:p>
    <w:p w14:paraId="4345E651" w14:textId="19FE5ECD" w:rsidR="00A61BF6" w:rsidRDefault="00A61BF6" w:rsidP="00A61BF6">
      <w:r>
        <w:t>The automotive industry in CEE is deeply coordinated in global value chains. The content of imports in the creation of vehicles is high, with local suppliers taking a limited part in the interaction in the creation. The serious level of interruption of the creation implies a great openness to shocks, which arise from different places in the upstream sciences and geological regions and can lead to problems with coordination</w:t>
      </w:r>
      <w:r w:rsidR="00926ADC" w:rsidRPr="00926ADC">
        <w:t xml:space="preserve"> (Xu et al., 2020)</w:t>
      </w:r>
      <w:r>
        <w:t>. The links to information extracted in supply chains are spreading and intensifying shocks in different countries. At the same time, GVC helps companies and nations recover faster and take into account huge skills gains.</w:t>
      </w:r>
    </w:p>
    <w:p w14:paraId="4393BC1F" w14:textId="28D5D9D7" w:rsidR="00A61BF6" w:rsidRDefault="00A61BF6" w:rsidP="00A61BF6">
      <w:r>
        <w:t>After the blockage, the re-creation of the creation takes place in an astonishing way. Distinctive blocking plans confused the restart of the creation and hindered the activities of some in the time creation lines. The contrasts in the norms of prosperity and well-being in different nations further prevented the factories from working to their full potential and created bottlenecks in the creation</w:t>
      </w:r>
      <w:r w:rsidR="00926ADC" w:rsidRPr="00926ADC">
        <w:t xml:space="preserve"> (Xu et al., 2020)</w:t>
      </w:r>
      <w:r>
        <w:t xml:space="preserve">. Going forward, the suppressed vehicle application will increase the risk of insolvency for stock chains, especially for lower-level small suppliers who are more helpless against negative shocks. The inevitable liquidations among the workers of the </w:t>
      </w:r>
      <w:r>
        <w:lastRenderedPageBreak/>
        <w:t>subproject could disrupt the creation process. The shock to the entire flow business suggests that creation interruptions can be at all stages of creation.</w:t>
      </w:r>
    </w:p>
    <w:p w14:paraId="1B5D381A" w14:textId="4FED5D2C" w:rsidR="00A61BF6" w:rsidRDefault="00A61BF6" w:rsidP="00A61BF6">
      <w:pPr>
        <w:pStyle w:val="Heading1"/>
      </w:pPr>
      <w:bookmarkStart w:id="2" w:name="_Toc93069783"/>
      <w:r>
        <w:t>Evaluation</w:t>
      </w:r>
      <w:bookmarkEnd w:id="2"/>
    </w:p>
    <w:p w14:paraId="45B69ACC" w14:textId="27DFB08B" w:rsidR="00A61BF6" w:rsidRDefault="00A61BF6" w:rsidP="00A61BF6">
      <w:r>
        <w:t>Stronger design organizations can be achieved through greater risk from on-board methodologies, but the elements of automated creation make systems work on the flexibility of GVC testing. The extremely high level of specialization in stock chains and the focus on stock constraints are a source of weakness, as the shock to a key subproject worker cannot be absorbed by depleting stocks or switching suppliers. Chains in stock in the CEE automotive zone depend on gentle assembly methods, which focus on a closed-ended approach with a close combination of enhancements and item creations</w:t>
      </w:r>
      <w:r w:rsidR="00926ADC" w:rsidRPr="00926ADC">
        <w:t xml:space="preserve"> (Guan et al., 2020)</w:t>
      </w:r>
      <w:r>
        <w:t>. Car manufacturers have created flawless and separate inventory chains. This impedes the advancement of industry-level standards, preventing the development of a rapidly accessible market to differentiate between eligible sub-employees. Subsequently, moderately several items have industry standards, such as batteries and tires</w:t>
      </w:r>
      <w:r w:rsidR="00926ADC" w:rsidRPr="00926ADC">
        <w:t xml:space="preserve"> (Guan et al., 2020)</w:t>
      </w:r>
      <w:r>
        <w:t>. In the same way, the leading companies are targeting first-level subcontractors with a global presence to service their creation on the mainland, which further reduces the open doors for new workers on subprojects.</w:t>
      </w:r>
    </w:p>
    <w:p w14:paraId="095D58C8" w14:textId="15EFAB88" w:rsidR="00A61BF6" w:rsidRDefault="00A61BF6" w:rsidP="00A61BF6">
      <w:r>
        <w:t>The exchange of a subproject worker is a complex and tedious cycle, arising from a serious level of search contacts. They come from distinguishing between problems with proof and approval, which requires in-depth testing and documentation from eligible suppliers. Also, many subproject workers are deeply specific, reflecting the importance of explicit speculation about a link in the stock chain</w:t>
      </w:r>
      <w:r w:rsidR="00926ADC" w:rsidRPr="00926ADC">
        <w:t xml:space="preserve"> (Nayak et al., 2021)</w:t>
      </w:r>
      <w:r>
        <w:t>. Enlargement would lead to a deficit of economies of scale and scale. The exchange of a subproject worker is also confusing in light of the fact that the organizations they have to do as such would be in sharp competition with different organizations with comparable objectives to establish contacts with a predetermined number of specific recruiters.</w:t>
      </w:r>
    </w:p>
    <w:p w14:paraId="2C9BF010" w14:textId="60EFE891" w:rsidR="000B0AE8" w:rsidRDefault="00A61BF6" w:rsidP="00A61BF6">
      <w:r>
        <w:t>The coronavirus state of emergency adds to the priority challenges of the European car industry and can limit much-needed interest in the region. Development in the area at the time was retreating due to exchange pressures and overcapacity problems</w:t>
      </w:r>
      <w:r w:rsidR="00926ADC" w:rsidRPr="00926ADC">
        <w:t xml:space="preserve"> (Nayak et al., 2021)</w:t>
      </w:r>
      <w:r>
        <w:t xml:space="preserve">. EU-driven progress towards electoral propulsion focuses on ozone-depleting emissions and related administrative changes and 5 leakage principles and a mandatory focus on normal CO2 emissions from the Armada for new vehicles) and computerized business change require significant speculation and reconstruction. The coronavirus state of emergency can create tensions over the mechanization and digitalisation of creation, just as it can foster new channels of business, all of which can affect supply chains. At the same time, OECD indicators highlight a possible huge reduction in speculation following the coronavirus shock: the nuance of commitments could prevent the venture from recovering, as progress and the expected increase in corporate debt must confront </w:t>
      </w:r>
      <w:r>
        <w:lastRenderedPageBreak/>
        <w:t>the financial results of the pandemic. Awaiting a major demand shock of somewhere between 50% and 59% during the 2020 timeframe and a progressive recovery.</w:t>
      </w:r>
    </w:p>
    <w:p w14:paraId="661D4B5A" w14:textId="4B69EF73" w:rsidR="00A61BF6" w:rsidRDefault="00AD1162" w:rsidP="00A61BF6">
      <w:r w:rsidRPr="00AD1162">
        <w:t xml:space="preserve">The state of emergency, by reducing the productivity and monetary assets of carmakers, could trigger the movement of restrictions on creation and interest in cheaper nations. A huge recovery has been reported in Germany, especially among automotive suppliers. This can help CEE nations, which in fact enjoy enormous benefits. At the same time, by limiting the speculative limits of car manufacturers and perhaps triggering the movement of concentrated exercises (such as research and development exercises) to central regions, this could sabotage the potential updating of vehicle development in the area. Whether the CEE region will benefit from the change in supply chains is deeply questionable. The relative ability of nations to attract </w:t>
      </w:r>
      <w:proofErr w:type="spellStart"/>
      <w:r w:rsidRPr="00AD1162">
        <w:t>endeavors</w:t>
      </w:r>
      <w:proofErr w:type="spellEnd"/>
      <w:r w:rsidRPr="00AD1162">
        <w:t xml:space="preserve"> and adapt to development will undoubtedly play a significant role in the field of vehicle development and suppliers later. This relies on a huge range of variables, including the availability of a talented workforce and emerging administrations, the nature of the framework and strategic activities in the light of the emergency.</w:t>
      </w:r>
    </w:p>
    <w:p w14:paraId="1B6F158D" w14:textId="14A5F001" w:rsidR="00A61BF6" w:rsidRDefault="00AD1162" w:rsidP="00A61BF6">
      <w:r w:rsidRPr="00AD1162">
        <w:t>The effect of the Covid pandemic on the automotive business quickly shifted from stocks to interest rate shocks, which are exciting in business. In the spring of 2020, CEE countries completely stopped building vehicles, as blocking estimates disrupted storage chains. The creation lines and supply chains are then logically restored. All in all, the coronavirus emergency poses significant difficulties for CEE car zones. First, the financial emergency is likely to reduce interest in vehicles and, conversely, affect the region with a huge impact on CEE economies. This can create liquidity and insolvency problems for subproject workers, especially Level 2 and Level 3 suppliers, who are more fragile and therefore increase the risk of insolvency interruptions in supply chains. Second, lower car manufacturers' productivity could undermine the speculation needed for computerized change and the transformation to stricter environmental standards, with unclear implications for the CEE region.</w:t>
      </w:r>
    </w:p>
    <w:p w14:paraId="094F91DC" w14:textId="46615EC7" w:rsidR="00A61BF6" w:rsidRDefault="00A61BF6" w:rsidP="00A61BF6">
      <w:pPr>
        <w:pStyle w:val="Heading1"/>
      </w:pPr>
      <w:bookmarkStart w:id="3" w:name="_Toc93069784"/>
      <w:r>
        <w:t>Recommendations and Conclusion</w:t>
      </w:r>
      <w:bookmarkEnd w:id="3"/>
    </w:p>
    <w:p w14:paraId="5B143E84" w14:textId="77777777" w:rsidR="00AD1162" w:rsidRDefault="00AD1162" w:rsidP="00AD1162">
      <w:r>
        <w:t xml:space="preserve">Government measures can work to make car zones more resilient to future episodes of infection. First, countries can support companies' efforts to further develop supply chain flexibility. Removing barriers to exchanges and ensuring the smooth running of global vehicles and customs will work with transactions and reduce additional delays in transport. Second, the government can help maintain supply lines and supply chains. The widespread use of business and </w:t>
      </w:r>
      <w:proofErr w:type="spellStart"/>
      <w:r>
        <w:t>labor</w:t>
      </w:r>
      <w:proofErr w:type="spellEnd"/>
      <w:r>
        <w:t xml:space="preserve"> market support measures in the CEE region has had the adverse effects of blocking measures in the spring of 2020, especially for SMEs.</w:t>
      </w:r>
    </w:p>
    <w:p w14:paraId="6991F02E" w14:textId="32AF45D7" w:rsidR="00A61BF6" w:rsidRDefault="00AD1162" w:rsidP="00AD1162">
      <w:r>
        <w:t xml:space="preserve">Assuming that the emergency situation continues, further assessments should be considered. In particular, additional assistance to workers on liquidity subprojects may reduce the risk of supply disruptions and contribute to the protection of restrictions on the creation of disrupted but practical companies. On the other hand, </w:t>
      </w:r>
      <w:r>
        <w:lastRenderedPageBreak/>
        <w:t>sponsorship of vehicle acquisitions, for example with vehicle rejection plans, may simply affect interest in the vehicle, as it has been found that they simply move the use of the vehicle on schedule. Finally, strategies can work to restrict CEE economies from attracting unknown financial backers and reaping the rewards of ongoing major changes in the automotive zone. Strategies to further develop the speculative environment, support computerized change and adapt to stricter natural standards are an integral part of supporting recovery. They need to be complemented by approaches aimed at treating huge skills shortages, especially in nations where resettlement rates are high and populations are maturing rapidly.</w:t>
      </w:r>
    </w:p>
    <w:p w14:paraId="39B2982A" w14:textId="13845BE7" w:rsidR="00A61BF6" w:rsidRDefault="00A61BF6" w:rsidP="00A61BF6"/>
    <w:p w14:paraId="57C65BD2" w14:textId="370F8614" w:rsidR="00A61BF6" w:rsidRDefault="00A61BF6" w:rsidP="00A61BF6"/>
    <w:p w14:paraId="69977EDC" w14:textId="73EAB6B4" w:rsidR="00926ADC" w:rsidRDefault="00926ADC" w:rsidP="00A61BF6"/>
    <w:p w14:paraId="0E70101A" w14:textId="7C2680E5" w:rsidR="00926ADC" w:rsidRDefault="00926ADC" w:rsidP="00A61BF6"/>
    <w:p w14:paraId="6C2BCE05" w14:textId="678B8755" w:rsidR="00926ADC" w:rsidRDefault="00926ADC" w:rsidP="00A61BF6"/>
    <w:p w14:paraId="6ED3A8E9" w14:textId="4903D51A" w:rsidR="00926ADC" w:rsidRDefault="00926ADC" w:rsidP="00A61BF6"/>
    <w:p w14:paraId="331313FF" w14:textId="7DF2F766" w:rsidR="00926ADC" w:rsidRDefault="00926ADC" w:rsidP="00A61BF6"/>
    <w:p w14:paraId="6D09F51E" w14:textId="320D83D9" w:rsidR="00926ADC" w:rsidRDefault="00926ADC" w:rsidP="00A61BF6"/>
    <w:p w14:paraId="4B87F0BA" w14:textId="392AE1B1" w:rsidR="00926ADC" w:rsidRDefault="00926ADC" w:rsidP="00A61BF6"/>
    <w:p w14:paraId="3D212023" w14:textId="3ADABA94" w:rsidR="00926ADC" w:rsidRDefault="00926ADC" w:rsidP="00A61BF6"/>
    <w:p w14:paraId="74348DC3" w14:textId="1F2F756B" w:rsidR="00926ADC" w:rsidRDefault="00926ADC" w:rsidP="00A61BF6"/>
    <w:p w14:paraId="7AB83BD8" w14:textId="08DCD398" w:rsidR="00926ADC" w:rsidRDefault="00926ADC" w:rsidP="00A61BF6"/>
    <w:p w14:paraId="1AAE2718" w14:textId="261E7207" w:rsidR="00926ADC" w:rsidRDefault="00926ADC" w:rsidP="00A61BF6"/>
    <w:p w14:paraId="790933C2" w14:textId="711382AC" w:rsidR="00926ADC" w:rsidRDefault="00926ADC" w:rsidP="00A61BF6"/>
    <w:p w14:paraId="14890197" w14:textId="670EB021" w:rsidR="00926ADC" w:rsidRDefault="00926ADC" w:rsidP="00A61BF6"/>
    <w:p w14:paraId="3987DD9F" w14:textId="2C4DEB5D" w:rsidR="00926ADC" w:rsidRDefault="00926ADC" w:rsidP="00A61BF6"/>
    <w:p w14:paraId="444B1704" w14:textId="0FBED231" w:rsidR="00926ADC" w:rsidRDefault="00926ADC" w:rsidP="00A61BF6"/>
    <w:p w14:paraId="26925E32" w14:textId="58346713" w:rsidR="00926ADC" w:rsidRDefault="00926ADC" w:rsidP="00A61BF6"/>
    <w:p w14:paraId="6D63259B" w14:textId="0FA6A61F" w:rsidR="00926ADC" w:rsidRDefault="00926ADC" w:rsidP="00A61BF6"/>
    <w:p w14:paraId="073F9BA7" w14:textId="77777777" w:rsidR="00926ADC" w:rsidRDefault="00926ADC" w:rsidP="00A61BF6"/>
    <w:p w14:paraId="535491D8" w14:textId="2D3B3894" w:rsidR="00A61BF6" w:rsidRDefault="00A61BF6" w:rsidP="00A61BF6">
      <w:pPr>
        <w:pStyle w:val="Heading1"/>
      </w:pPr>
      <w:bookmarkStart w:id="4" w:name="_Toc93069785"/>
      <w:r>
        <w:lastRenderedPageBreak/>
        <w:t>References</w:t>
      </w:r>
      <w:bookmarkEnd w:id="4"/>
    </w:p>
    <w:p w14:paraId="36656153" w14:textId="6672379D" w:rsidR="00926ADC" w:rsidRDefault="00926ADC" w:rsidP="001F3E20">
      <w:r w:rsidRPr="00926ADC">
        <w:t xml:space="preserve">Guan, D., Wang, D., </w:t>
      </w:r>
      <w:proofErr w:type="spellStart"/>
      <w:r w:rsidRPr="00926ADC">
        <w:t>Hallegatte</w:t>
      </w:r>
      <w:proofErr w:type="spellEnd"/>
      <w:r w:rsidRPr="00926ADC">
        <w:t xml:space="preserve">, S., </w:t>
      </w:r>
      <w:proofErr w:type="spellStart"/>
      <w:r w:rsidRPr="00926ADC">
        <w:t>Huo</w:t>
      </w:r>
      <w:proofErr w:type="spellEnd"/>
      <w:r w:rsidRPr="00926ADC">
        <w:t xml:space="preserve">, J., Li, S., Bai, Y., Lei, T., </w:t>
      </w:r>
      <w:proofErr w:type="spellStart"/>
      <w:r w:rsidRPr="00926ADC">
        <w:t>Xue</w:t>
      </w:r>
      <w:proofErr w:type="spellEnd"/>
      <w:r w:rsidRPr="00926ADC">
        <w:t xml:space="preserve">, Q., Davis, S.J., Coffman, D., Cheng, D., Chen, P., Liang, X., Xu, B., Lu, X., Wang, S., </w:t>
      </w:r>
      <w:proofErr w:type="spellStart"/>
      <w:r w:rsidRPr="00926ADC">
        <w:t>Hubacek</w:t>
      </w:r>
      <w:proofErr w:type="spellEnd"/>
      <w:r w:rsidRPr="00926ADC">
        <w:t xml:space="preserve">, K. and Gong, P. (2020). </w:t>
      </w:r>
      <w:r w:rsidRPr="00926ADC">
        <w:rPr>
          <w:i/>
          <w:iCs/>
        </w:rPr>
        <w:t>Global economic footprint of the COVID-19 pandemic</w:t>
      </w:r>
      <w:r w:rsidRPr="00926ADC">
        <w:t>.</w:t>
      </w:r>
    </w:p>
    <w:p w14:paraId="53F65D81" w14:textId="4B848815" w:rsidR="001F3E20" w:rsidRPr="001F3E20" w:rsidRDefault="001F3E20" w:rsidP="001F3E20">
      <w:r w:rsidRPr="001F3E20">
        <w:t xml:space="preserve">Kim, R.Y. (2020). The Impact of COVID-19 on Consumers: Preparing for Digital Sales. </w:t>
      </w:r>
      <w:r w:rsidRPr="001F3E20">
        <w:rPr>
          <w:i/>
          <w:iCs/>
        </w:rPr>
        <w:t>IEEE Engineering Management Review</w:t>
      </w:r>
      <w:r w:rsidRPr="001F3E20">
        <w:t>, [online] 48(</w:t>
      </w:r>
      <w:r w:rsidRPr="001F3E20">
        <w:rPr>
          <w:b/>
          <w:bCs/>
        </w:rPr>
        <w:t>3</w:t>
      </w:r>
      <w:r w:rsidRPr="001F3E20">
        <w:t xml:space="preserve">), pp.212–218. Available </w:t>
      </w:r>
      <w:r>
        <w:t>from</w:t>
      </w:r>
      <w:r w:rsidRPr="001F3E20">
        <w:t xml:space="preserve">: </w:t>
      </w:r>
      <w:hyperlink r:id="rId10" w:history="1">
        <w:r w:rsidRPr="0022592B">
          <w:rPr>
            <w:rStyle w:val="Hyperlink"/>
          </w:rPr>
          <w:t>https://ieeexplore.ieee.org/abstract/document/9076858</w:t>
        </w:r>
      </w:hyperlink>
      <w:r w:rsidRPr="001F3E20">
        <w:t>.</w:t>
      </w:r>
      <w:r>
        <w:t xml:space="preserve"> [Accessed: 10/01/2022].</w:t>
      </w:r>
    </w:p>
    <w:p w14:paraId="6FDC3D7B" w14:textId="62194B19" w:rsidR="00926ADC" w:rsidRDefault="00926ADC" w:rsidP="00A61BF6">
      <w:r w:rsidRPr="00926ADC">
        <w:t xml:space="preserve">Kumar, A., Luthra, S., Kumar </w:t>
      </w:r>
      <w:proofErr w:type="spellStart"/>
      <w:r w:rsidRPr="00926ADC">
        <w:t>Mangla</w:t>
      </w:r>
      <w:proofErr w:type="spellEnd"/>
      <w:r w:rsidRPr="00926ADC">
        <w:t xml:space="preserve">, S. and </w:t>
      </w:r>
      <w:proofErr w:type="spellStart"/>
      <w:r w:rsidRPr="00926ADC">
        <w:t>Kazancoglu</w:t>
      </w:r>
      <w:proofErr w:type="spellEnd"/>
      <w:r w:rsidRPr="00926ADC">
        <w:t xml:space="preserve">, Y. (2020). COVID-19 impact on sustainable production and operations management. </w:t>
      </w:r>
      <w:r w:rsidRPr="00926ADC">
        <w:rPr>
          <w:i/>
          <w:iCs/>
        </w:rPr>
        <w:t>Sustainable Operations and Computers</w:t>
      </w:r>
      <w:r w:rsidRPr="00926ADC">
        <w:t>, [online] 1(</w:t>
      </w:r>
      <w:r w:rsidRPr="00926ADC">
        <w:rPr>
          <w:b/>
          <w:bCs/>
        </w:rPr>
        <w:t>1</w:t>
      </w:r>
      <w:r w:rsidRPr="00926ADC">
        <w:t xml:space="preserve">), pp.1–7. Available </w:t>
      </w:r>
      <w:r>
        <w:t>from</w:t>
      </w:r>
      <w:r w:rsidRPr="00926ADC">
        <w:t xml:space="preserve">: </w:t>
      </w:r>
      <w:hyperlink r:id="rId11" w:history="1">
        <w:r w:rsidRPr="0022592B">
          <w:rPr>
            <w:rStyle w:val="Hyperlink"/>
          </w:rPr>
          <w:t>https://www.sciencedirect.com/science/article/pii/S2666412720300015</w:t>
        </w:r>
      </w:hyperlink>
      <w:r w:rsidRPr="00926ADC">
        <w:t>.</w:t>
      </w:r>
      <w:r>
        <w:t xml:space="preserve"> [Accessed: 10/01/2022].</w:t>
      </w:r>
    </w:p>
    <w:p w14:paraId="4F0AD996" w14:textId="77B1822F" w:rsidR="00A61BF6" w:rsidRDefault="001F3E20" w:rsidP="00A61BF6">
      <w:r w:rsidRPr="001F3E20">
        <w:t xml:space="preserve">Manufacturing and service supply chain resilience to the COVID-19 outbreak: Lessons learned from the automobile and airline industries. (2020). </w:t>
      </w:r>
      <w:r w:rsidRPr="001F3E20">
        <w:rPr>
          <w:i/>
          <w:iCs/>
        </w:rPr>
        <w:t>Technological Forecasting and Social Change</w:t>
      </w:r>
      <w:r w:rsidRPr="001F3E20">
        <w:t xml:space="preserve">, [online] p.120447. Available </w:t>
      </w:r>
      <w:r>
        <w:t>from</w:t>
      </w:r>
      <w:r w:rsidRPr="001F3E20">
        <w:t xml:space="preserve">: </w:t>
      </w:r>
      <w:hyperlink r:id="rId12" w:history="1">
        <w:r w:rsidRPr="0022592B">
          <w:rPr>
            <w:rStyle w:val="Hyperlink"/>
          </w:rPr>
          <w:t>https://www.sciencedirect.com/science/article/pii/S0040162520312737?via%3Dihub</w:t>
        </w:r>
      </w:hyperlink>
      <w:r w:rsidRPr="001F3E20">
        <w:t>.</w:t>
      </w:r>
      <w:r>
        <w:t xml:space="preserve"> [Accessed: 10/01/2022].</w:t>
      </w:r>
    </w:p>
    <w:p w14:paraId="70160E88" w14:textId="22B28E73" w:rsidR="00926ADC" w:rsidRDefault="00926ADC" w:rsidP="00A61BF6">
      <w:r w:rsidRPr="00926ADC">
        <w:t xml:space="preserve">Nayak, J., Mishra, M., Naik, B., </w:t>
      </w:r>
      <w:proofErr w:type="spellStart"/>
      <w:r w:rsidRPr="00926ADC">
        <w:t>Swapnarekha</w:t>
      </w:r>
      <w:proofErr w:type="spellEnd"/>
      <w:r w:rsidRPr="00926ADC">
        <w:t xml:space="preserve">, H., Cengiz, K. and </w:t>
      </w:r>
      <w:proofErr w:type="spellStart"/>
      <w:r w:rsidRPr="00926ADC">
        <w:t>Shanmuganathan</w:t>
      </w:r>
      <w:proofErr w:type="spellEnd"/>
      <w:r w:rsidRPr="00926ADC">
        <w:t>, V. (2021). An Impact Study of COVID</w:t>
      </w:r>
      <w:r w:rsidRPr="00926ADC">
        <w:rPr>
          <w:rFonts w:ascii="Cambria Math" w:hAnsi="Cambria Math" w:cs="Cambria Math"/>
        </w:rPr>
        <w:t>‐</w:t>
      </w:r>
      <w:r w:rsidRPr="00926ADC">
        <w:t xml:space="preserve">19 on Six Different Industries: Automobile, Energy and Power, Agriculture, Education, Travel and Tourism and Consumer Electronics. </w:t>
      </w:r>
      <w:r w:rsidRPr="00926ADC">
        <w:rPr>
          <w:i/>
          <w:iCs/>
        </w:rPr>
        <w:t>Expert Systems</w:t>
      </w:r>
      <w:r w:rsidRPr="00926ADC">
        <w:t>.</w:t>
      </w:r>
    </w:p>
    <w:p w14:paraId="07B657E2" w14:textId="6EB9FC6F" w:rsidR="001F3E20" w:rsidRDefault="001F3E20" w:rsidP="00A61BF6">
      <w:r w:rsidRPr="001F3E20">
        <w:t xml:space="preserve">Seetharaman, P. (2020). Business models shifts: Impact of Covid-19. </w:t>
      </w:r>
      <w:r w:rsidRPr="001F3E20">
        <w:rPr>
          <w:i/>
          <w:iCs/>
        </w:rPr>
        <w:t>International Journal of Information Management</w:t>
      </w:r>
      <w:r w:rsidRPr="001F3E20">
        <w:t>, [online] 54(</w:t>
      </w:r>
      <w:r w:rsidRPr="001F3E20">
        <w:rPr>
          <w:b/>
          <w:bCs/>
        </w:rPr>
        <w:t>1</w:t>
      </w:r>
      <w:r w:rsidRPr="001F3E20">
        <w:t xml:space="preserve">), p.102173. Available </w:t>
      </w:r>
      <w:r>
        <w:t>from</w:t>
      </w:r>
      <w:r w:rsidRPr="001F3E20">
        <w:t xml:space="preserve">: </w:t>
      </w:r>
      <w:hyperlink r:id="rId13" w:history="1">
        <w:r w:rsidRPr="0022592B">
          <w:rPr>
            <w:rStyle w:val="Hyperlink"/>
          </w:rPr>
          <w:t>https://www.sciencedirect.com/science/article/pii/S0268401220309890</w:t>
        </w:r>
      </w:hyperlink>
      <w:r w:rsidRPr="001F3E20">
        <w:t>.</w:t>
      </w:r>
      <w:r>
        <w:t xml:space="preserve"> [Accessed: 10/01/2022].</w:t>
      </w:r>
    </w:p>
    <w:p w14:paraId="0CE8D175" w14:textId="2F12C4A1" w:rsidR="00926ADC" w:rsidRDefault="00926ADC" w:rsidP="00A61BF6">
      <w:proofErr w:type="spellStart"/>
      <w:r w:rsidRPr="00926ADC">
        <w:t>Xiong</w:t>
      </w:r>
      <w:proofErr w:type="spellEnd"/>
      <w:r w:rsidRPr="00926ADC">
        <w:t xml:space="preserve">, H., Wu, Z., Hou, F. and Zhang, J. (2020). Which Firm-specific Characteristics Affect the Market Reaction of Chinese Listed Companies to the COVID-19 Pandemic? </w:t>
      </w:r>
      <w:r w:rsidRPr="00926ADC">
        <w:rPr>
          <w:i/>
          <w:iCs/>
        </w:rPr>
        <w:t>Emerging Markets Finance and Trade</w:t>
      </w:r>
      <w:r w:rsidRPr="00926ADC">
        <w:t>, 56(</w:t>
      </w:r>
      <w:r w:rsidRPr="00926ADC">
        <w:rPr>
          <w:b/>
          <w:bCs/>
        </w:rPr>
        <w:t>10</w:t>
      </w:r>
      <w:r w:rsidRPr="00926ADC">
        <w:t>), pp.2231–2242.</w:t>
      </w:r>
    </w:p>
    <w:p w14:paraId="7E0E1ED0" w14:textId="358AB317" w:rsidR="00926ADC" w:rsidRDefault="00926ADC" w:rsidP="00A61BF6">
      <w:r w:rsidRPr="00926ADC">
        <w:t xml:space="preserve">Xu, Z., </w:t>
      </w:r>
      <w:proofErr w:type="spellStart"/>
      <w:r w:rsidRPr="00926ADC">
        <w:t>Elomri</w:t>
      </w:r>
      <w:proofErr w:type="spellEnd"/>
      <w:r w:rsidRPr="00926ADC">
        <w:t xml:space="preserve">, A., </w:t>
      </w:r>
      <w:proofErr w:type="spellStart"/>
      <w:r w:rsidRPr="00926ADC">
        <w:t>Kerbache</w:t>
      </w:r>
      <w:proofErr w:type="spellEnd"/>
      <w:r w:rsidRPr="00926ADC">
        <w:t xml:space="preserve">, L. and El </w:t>
      </w:r>
      <w:proofErr w:type="spellStart"/>
      <w:r w:rsidRPr="00926ADC">
        <w:t>Omri</w:t>
      </w:r>
      <w:proofErr w:type="spellEnd"/>
      <w:r w:rsidRPr="00926ADC">
        <w:t xml:space="preserve">, A. (2020). Impacts of COVID-19 on Global Supply Chains: Facts and Perspectives. </w:t>
      </w:r>
      <w:r w:rsidRPr="00926ADC">
        <w:rPr>
          <w:i/>
          <w:iCs/>
        </w:rPr>
        <w:t>IEEE Engineering Management Review</w:t>
      </w:r>
      <w:r w:rsidRPr="00926ADC">
        <w:t>, 48(</w:t>
      </w:r>
      <w:r w:rsidRPr="00926ADC">
        <w:rPr>
          <w:b/>
          <w:bCs/>
        </w:rPr>
        <w:t>3</w:t>
      </w:r>
      <w:r w:rsidRPr="00926ADC">
        <w:t>), pp.153–166.</w:t>
      </w:r>
    </w:p>
    <w:sectPr w:rsidR="00926ADC" w:rsidSect="00A61BF6">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96BEF" w14:textId="77777777" w:rsidR="00841BB4" w:rsidRDefault="00841BB4" w:rsidP="00A61BF6">
      <w:pPr>
        <w:spacing w:after="0" w:line="240" w:lineRule="auto"/>
      </w:pPr>
      <w:r>
        <w:separator/>
      </w:r>
    </w:p>
  </w:endnote>
  <w:endnote w:type="continuationSeparator" w:id="0">
    <w:p w14:paraId="7AECF681" w14:textId="77777777" w:rsidR="00841BB4" w:rsidRDefault="00841BB4" w:rsidP="00A61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6927500"/>
      <w:docPartObj>
        <w:docPartGallery w:val="Page Numbers (Bottom of Page)"/>
        <w:docPartUnique/>
      </w:docPartObj>
    </w:sdtPr>
    <w:sdtEndPr>
      <w:rPr>
        <w:rStyle w:val="PageNumber"/>
      </w:rPr>
    </w:sdtEndPr>
    <w:sdtContent>
      <w:p w14:paraId="182B37E6" w14:textId="6A35035F" w:rsidR="00A61BF6" w:rsidRDefault="00A61BF6" w:rsidP="002259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3833E2" w14:textId="77777777" w:rsidR="00A61BF6" w:rsidRDefault="00A61BF6" w:rsidP="00A61B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3171676"/>
      <w:docPartObj>
        <w:docPartGallery w:val="Page Numbers (Bottom of Page)"/>
        <w:docPartUnique/>
      </w:docPartObj>
    </w:sdtPr>
    <w:sdtEndPr>
      <w:rPr>
        <w:rStyle w:val="PageNumber"/>
      </w:rPr>
    </w:sdtEndPr>
    <w:sdtContent>
      <w:p w14:paraId="2FA73768" w14:textId="74210C33" w:rsidR="00A61BF6" w:rsidRDefault="00A61BF6" w:rsidP="002259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C66F43" w14:textId="77777777" w:rsidR="00A61BF6" w:rsidRDefault="00A61BF6" w:rsidP="00A61BF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A886E" w14:textId="77777777" w:rsidR="00841BB4" w:rsidRDefault="00841BB4" w:rsidP="00A61BF6">
      <w:pPr>
        <w:spacing w:after="0" w:line="240" w:lineRule="auto"/>
      </w:pPr>
      <w:r>
        <w:separator/>
      </w:r>
    </w:p>
  </w:footnote>
  <w:footnote w:type="continuationSeparator" w:id="0">
    <w:p w14:paraId="6124EFF8" w14:textId="77777777" w:rsidR="00841BB4" w:rsidRDefault="00841BB4" w:rsidP="00A61B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AE8"/>
    <w:rsid w:val="000B0AE8"/>
    <w:rsid w:val="001F3E20"/>
    <w:rsid w:val="004A4054"/>
    <w:rsid w:val="005433BA"/>
    <w:rsid w:val="007A3D60"/>
    <w:rsid w:val="00841BB4"/>
    <w:rsid w:val="00926ADC"/>
    <w:rsid w:val="009D44C5"/>
    <w:rsid w:val="00A61BF6"/>
    <w:rsid w:val="00A95C20"/>
    <w:rsid w:val="00AD1162"/>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55358"/>
  <w15:chartTrackingRefBased/>
  <w15:docId w15:val="{A94EB20E-9CA0-7A42-9D4C-EE770CDC9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61B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B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B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1BF6"/>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A61B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BF6"/>
    <w:rPr>
      <w:rFonts w:ascii="Arial" w:hAnsi="Arial"/>
      <w:szCs w:val="22"/>
    </w:rPr>
  </w:style>
  <w:style w:type="character" w:styleId="PageNumber">
    <w:name w:val="page number"/>
    <w:basedOn w:val="DefaultParagraphFont"/>
    <w:uiPriority w:val="99"/>
    <w:semiHidden/>
    <w:unhideWhenUsed/>
    <w:rsid w:val="00A61BF6"/>
  </w:style>
  <w:style w:type="paragraph" w:styleId="NoSpacing">
    <w:name w:val="No Spacing"/>
    <w:link w:val="NoSpacingChar"/>
    <w:uiPriority w:val="1"/>
    <w:qFormat/>
    <w:rsid w:val="00A61BF6"/>
    <w:rPr>
      <w:rFonts w:eastAsiaTheme="minorEastAsia"/>
      <w:sz w:val="22"/>
      <w:szCs w:val="22"/>
      <w:lang w:val="en-US" w:eastAsia="zh-CN"/>
    </w:rPr>
  </w:style>
  <w:style w:type="character" w:customStyle="1" w:styleId="NoSpacingChar">
    <w:name w:val="No Spacing Char"/>
    <w:basedOn w:val="DefaultParagraphFont"/>
    <w:link w:val="NoSpacing"/>
    <w:uiPriority w:val="1"/>
    <w:rsid w:val="00A61BF6"/>
    <w:rPr>
      <w:rFonts w:eastAsiaTheme="minorEastAsia"/>
      <w:sz w:val="22"/>
      <w:szCs w:val="22"/>
      <w:lang w:val="en-US" w:eastAsia="zh-CN"/>
    </w:rPr>
  </w:style>
  <w:style w:type="character" w:styleId="Hyperlink">
    <w:name w:val="Hyperlink"/>
    <w:basedOn w:val="DefaultParagraphFont"/>
    <w:uiPriority w:val="99"/>
    <w:unhideWhenUsed/>
    <w:rsid w:val="001F3E20"/>
    <w:rPr>
      <w:color w:val="0563C1" w:themeColor="hyperlink"/>
      <w:u w:val="single"/>
    </w:rPr>
  </w:style>
  <w:style w:type="character" w:styleId="UnresolvedMention">
    <w:name w:val="Unresolved Mention"/>
    <w:basedOn w:val="DefaultParagraphFont"/>
    <w:uiPriority w:val="99"/>
    <w:semiHidden/>
    <w:unhideWhenUsed/>
    <w:rsid w:val="001F3E20"/>
    <w:rPr>
      <w:color w:val="605E5C"/>
      <w:shd w:val="clear" w:color="auto" w:fill="E1DFDD"/>
    </w:rPr>
  </w:style>
  <w:style w:type="paragraph" w:styleId="TOCHeading">
    <w:name w:val="TOC Heading"/>
    <w:basedOn w:val="Heading1"/>
    <w:next w:val="Normal"/>
    <w:uiPriority w:val="39"/>
    <w:unhideWhenUsed/>
    <w:qFormat/>
    <w:rsid w:val="00926ADC"/>
    <w:pPr>
      <w:spacing w:before="480"/>
      <w:outlineLvl w:val="9"/>
    </w:pPr>
    <w:rPr>
      <w:b/>
      <w:bCs/>
      <w:sz w:val="28"/>
      <w:szCs w:val="28"/>
      <w:lang w:val="en-US"/>
    </w:rPr>
  </w:style>
  <w:style w:type="paragraph" w:styleId="TOC1">
    <w:name w:val="toc 1"/>
    <w:basedOn w:val="Normal"/>
    <w:next w:val="Normal"/>
    <w:autoRedefine/>
    <w:uiPriority w:val="39"/>
    <w:unhideWhenUsed/>
    <w:rsid w:val="00926ADC"/>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926ADC"/>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26ADC"/>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26ADC"/>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26ADC"/>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26ADC"/>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26ADC"/>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26ADC"/>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26ADC"/>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26840122030989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0040162520312737?via%3Dihub"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666412720300015"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ieeexplore.ieee.org/abstract/document/907685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B94D933C2A2B34E924AF8ED2E7BA74D"/>
        <w:category>
          <w:name w:val="General"/>
          <w:gallery w:val="placeholder"/>
        </w:category>
        <w:types>
          <w:type w:val="bbPlcHdr"/>
        </w:types>
        <w:behaviors>
          <w:behavior w:val="content"/>
        </w:behaviors>
        <w:guid w:val="{B1B5F3E1-E6DB-1E4B-952F-9E9ED2F68A06}"/>
      </w:docPartPr>
      <w:docPartBody>
        <w:p w:rsidR="000A46F1" w:rsidRDefault="00D3524D" w:rsidP="00D3524D">
          <w:pPr>
            <w:pStyle w:val="7B94D933C2A2B34E924AF8ED2E7BA74D"/>
          </w:pPr>
          <w:r>
            <w:rPr>
              <w:rFonts w:asciiTheme="majorHAnsi" w:eastAsiaTheme="majorEastAsia" w:hAnsiTheme="majorHAnsi" w:cstheme="majorBidi"/>
              <w:caps/>
              <w:color w:val="4472C4" w:themeColor="accent1"/>
              <w:sz w:val="80"/>
              <w:szCs w:val="80"/>
            </w:rPr>
            <w:t>[Document title]</w:t>
          </w:r>
        </w:p>
      </w:docPartBody>
    </w:docPart>
    <w:docPart>
      <w:docPartPr>
        <w:name w:val="944AF8C3752ECA4CB6CB2AC48394DB2A"/>
        <w:category>
          <w:name w:val="General"/>
          <w:gallery w:val="placeholder"/>
        </w:category>
        <w:types>
          <w:type w:val="bbPlcHdr"/>
        </w:types>
        <w:behaviors>
          <w:behavior w:val="content"/>
        </w:behaviors>
        <w:guid w:val="{079340F7-4543-7C41-98CA-C8C34CD902E5}"/>
      </w:docPartPr>
      <w:docPartBody>
        <w:p w:rsidR="000A46F1" w:rsidRDefault="00D3524D" w:rsidP="00D3524D">
          <w:pPr>
            <w:pStyle w:val="944AF8C3752ECA4CB6CB2AC48394DB2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24D"/>
    <w:rsid w:val="000A46F1"/>
    <w:rsid w:val="00503407"/>
    <w:rsid w:val="00D3524D"/>
    <w:rsid w:val="00F42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94D933C2A2B34E924AF8ED2E7BA74D">
    <w:name w:val="7B94D933C2A2B34E924AF8ED2E7BA74D"/>
    <w:rsid w:val="00D3524D"/>
  </w:style>
  <w:style w:type="paragraph" w:customStyle="1" w:styleId="944AF8C3752ECA4CB6CB2AC48394DB2A">
    <w:name w:val="944AF8C3752ECA4CB6CB2AC48394DB2A"/>
    <w:rsid w:val="00D352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2028270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9975F4-1EBD-EA49-99F5-D9B988359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2393</Words>
  <Characters>13646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 assessment 2</dc:title>
  <dc:subject>Module: LCBB4005</dc:subject>
  <dc:creator>Dari-Anna A Kuseva</dc:creator>
  <cp:keywords/>
  <dc:description/>
  <cp:lastModifiedBy>nevyan gospodinov</cp:lastModifiedBy>
  <cp:revision>3</cp:revision>
  <dcterms:created xsi:type="dcterms:W3CDTF">2022-01-14T14:23:00Z</dcterms:created>
  <dcterms:modified xsi:type="dcterms:W3CDTF">2022-01-14T18:01:00Z</dcterms:modified>
</cp:coreProperties>
</file>