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Bold" w:hAnsi="Times New Roman Bold" w:cs="Times New Roman Bold"/>
          <w:b/>
          <w:bCs w:val="0"/>
          <w:sz w:val="24"/>
          <w:szCs w:val="24"/>
        </w:rPr>
      </w:pPr>
    </w:p>
    <w:p>
      <w:pPr>
        <w:jc w:val="center"/>
        <w:rPr>
          <w:rFonts w:hint="default" w:ascii="Times New Roman Bold" w:hAnsi="Times New Roman Bold" w:cs="Times New Roman Bold"/>
          <w:b/>
          <w:bCs w:val="0"/>
          <w:sz w:val="24"/>
          <w:szCs w:val="24"/>
        </w:rPr>
      </w:pPr>
      <w:r>
        <w:rPr>
          <w:rFonts w:hint="default" w:ascii="Times New Roman Bold" w:hAnsi="Times New Roman Bold" w:cs="Times New Roman Bold"/>
          <w:b/>
          <w:bCs w:val="0"/>
          <w:sz w:val="24"/>
          <w:szCs w:val="24"/>
        </w:rPr>
        <w:t>Critical Assessment of a Research Article</w:t>
      </w:r>
      <w:bookmarkStart w:id="0" w:name="_GoBack"/>
      <w:bookmarkEnd w:id="0"/>
    </w:p>
    <w:p>
      <w:pPr>
        <w:jc w:val="center"/>
        <w:rPr>
          <w:rFonts w:hint="default" w:ascii="Times New Roman Bold" w:hAnsi="Times New Roman Bold" w:cs="Times New Roman Bold"/>
          <w:b/>
          <w:bCs w:val="0"/>
          <w:sz w:val="24"/>
          <w:szCs w:val="24"/>
        </w:rPr>
      </w:pPr>
    </w:p>
    <w:p>
      <w:pPr>
        <w:spacing w:line="360" w:lineRule="auto"/>
        <w:ind w:firstLine="600" w:firstLineChars="250"/>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 xml:space="preserve">Group peer feedback activities have been brought into prominence in the filed of research regarding second language writing where a large quantity of related studies have mushroomed in recent years. However, little importance has been attached to research pertinent to the strategies L2 learners adopt while participating in such activities, which is the research area I take intense interest in. Therefore, I searched some related articles and made an attempt to choose one typical article to read in depth and make some critical evaluation with supportive evidence. This article critically assesses a research article titled “exploring Chinese students’ strategy use in a cooperative peer feedback writing group” on the basis of </w:t>
      </w:r>
      <w:r>
        <w:rPr>
          <w:rFonts w:hint="default" w:ascii="Times New Roman Regular" w:hAnsi="Times New Roman Regular" w:cs="Times New Roman Regular"/>
          <w:sz w:val="24"/>
          <w:szCs w:val="24"/>
          <w:lang w:val="en-US" w:eastAsia="zh-CN"/>
        </w:rPr>
        <w:t>theor</w:t>
      </w:r>
      <w:r>
        <w:rPr>
          <w:rFonts w:hint="default" w:ascii="Times New Roman Regular" w:hAnsi="Times New Roman Regular" w:cs="Times New Roman Regular"/>
          <w:sz w:val="24"/>
          <w:szCs w:val="24"/>
          <w:lang w:eastAsia="zh-CN"/>
        </w:rPr>
        <w:t>etical considerations</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methodology</w:t>
      </w:r>
      <w:r>
        <w:rPr>
          <w:rFonts w:hint="default" w:ascii="Times New Roman Regular" w:hAnsi="Times New Roman Regular" w:cs="Times New Roman Regular"/>
          <w:sz w:val="24"/>
          <w:szCs w:val="24"/>
          <w:lang w:eastAsia="zh-CN"/>
        </w:rPr>
        <w:t xml:space="preserve"> together with results and relevance to theory respectively. </w:t>
      </w:r>
    </w:p>
    <w:p>
      <w:pPr>
        <w:spacing w:line="360" w:lineRule="auto"/>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 </w:t>
      </w:r>
    </w:p>
    <w:p>
      <w:pPr>
        <w:spacing w:line="360" w:lineRule="auto"/>
        <w:rPr>
          <w:rFonts w:hint="default" w:ascii="Times New Roman Bold" w:hAnsi="Times New Roman Bold" w:cs="Times New Roman Bold"/>
          <w:b/>
          <w:bCs/>
          <w:sz w:val="24"/>
          <w:szCs w:val="24"/>
          <w:lang w:eastAsia="zh-CN"/>
        </w:rPr>
      </w:pPr>
      <w:r>
        <w:rPr>
          <w:rFonts w:hint="default" w:ascii="Times New Roman Bold" w:hAnsi="Times New Roman Bold" w:cs="Times New Roman Bold"/>
          <w:b/>
          <w:bCs/>
          <w:sz w:val="24"/>
          <w:szCs w:val="24"/>
          <w:lang w:eastAsia="zh-CN"/>
        </w:rPr>
        <w:t>I. Theoretical Considerations</w:t>
      </w:r>
    </w:p>
    <w:p>
      <w:pPr>
        <w:spacing w:line="360" w:lineRule="auto"/>
        <w:rPr>
          <w:rFonts w:hint="default" w:ascii="Times New Roman Regular" w:hAnsi="Times New Roman Regular" w:cs="Times New Roman Regular"/>
          <w:sz w:val="24"/>
          <w:szCs w:val="24"/>
          <w:lang w:eastAsia="zh-CN"/>
        </w:rPr>
      </w:pPr>
    </w:p>
    <w:p>
      <w:pPr>
        <w:spacing w:line="360" w:lineRule="auto"/>
        <w:ind w:firstLine="480" w:firstLineChars="200"/>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 xml:space="preserve">It can be obviously seen from the research article that action theory, which is a sub-branch of sociocultural theory, is integrated into the exploration of strategies used by Chinese students to fulfill their tasks of peer feedback in their writing groups. Mediation plays a central role in constructing such theory, which means that human beings are capable of making indirect connections between incoming stimulation and their responses through a variety of links (Luria,1976 quoted in Lei, 2008). in addition, such mediation can be accomplished via both tools and signs (Vygotsky, 1978 quoted in Lei, 2008), which is indicative of a dialectical relationship between humans and society and culture (Engestrom, 1999). Triggered by Vygosky’s original idea concerning mediation, he further developed the concept of mediation into activity theory. Specifically, artefact, community,rules and division of labor are the four main mediators interrelated with each other to comprise the activity system. </w:t>
      </w:r>
    </w:p>
    <w:p>
      <w:pPr>
        <w:spacing w:line="360" w:lineRule="auto"/>
        <w:rPr>
          <w:rFonts w:hint="default" w:ascii="Times New Roman Regular" w:hAnsi="Times New Roman Regular" w:cs="Times New Roman Regular"/>
          <w:sz w:val="24"/>
          <w:szCs w:val="24"/>
          <w:lang w:eastAsia="zh-CN"/>
        </w:rPr>
      </w:pPr>
    </w:p>
    <w:p>
      <w:pPr>
        <w:spacing w:line="360" w:lineRule="auto"/>
        <w:ind w:firstLine="480" w:firstLineChars="200"/>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Underpinned by this conceptual framework, researchers put forward the hypothesis that peer feedback activities can be facilitated effectively if students can consciously take socially mediated actions. Engestrom(2001) also stresses that socially-organised and goal-directed mediated activities are of tremendous significance in learning the second language. Moreover, researchers also critically reviewed the limited research concerning strategy use in peer feedback activities. It can be indicated from such critical review that some studies failed to delve into the mediation nature of strategy use in peer interaction while others did not incorporate all the four mediating factors of activity theory into exploring strategies used to conduct peer feedback in group activities</w:t>
      </w:r>
      <w:r>
        <w:rPr>
          <w:rFonts w:hint="default" w:ascii="Times New Roman Regular" w:hAnsi="Times New Roman Regular" w:cs="Times New Roman Regular"/>
          <w:sz w:val="24"/>
          <w:szCs w:val="24"/>
          <w:lang w:eastAsia="zh-CN"/>
        </w:rPr>
        <w:t xml:space="preserve"> (Yu&amp;Lee, 2016)</w:t>
      </w:r>
      <w:r>
        <w:rPr>
          <w:rFonts w:hint="default" w:ascii="Times New Roman Regular" w:hAnsi="Times New Roman Regular" w:cs="Times New Roman Regular"/>
          <w:sz w:val="24"/>
          <w:szCs w:val="24"/>
          <w:lang w:eastAsia="zh-CN"/>
        </w:rPr>
        <w:t xml:space="preserve">. As a result, the research gap can be identified. Illuminated by activity theory and research on the use of strategy in peer feedback, authors of this article raised the research question “What strategies did EFL writers use during group peer feedback, and how did the strategies impact the peer interaction process?” </w:t>
      </w:r>
    </w:p>
    <w:p>
      <w:pPr>
        <w:spacing w:line="360" w:lineRule="auto"/>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 xml:space="preserve"> </w:t>
      </w:r>
    </w:p>
    <w:p>
      <w:pPr>
        <w:spacing w:line="360" w:lineRule="auto"/>
        <w:rPr>
          <w:rFonts w:hint="default" w:ascii="Times New Roman Bold" w:hAnsi="Times New Roman Bold" w:cs="Times New Roman Bold"/>
          <w:b/>
          <w:bCs/>
          <w:sz w:val="24"/>
          <w:szCs w:val="24"/>
          <w:lang w:eastAsia="zh-CN"/>
        </w:rPr>
      </w:pPr>
      <w:r>
        <w:rPr>
          <w:rFonts w:hint="default" w:ascii="Times New Roman Bold" w:hAnsi="Times New Roman Bold" w:cs="Times New Roman Bold"/>
          <w:b/>
          <w:bCs/>
          <w:sz w:val="24"/>
          <w:szCs w:val="24"/>
          <w:lang w:eastAsia="zh-CN"/>
        </w:rPr>
        <w:t>II. Methodology</w:t>
      </w:r>
    </w:p>
    <w:p>
      <w:pPr>
        <w:spacing w:line="360" w:lineRule="auto"/>
        <w:rPr>
          <w:rFonts w:hint="default" w:ascii="Times New Roman Regular" w:hAnsi="Times New Roman Regular" w:cs="Times New Roman Regular"/>
          <w:sz w:val="24"/>
          <w:szCs w:val="24"/>
          <w:lang w:eastAsia="zh-CN"/>
        </w:rPr>
      </w:pPr>
    </w:p>
    <w:p>
      <w:pPr>
        <w:spacing w:line="360" w:lineRule="auto"/>
        <w:ind w:firstLine="480" w:firstLineChars="200"/>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 xml:space="preserve">According to this research article, it can be concluded that video recordings, semi-structured interviews, stimulated recalls and drafts of student writing were incorporated into qualitative methods of collecting data. Such multiple data gathering technique, which is referred to as triangulation, is commonplace in qualitative studies.Such strategy of collecting data is deliberately chosen to develop a more comprehensive and complex understanding of certain phenomena in educational research(Fossey, et al., 2002). As is claimed by Punch(2016), text and image data are often involved in qualitative methods. Moreover, he asserts that examining documents, observing behaviors and interviewing participants are of vital importance for researchers to collect qualitative data. Therefore, it is clear that the data analysed in the empirical study of this research article were collected from multiple perspectives, which are in accordance with the aforementioned theoretical framework. Such methods of collecting data often present a large picture with diverse factors interacting with each other in a variety of ways rather than merely form a linear model of cause and effect. </w:t>
      </w:r>
    </w:p>
    <w:p>
      <w:pPr>
        <w:spacing w:line="360" w:lineRule="auto"/>
        <w:rPr>
          <w:rFonts w:hint="default" w:ascii="Times New Roman Regular" w:hAnsi="Times New Roman Regular" w:cs="Times New Roman Regular"/>
          <w:sz w:val="24"/>
          <w:szCs w:val="24"/>
          <w:lang w:eastAsia="zh-CN"/>
        </w:rPr>
      </w:pPr>
    </w:p>
    <w:p>
      <w:pPr>
        <w:spacing w:line="360" w:lineRule="auto"/>
        <w:ind w:firstLine="480" w:firstLineChars="200"/>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However, there can be some alternative research methods to collect data which may contribute to resolving the research question in a more productive way.If permitted, I would use both observation and video recordings to observe and record students’ performance in group peer feedback activities in the English writing class. What mainly characterises qualitative research is that researchers gather up-close information by actually talking directly to people and observing their behaviors and actions at the research site (Crewell, 2018). As a result, if researchers could takes field notes on the behavior and activities of individuals at the research site rather than merely count on video recordings, the data collected would be more convincing. To be more specific, in these field notes, an unstructured or semi-structured way(using some prior questions that the inquirer wants to know) can be recorded during the process of observation. “ Qualitative observers may also engage in roles varying from a nonparticipant to a complete participant.</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eastAsia="zh-CN"/>
        </w:rPr>
        <w:t>Typically these observations are open-ended in that the researchers ask general questions of the participants allowing the participants to freely provide their views(Creswell, 2018, p.300)</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eastAsia="zh-CN"/>
        </w:rPr>
        <w:t>”</w:t>
      </w:r>
    </w:p>
    <w:p>
      <w:pPr>
        <w:spacing w:line="360" w:lineRule="auto"/>
        <w:rPr>
          <w:rFonts w:hint="default" w:ascii="Times New Roman Regular" w:hAnsi="Times New Roman Regular" w:cs="Times New Roman Regular"/>
          <w:sz w:val="24"/>
          <w:szCs w:val="24"/>
          <w:lang w:eastAsia="zh-CN"/>
        </w:rPr>
      </w:pPr>
    </w:p>
    <w:p>
      <w:pPr>
        <w:spacing w:line="360" w:lineRule="auto"/>
        <w:ind w:firstLine="480" w:firstLineChars="200"/>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 xml:space="preserve">In terms of participants selected to engage in this study, researchers chose four representatives from different universities of Mainland China on the basis of their English proficiency and the aim of this research . Such purposive sampling plays an essential role in implementing qualitative research methods since identification of appropriate participants who can best provide reliable and valid information for the empirical study is the core of qualitative sampling (Fossey, et al., 2002). Furthermore, purposefully selecting participants will best help the researcher understand the problem and the research question (Creswell, 2018). However, researchers failed to establish the protocol for recording information and took ethical issues into consideration. Admittedly, research in the field of Second Language Acquisition is associated with collecting data from people and about people (Punch 2014, quoted in Creswell, 2018); therefore researchers should be held accountable for protecting their research participants, developing a trust with them and promoting the integrity of research (Israel&amp;Hay, 2006 quoted in Creswell, 2018). </w:t>
      </w:r>
    </w:p>
    <w:p>
      <w:pPr>
        <w:spacing w:line="360" w:lineRule="auto"/>
        <w:rPr>
          <w:rFonts w:hint="default" w:ascii="Times New Roman Regular" w:hAnsi="Times New Roman Regular" w:cs="Times New Roman Regular"/>
          <w:sz w:val="24"/>
          <w:szCs w:val="24"/>
          <w:lang w:eastAsia="zh-CN"/>
        </w:rPr>
      </w:pPr>
    </w:p>
    <w:p>
      <w:pPr>
        <w:spacing w:line="360" w:lineRule="auto"/>
        <w:ind w:firstLine="600" w:firstLineChars="250"/>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With regard to data analysis, researchers relied on their research assistant to complete this task and failed to reflect about how their roles in this research and their personal background,culture and experiences would shape their interpretations. Such self-reflection or reflexivity should be typically integrated in the qualitative approach. Creswell(2018) asserts that how the background of the researchers actually may shape the direction of the study</w:t>
      </w:r>
      <w:r>
        <w:rPr>
          <w:rFonts w:hint="default" w:ascii="Times New Roman Regular" w:hAnsi="Times New Roman Regular" w:cs="Times New Roman Regular"/>
          <w:sz w:val="24"/>
          <w:szCs w:val="24"/>
          <w:lang w:eastAsia="zh-CN"/>
        </w:rPr>
        <w:t xml:space="preserve"> is indispensable in </w:t>
      </w:r>
      <w:r>
        <w:rPr>
          <w:rFonts w:hint="default" w:ascii="Times New Roman Regular" w:hAnsi="Times New Roman Regular" w:cs="Times New Roman Regular"/>
          <w:sz w:val="24"/>
          <w:szCs w:val="24"/>
          <w:lang w:eastAsia="zh-CN"/>
        </w:rPr>
        <w:t xml:space="preserve">this aspect of the methods </w:t>
      </w:r>
      <w:r>
        <w:rPr>
          <w:rFonts w:hint="default" w:ascii="Times New Roman Regular" w:hAnsi="Times New Roman Regular" w:cs="Times New Roman Regular"/>
          <w:sz w:val="24"/>
          <w:szCs w:val="24"/>
          <w:lang w:eastAsia="zh-CN"/>
        </w:rPr>
        <w:t xml:space="preserve">rather than </w:t>
      </w:r>
      <w:r>
        <w:rPr>
          <w:rFonts w:hint="default" w:ascii="Times New Roman Regular" w:hAnsi="Times New Roman Regular" w:cs="Times New Roman Regular"/>
          <w:sz w:val="24"/>
          <w:szCs w:val="24"/>
          <w:lang w:eastAsia="zh-CN"/>
        </w:rPr>
        <w:t>merely advancing biases and values in the study</w:t>
      </w:r>
      <w:r>
        <w:rPr>
          <w:rFonts w:hint="default" w:ascii="Times New Roman Regular" w:hAnsi="Times New Roman Regular" w:cs="Times New Roman Regular"/>
          <w:sz w:val="24"/>
          <w:szCs w:val="24"/>
          <w:lang w:eastAsia="zh-CN"/>
        </w:rPr>
        <w:t>.</w:t>
      </w:r>
    </w:p>
    <w:p>
      <w:pPr>
        <w:spacing w:line="360" w:lineRule="auto"/>
        <w:rPr>
          <w:rFonts w:hint="default" w:ascii="Times New Roman Regular" w:hAnsi="Times New Roman Regular" w:cs="Times New Roman Regular"/>
          <w:sz w:val="24"/>
          <w:szCs w:val="24"/>
          <w:lang w:eastAsia="zh-CN"/>
        </w:rPr>
      </w:pPr>
    </w:p>
    <w:p>
      <w:pPr>
        <w:spacing w:line="360" w:lineRule="auto"/>
        <w:rPr>
          <w:rFonts w:hint="default" w:ascii="Times New Roman Regular" w:hAnsi="Times New Roman Regular" w:cs="Times New Roman Regular"/>
          <w:sz w:val="24"/>
          <w:szCs w:val="24"/>
          <w:lang w:eastAsia="zh-CN"/>
        </w:rPr>
      </w:pPr>
    </w:p>
    <w:p>
      <w:pPr>
        <w:spacing w:line="360" w:lineRule="auto"/>
        <w:rPr>
          <w:rFonts w:hint="default" w:ascii="Times New Roman Bold" w:hAnsi="Times New Roman Bold" w:cs="Times New Roman Bold"/>
          <w:b/>
          <w:bCs/>
          <w:sz w:val="24"/>
          <w:szCs w:val="24"/>
          <w:lang w:eastAsia="zh-CN"/>
        </w:rPr>
      </w:pPr>
      <w:r>
        <w:rPr>
          <w:rFonts w:hint="default" w:ascii="Times New Roman Bold" w:hAnsi="Times New Roman Bold" w:cs="Times New Roman Bold"/>
          <w:b/>
          <w:bCs/>
          <w:sz w:val="24"/>
          <w:szCs w:val="24"/>
          <w:lang w:eastAsia="zh-CN"/>
        </w:rPr>
        <w:t>III. Results and Relevance to Theory</w:t>
      </w:r>
    </w:p>
    <w:p>
      <w:pPr>
        <w:spacing w:line="360" w:lineRule="auto"/>
        <w:rPr>
          <w:rFonts w:hint="default" w:ascii="Times New Roman Regular" w:hAnsi="Times New Roman Regular" w:cs="Times New Roman Regular"/>
          <w:sz w:val="24"/>
          <w:szCs w:val="24"/>
        </w:rPr>
      </w:pPr>
    </w:p>
    <w:p>
      <w:pPr>
        <w:spacing w:line="360" w:lineRule="auto"/>
        <w:ind w:firstLine="480" w:firstLineChars="200"/>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 xml:space="preserve">Based on the data collected from the empirical study demonstrated in this research article, findings show that corresponding to the four mediating factors in activity theory, there </w:t>
      </w:r>
      <w:r>
        <w:rPr>
          <w:rFonts w:hint="default" w:ascii="Times New Roman Regular" w:hAnsi="Times New Roman Regular" w:cs="Times New Roman Regular"/>
          <w:sz w:val="24"/>
          <w:szCs w:val="24"/>
          <w:lang w:eastAsia="zh-CN"/>
        </w:rPr>
        <w:t>are</w:t>
      </w:r>
      <w:r>
        <w:rPr>
          <w:rFonts w:hint="default" w:ascii="Times New Roman Regular" w:hAnsi="Times New Roman Regular" w:cs="Times New Roman Regular"/>
          <w:sz w:val="24"/>
          <w:szCs w:val="24"/>
          <w:lang w:eastAsia="zh-CN"/>
        </w:rPr>
        <w:t xml:space="preserve"> the following specific strategies adopted by students to in group peer feedback activities in English writing class .</w:t>
      </w:r>
    </w:p>
    <w:p>
      <w:pPr>
        <w:spacing w:line="360" w:lineRule="auto"/>
        <w:rPr>
          <w:rFonts w:hint="default" w:ascii="Times New Roman Regular" w:hAnsi="Times New Roman Regular" w:cs="Times New Roman Regular"/>
          <w:sz w:val="24"/>
          <w:szCs w:val="24"/>
          <w:lang w:eastAsia="zh-CN"/>
        </w:rPr>
      </w:pPr>
    </w:p>
    <w:p>
      <w:pPr>
        <w:spacing w:line="360" w:lineRule="auto"/>
        <w:ind w:firstLine="480" w:firstLineChars="200"/>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First and foremost, Mandarin Chinese played the role of cultural artefact in facilitating group activities correlated with peer feedback, while the strategy of seeking help from the teachers was adopted based on the aspect of community. This is due to the fact that Chinese was mainly used to guarantee the effective communication and interaction among group members whereas students’ current English writing teacher together with their secondary English and Chinese teachers had significant influence on their performance in participating in peer feedback activities. In addition, rules were elucidated from two aspects, including L2 writing criteria and rules of group activities, both of which can contribute to helping students give more useful feedback to their peers with such guidance. Finally, with regard to division of labor, students’ different roles were illustrated as students can change their roles within the range of reader, writer and group leader when they devote themselves to a diversity of social-cognitive activities. Such findings were yielded from the data analysis which was chiefly derived from coding of transcripts from peer feedback observed from video-recordings, interviews and stimulated recalls, coupled with notes written on the margin of essay drafts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eastAsia="zh-CN"/>
        </w:rPr>
        <w:t>(Yu&amp;Lee, 2016)</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eastAsia="zh-CN"/>
        </w:rPr>
        <w:t xml:space="preserve"> </w:t>
      </w:r>
    </w:p>
    <w:p>
      <w:pPr>
        <w:spacing w:line="360" w:lineRule="auto"/>
        <w:rPr>
          <w:rFonts w:hint="default" w:ascii="Times New Roman Regular" w:hAnsi="Times New Roman Regular" w:cs="Times New Roman Regular"/>
          <w:sz w:val="24"/>
          <w:szCs w:val="24"/>
          <w:lang w:eastAsia="zh-CN"/>
        </w:rPr>
      </w:pPr>
    </w:p>
    <w:p>
      <w:pPr>
        <w:spacing w:line="360" w:lineRule="auto"/>
        <w:ind w:firstLine="480" w:firstLineChars="200"/>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Compared with previous related studies with the theoretical foundation of activity theory, there are some novel findings from this research regarding strategies used in group peer feedback activities.First, the research indicates that Chinese students could establish and maintain a harmonious interpersonal relationship even when they commented critically regardless of face problems. Second, it reveals that students had the tendency to work out their own criteria for peer review and feedback rather than follow the teacher’s criteria despite the potential conflicts and contradictions arising from their interaction in group peer feedback activities. Such two findings can serve as compelling evidences to break the stereotype of Chinese learners who are less likely to offer critical comments and challenge the authority of teachers for the sake of avoiding tension and disagreement.Third, in terms of key community members, the difference between previous studies and this research lies in the result that apart from students’ current L2 writing teachers, their previous L1 and L2 teachers in secondary schools also exerted certain influence on mediating peer feedback activities. This can be attributable to the historical and imitative nature of learning (Lantolf&amp;Thorne, 2006). Finally, students’ multiple roles played in the process of peer feedback, which involves reader, writer, group leader and coordinator, can be identified in this research. This is different from previous studies where limited roles, such as reader and writer, were engaged. It also corroborates that the mediation of various roles could help students collaborate more successfully in small group work</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eastAsia="zh-CN"/>
        </w:rPr>
        <w:t>Yu&amp;Lee, 2016</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eastAsia="zh-CN"/>
        </w:rPr>
        <w:t>.</w:t>
      </w:r>
    </w:p>
    <w:p>
      <w:pPr>
        <w:spacing w:line="360" w:lineRule="auto"/>
        <w:rPr>
          <w:rFonts w:hint="default" w:ascii="Times New Roman Regular" w:hAnsi="Times New Roman Regular" w:cs="Times New Roman Regular"/>
          <w:sz w:val="24"/>
          <w:szCs w:val="24"/>
          <w:lang w:eastAsia="zh-CN"/>
        </w:rPr>
      </w:pPr>
    </w:p>
    <w:p>
      <w:pPr>
        <w:spacing w:line="360" w:lineRule="auto"/>
        <w:ind w:firstLine="480" w:firstLineChars="200"/>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 xml:space="preserve">From the summary of findings demonstrated in the original research article, it can be clearly seen that the results are correlated with the key elements of activity theory, namely, four mediating factors. Additionally, the novel findings also reveal that learners can play active roles and take responsibilities to fulfill tasks with their own goals and values instead of passive individuals subjected to the environment. This can echo to the argument that human beings should actively act upon the world and engage in activities to construct the environment in particular ways (Lantolf, 2000), which is also advocated by activity theory. </w:t>
      </w:r>
    </w:p>
    <w:p>
      <w:pPr>
        <w:spacing w:line="360" w:lineRule="auto"/>
        <w:rPr>
          <w:rFonts w:hint="default" w:ascii="Times New Roman Regular" w:hAnsi="Times New Roman Regular" w:cs="Times New Roman Regular"/>
          <w:sz w:val="24"/>
          <w:szCs w:val="24"/>
          <w:lang w:eastAsia="zh-CN"/>
        </w:rPr>
      </w:pPr>
    </w:p>
    <w:p>
      <w:pPr>
        <w:spacing w:line="360" w:lineRule="auto"/>
        <w:ind w:firstLine="480" w:firstLineChars="200"/>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It can also be inferred from the research article that the theoretical basis, hypothesis of this research, data collected and findings yielded from analysis of data can form a logical circle of the whole research design. Activity theory and findings of this research serve as the beginning and concluding part of the logical chain embedded in the whole research design. Based on this theory and the context of this empirical study, researchers hypothesized that peer feedback activities can be facilitated effectively if students can consciously take socially mediated actions. In order to confirm their hypothesis, they made use of multiple qualitative research methods to collect data. Through scientific and systematic analysis of those data, five specific strategies were identified when students engage in group peer feedback activities, which embodied the key ingredients of activity theory. Therefore, this research is a sound qualitative study since it is charactertised by congruence between theoretical framework that illuminates the research question and the research methods used (Fossey, et al., 2002).</w:t>
      </w:r>
    </w:p>
    <w:p>
      <w:pPr>
        <w:spacing w:line="360" w:lineRule="auto"/>
        <w:rPr>
          <w:rFonts w:hint="default" w:ascii="Times New Roman Regular" w:hAnsi="Times New Roman Regular" w:cs="Times New Roman Regular"/>
          <w:sz w:val="24"/>
          <w:szCs w:val="24"/>
          <w:lang w:eastAsia="zh-CN"/>
        </w:rPr>
      </w:pPr>
    </w:p>
    <w:p>
      <w:pPr>
        <w:spacing w:line="360" w:lineRule="auto"/>
        <w:ind w:firstLine="480" w:firstLineChars="200"/>
        <w:rPr>
          <w:rFonts w:hint="default" w:ascii="Times New Roman Regular" w:hAnsi="Times New Roman Regular" w:cs="Times New Roman Regular"/>
          <w:sz w:val="24"/>
          <w:szCs w:val="24"/>
          <w:lang w:eastAsia="zh-CN"/>
        </w:rPr>
      </w:pPr>
      <w:r>
        <w:rPr>
          <w:rFonts w:hint="default" w:ascii="Times New Roman Regular" w:hAnsi="Times New Roman Regular" w:cs="Times New Roman Regular"/>
          <w:sz w:val="24"/>
          <w:szCs w:val="24"/>
          <w:lang w:eastAsia="zh-CN"/>
        </w:rPr>
        <w:t xml:space="preserve">In conclusion, it can be </w:t>
      </w:r>
      <w:r>
        <w:rPr>
          <w:rFonts w:hint="default" w:ascii="Times New Roman Regular" w:hAnsi="Times New Roman Regular" w:cs="Times New Roman Regular"/>
          <w:sz w:val="24"/>
          <w:szCs w:val="24"/>
          <w:lang w:eastAsia="zh-CN"/>
        </w:rPr>
        <w:t xml:space="preserve">obviously revealed </w:t>
      </w:r>
      <w:r>
        <w:rPr>
          <w:rFonts w:hint="default" w:ascii="Times New Roman Regular" w:hAnsi="Times New Roman Regular" w:cs="Times New Roman Regular"/>
          <w:sz w:val="24"/>
          <w:szCs w:val="24"/>
          <w:lang w:eastAsia="zh-CN"/>
        </w:rPr>
        <w:t>that despite some weaknesses, the original research article presents the main procedures of qualitative research holistically, from which valuable findings were gathered. Activity theory lays the solid theoretical foundation for the whole research design, multiple qualitative research methods provide reliable sources of collecting data and rewarding findings are identified through scientific and systematic analysis of data. However, researchers failed to take the ethical issues into account and there could be alternative research methods, such as observation to collect more compelling evidence at the research site. Such critical assessment is also of vital importance in helping me develop a profound understanding of this research article, which could shed light on my research design in my own study in the future.</w:t>
      </w:r>
    </w:p>
    <w:p>
      <w:pPr>
        <w:spacing w:line="360" w:lineRule="auto"/>
        <w:rPr>
          <w:rFonts w:hint="default" w:ascii="Times New Roman Regular" w:hAnsi="Times New Roman Regular" w:cs="Times New Roman Regular"/>
          <w:sz w:val="24"/>
          <w:szCs w:val="24"/>
          <w:lang w:eastAsia="zh-CN"/>
        </w:rPr>
      </w:pPr>
    </w:p>
    <w:p>
      <w:pPr>
        <w:spacing w:line="360" w:lineRule="auto"/>
        <w:rPr>
          <w:rFonts w:hint="default" w:ascii="Times New Roman Regular" w:hAnsi="Times New Roman Regular" w:cs="Times New Roman Regular"/>
          <w:sz w:val="24"/>
          <w:szCs w:val="24"/>
          <w:lang w:eastAsia="zh-CN"/>
        </w:rPr>
      </w:pPr>
    </w:p>
    <w:p>
      <w:pPr>
        <w:spacing w:line="360" w:lineRule="auto"/>
        <w:rPr>
          <w:rFonts w:hint="default" w:ascii="Times New Roman Regular" w:hAnsi="Times New Roman Regular" w:cs="Times New Roman Regular"/>
          <w:sz w:val="24"/>
          <w:szCs w:val="24"/>
        </w:rPr>
      </w:pPr>
    </w:p>
    <w:p>
      <w:pPr>
        <w:spacing w:line="360" w:lineRule="auto"/>
        <w:rPr>
          <w:rFonts w:hint="default" w:ascii="Times New Roman Regular" w:hAnsi="Times New Roman Regular" w:cs="Times New Roman Regular"/>
          <w:sz w:val="24"/>
          <w:szCs w:val="24"/>
        </w:rPr>
      </w:pPr>
    </w:p>
    <w:p/>
    <w:p/>
    <w:p/>
    <w:p/>
    <w:p/>
    <w:p/>
    <w:p/>
    <w:p/>
    <w:p/>
    <w:p/>
    <w:p/>
    <w:p/>
    <w:p/>
    <w:p/>
    <w:p/>
    <w:p/>
    <w:p/>
    <w:p/>
    <w:p/>
    <w:p/>
    <w:p/>
    <w:p/>
    <w:p/>
    <w:p/>
    <w:p/>
    <w:p/>
    <w:p/>
    <w:p/>
    <w:p/>
    <w:p/>
    <w:p/>
    <w:p/>
    <w:p/>
    <w:p/>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References</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Creswell, J. W. &amp;Creswell, J.D. 2018. </w:t>
      </w:r>
      <w:r>
        <w:rPr>
          <w:rFonts w:hint="default" w:ascii="Times New Roman Italic" w:hAnsi="Times New Roman Italic" w:cs="Times New Roman Italic"/>
          <w:i/>
          <w:iCs/>
          <w:sz w:val="24"/>
          <w:szCs w:val="24"/>
        </w:rPr>
        <w:t xml:space="preserve">Research Design: Qualitative,Quantitative, and Mixed Methods Approaches. Fifth edition. </w:t>
      </w:r>
      <w:r>
        <w:rPr>
          <w:rFonts w:hint="default" w:ascii="Times New Roman" w:hAnsi="Times New Roman" w:cs="Times New Roman"/>
          <w:i w:val="0"/>
          <w:iCs w:val="0"/>
          <w:sz w:val="24"/>
          <w:szCs w:val="24"/>
        </w:rPr>
        <w:t xml:space="preserve">Sage publications Ltd. </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eastAsia" w:ascii="Times New Roman" w:hAnsi="Times New Roman" w:cs="Times New Roman"/>
          <w:i w:val="0"/>
          <w:iCs w:val="0"/>
          <w:sz w:val="24"/>
          <w:szCs w:val="24"/>
        </w:rPr>
      </w:pPr>
      <w:r>
        <w:rPr>
          <w:rFonts w:hint="eastAsia" w:ascii="Times New Roman" w:hAnsi="Times New Roman" w:cs="Times New Roman"/>
          <w:i w:val="0"/>
          <w:iCs w:val="0"/>
          <w:sz w:val="24"/>
          <w:szCs w:val="24"/>
        </w:rPr>
        <w:t>Engestrom, Y. 1999. Activity theory and individual and social transformation. In Y. Engestrom, R. Miettinen, &amp; R.-L. Punamaki (Eds.), Perspectives on activity</w:t>
      </w:r>
      <w:r>
        <w:rPr>
          <w:rFonts w:hint="default" w:ascii="Times New Roman" w:hAnsi="Times New Roman" w:cs="Times New Roman"/>
          <w:i w:val="0"/>
          <w:iCs w:val="0"/>
          <w:sz w:val="24"/>
          <w:szCs w:val="24"/>
        </w:rPr>
        <w:t xml:space="preserve"> </w:t>
      </w:r>
      <w:r>
        <w:rPr>
          <w:rFonts w:hint="eastAsia" w:ascii="Times New Roman" w:hAnsi="Times New Roman" w:cs="Times New Roman"/>
          <w:i w:val="0"/>
          <w:iCs w:val="0"/>
          <w:sz w:val="24"/>
          <w:szCs w:val="24"/>
        </w:rPr>
        <w:t>theory (pp. 19</w:t>
      </w:r>
      <w:r>
        <w:rPr>
          <w:rFonts w:hint="default" w:ascii="Times New Roman" w:hAnsi="Times New Roman" w:cs="Times New Roman"/>
          <w:i w:val="0"/>
          <w:iCs w:val="0"/>
          <w:sz w:val="24"/>
          <w:szCs w:val="24"/>
        </w:rPr>
        <w:t>-</w:t>
      </w:r>
      <w:r>
        <w:rPr>
          <w:rFonts w:hint="eastAsia" w:ascii="Times New Roman" w:hAnsi="Times New Roman" w:cs="Times New Roman"/>
          <w:i w:val="0"/>
          <w:iCs w:val="0"/>
          <w:sz w:val="24"/>
          <w:szCs w:val="24"/>
        </w:rPr>
        <w:t>38). Cambridge: Cambridge University Press.</w:t>
      </w:r>
    </w:p>
    <w:p>
      <w:pPr>
        <w:numPr>
          <w:ilvl w:val="0"/>
          <w:numId w:val="0"/>
        </w:numPr>
        <w:spacing w:line="360" w:lineRule="auto"/>
        <w:rPr>
          <w:rFonts w:hint="eastAsia" w:ascii="Times New Roman" w:hAnsi="Times New Roman" w:cs="Times New Roman"/>
          <w:i w:val="0"/>
          <w:iCs w:val="0"/>
          <w:sz w:val="24"/>
          <w:szCs w:val="24"/>
        </w:rPr>
      </w:pPr>
    </w:p>
    <w:p>
      <w:pPr>
        <w:numPr>
          <w:ilvl w:val="0"/>
          <w:numId w:val="0"/>
        </w:numPr>
        <w:spacing w:line="360" w:lineRule="auto"/>
        <w:rPr>
          <w:rFonts w:hint="eastAsia" w:ascii="Times New Roman" w:hAnsi="Times New Roman" w:cs="Times New Roman"/>
          <w:i w:val="0"/>
          <w:iCs w:val="0"/>
          <w:sz w:val="24"/>
          <w:szCs w:val="24"/>
        </w:rPr>
      </w:pPr>
      <w:r>
        <w:rPr>
          <w:rFonts w:hint="eastAsia" w:ascii="Times New Roman" w:hAnsi="Times New Roman" w:cs="Times New Roman"/>
          <w:i w:val="0"/>
          <w:iCs w:val="0"/>
          <w:sz w:val="24"/>
          <w:szCs w:val="24"/>
        </w:rPr>
        <w:t>Engestrom, Y. 2001. Expansive learning at work: toward an activity theoretical reconceptualization. Journal of Education and Work, 14(1), 133</w:t>
      </w:r>
      <w:r>
        <w:rPr>
          <w:rFonts w:hint="default" w:ascii="Times New Roman" w:hAnsi="Times New Roman" w:cs="Times New Roman"/>
          <w:i w:val="0"/>
          <w:iCs w:val="0"/>
          <w:sz w:val="24"/>
          <w:szCs w:val="24"/>
        </w:rPr>
        <w:t>-</w:t>
      </w:r>
      <w:r>
        <w:rPr>
          <w:rFonts w:hint="eastAsia" w:ascii="Times New Roman" w:hAnsi="Times New Roman" w:cs="Times New Roman"/>
          <w:i w:val="0"/>
          <w:iCs w:val="0"/>
          <w:sz w:val="24"/>
          <w:szCs w:val="24"/>
        </w:rPr>
        <w:t>156.</w:t>
      </w:r>
    </w:p>
    <w:p>
      <w:pPr>
        <w:numPr>
          <w:ilvl w:val="0"/>
          <w:numId w:val="0"/>
        </w:numPr>
        <w:spacing w:line="360" w:lineRule="auto"/>
        <w:rPr>
          <w:rFonts w:hint="eastAsia" w:ascii="Times New Roman" w:hAnsi="Times New Roman" w:cs="Times New Roman"/>
          <w:i w:val="0"/>
          <w:iCs w:val="0"/>
          <w:sz w:val="24"/>
          <w:szCs w:val="24"/>
        </w:rPr>
      </w:pPr>
    </w:p>
    <w:p>
      <w:pPr>
        <w:numPr>
          <w:ilvl w:val="0"/>
          <w:numId w:val="0"/>
        </w:numPr>
        <w:spacing w:line="360" w:lineRule="auto"/>
        <w:jc w:val="both"/>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 xml:space="preserve">Fossey,E.,Harvey, C.,McDermott, F. &amp; Davidson, L. 2002. Understanding and evaluating qualitative research. Australian and New Zealand Journal of Psychiatry. 36. 717-732. </w:t>
      </w:r>
    </w:p>
    <w:p>
      <w:pPr>
        <w:numPr>
          <w:ilvl w:val="0"/>
          <w:numId w:val="0"/>
        </w:numPr>
        <w:spacing w:line="360" w:lineRule="auto"/>
        <w:rPr>
          <w:rFonts w:hint="eastAsia" w:ascii="Times New Roman" w:hAnsi="Times New Roman" w:cs="Times New Roman"/>
          <w:i w:val="0"/>
          <w:iCs w:val="0"/>
          <w:sz w:val="24"/>
          <w:szCs w:val="24"/>
        </w:rPr>
      </w:pPr>
    </w:p>
    <w:p>
      <w:pPr>
        <w:numPr>
          <w:ilvl w:val="0"/>
          <w:numId w:val="0"/>
        </w:numPr>
        <w:spacing w:line="360" w:lineRule="auto"/>
        <w:rPr>
          <w:rFonts w:hint="eastAsia" w:ascii="Times New Roman" w:hAnsi="Times New Roman" w:cs="Times New Roman"/>
          <w:i w:val="0"/>
          <w:iCs w:val="0"/>
          <w:sz w:val="24"/>
          <w:szCs w:val="24"/>
        </w:rPr>
      </w:pPr>
      <w:r>
        <w:rPr>
          <w:rFonts w:hint="eastAsia" w:ascii="Times New Roman" w:hAnsi="Times New Roman" w:cs="Times New Roman"/>
          <w:i w:val="0"/>
          <w:iCs w:val="0"/>
          <w:sz w:val="24"/>
          <w:szCs w:val="24"/>
        </w:rPr>
        <w:t>Lantolf, J. P., &amp; Thorne, S. L. 2006. Sociocultural theory and the genesis of second language development. Oxford: Oxford University Press.</w:t>
      </w:r>
    </w:p>
    <w:p>
      <w:pPr>
        <w:numPr>
          <w:ilvl w:val="0"/>
          <w:numId w:val="0"/>
        </w:numPr>
        <w:spacing w:line="360" w:lineRule="auto"/>
        <w:rPr>
          <w:rFonts w:hint="eastAsia" w:ascii="Times New Roman" w:hAnsi="Times New Roman" w:cs="Times New Roman"/>
          <w:i w:val="0"/>
          <w:iCs w:val="0"/>
          <w:sz w:val="24"/>
          <w:szCs w:val="24"/>
        </w:rPr>
      </w:pPr>
    </w:p>
    <w:p>
      <w:pPr>
        <w:numPr>
          <w:ilvl w:val="0"/>
          <w:numId w:val="0"/>
        </w:numPr>
        <w:spacing w:line="360" w:lineRule="auto"/>
        <w:rPr>
          <w:rFonts w:hint="eastAsia" w:ascii="Times New Roman" w:hAnsi="Times New Roman" w:cs="Times New Roman"/>
          <w:i w:val="0"/>
          <w:iCs w:val="0"/>
          <w:sz w:val="24"/>
          <w:szCs w:val="24"/>
        </w:rPr>
      </w:pPr>
      <w:r>
        <w:rPr>
          <w:rFonts w:hint="eastAsia" w:ascii="Times New Roman" w:hAnsi="Times New Roman" w:cs="Times New Roman"/>
          <w:i w:val="0"/>
          <w:iCs w:val="0"/>
          <w:sz w:val="24"/>
          <w:szCs w:val="24"/>
        </w:rPr>
        <w:t xml:space="preserve">Lei, X. 2008. Exploring a sociocultural approach to writing strategy research:mediated actions in writing activities. Journal of Second Language Writing. 27. 217-236. </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Punch, K.F. 2016. </w:t>
      </w:r>
      <w:r>
        <w:rPr>
          <w:rFonts w:hint="default" w:ascii="Times New Roman Italic" w:hAnsi="Times New Roman Italic" w:cs="Times New Roman Italic"/>
          <w:i/>
          <w:iCs/>
          <w:sz w:val="24"/>
          <w:szCs w:val="24"/>
        </w:rPr>
        <w:t xml:space="preserve">Developing Effective Research Proposals. Third edition. </w:t>
      </w:r>
      <w:r>
        <w:rPr>
          <w:rFonts w:hint="default" w:ascii="Times New Roman" w:hAnsi="Times New Roman" w:cs="Times New Roman"/>
          <w:i w:val="0"/>
          <w:iCs w:val="0"/>
          <w:sz w:val="24"/>
          <w:szCs w:val="24"/>
        </w:rPr>
        <w:t xml:space="preserve">Sage publications Ltd. </w:t>
      </w:r>
    </w:p>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Yu, S. &amp; Lee, I. 2016. Exploring Chinese students’ strategy use in a cooperative peer feedback writing group. </w:t>
      </w:r>
      <w:r>
        <w:rPr>
          <w:rFonts w:hint="default" w:ascii="Times New Roman Italic" w:hAnsi="Times New Roman Italic" w:cs="Times New Roman Italic"/>
          <w:i/>
          <w:iCs/>
          <w:sz w:val="24"/>
          <w:szCs w:val="24"/>
        </w:rPr>
        <w:t>System.</w:t>
      </w:r>
      <w:r>
        <w:rPr>
          <w:rFonts w:hint="default" w:ascii="Times New Roman" w:hAnsi="Times New Roman" w:cs="Times New Roman"/>
          <w:i w:val="0"/>
          <w:iCs w:val="0"/>
          <w:sz w:val="24"/>
          <w:szCs w:val="24"/>
        </w:rPr>
        <w:t xml:space="preserve"> [E-journal].</w:t>
      </w:r>
      <w:r>
        <w:rPr>
          <w:rFonts w:hint="default" w:ascii="Times New Roman" w:hAnsi="Times New Roman" w:cs="Times New Roman"/>
          <w:b w:val="0"/>
          <w:bCs w:val="0"/>
          <w:i w:val="0"/>
          <w:iCs w:val="0"/>
          <w:sz w:val="24"/>
          <w:szCs w:val="24"/>
        </w:rPr>
        <w:t xml:space="preserve"> 58, pp.1-11.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https://dox.doi.org/10.1016/j.system.2016.02.005.</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2</w:t>
      </w:r>
      <w:r>
        <w:rPr>
          <w:rFonts w:hint="default" w:ascii="Times New Roman" w:hAnsi="Times New Roman" w:cs="Times New Roman"/>
          <w:i w:val="0"/>
          <w:iCs w:val="0"/>
          <w:sz w:val="24"/>
          <w:szCs w:val="24"/>
          <w:vertAlign w:val="superscript"/>
        </w:rPr>
        <w:t>nd</w:t>
      </w:r>
      <w:r>
        <w:rPr>
          <w:rFonts w:hint="default" w:ascii="Times New Roman" w:hAnsi="Times New Roman" w:cs="Times New Roman"/>
          <w:i w:val="0"/>
          <w:iCs w:val="0"/>
          <w:sz w:val="24"/>
          <w:szCs w:val="24"/>
        </w:rPr>
        <w:t xml:space="preserve"> April 2021.</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TimesNewRomanPSMT">
    <w:panose1 w:val="02020503050405090304"/>
    <w:charset w:val="00"/>
    <w:family w:val="auto"/>
    <w:pitch w:val="default"/>
    <w:sig w:usb0="E0000AFF" w:usb1="00007843" w:usb2="00000001" w:usb3="00000000" w:csb0="400001BF" w:csb1="DFF70000"/>
  </w:font>
  <w:font w:name="宋体-简">
    <w:panose1 w:val="02010800040101010101"/>
    <w:charset w:val="86"/>
    <w:family w:val="auto"/>
    <w:pitch w:val="default"/>
    <w:sig w:usb0="00000001" w:usb1="080F0000" w:usb2="00000000" w:usb3="00000000" w:csb0="00040000" w:csb1="00000000"/>
  </w:font>
  <w:font w:name="Comic Sans MS Regular">
    <w:panose1 w:val="030F0902030302020204"/>
    <w:charset w:val="00"/>
    <w:family w:val="auto"/>
    <w:pitch w:val="default"/>
    <w:sig w:usb0="00000287" w:usb1="00000000" w:usb2="00000000" w:usb3="00000000" w:csb0="2000009F" w:csb1="0000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AEFPCL+TimesNewRoman">
    <w:altName w:val="苹方-简"/>
    <w:panose1 w:val="00000000000000000000"/>
    <w:charset w:val="00"/>
    <w:family w:val="roman"/>
    <w:pitch w:val="default"/>
    <w:sig w:usb0="00000000" w:usb1="00000000" w:usb2="00000010" w:usb3="00000000" w:csb0="00040000" w:csb1="00000000"/>
  </w:font>
  <w:font w:name="PMingLiU">
    <w:altName w:val="宋体-繁"/>
    <w:panose1 w:val="02020500000000000000"/>
    <w:charset w:val="00"/>
    <w:family w:val="roman"/>
    <w:pitch w:val="default"/>
    <w:sig w:usb0="00000000" w:usb1="00000000" w:usb2="00000016" w:usb3="00000000" w:csb0="00100001" w:csb1="00000000"/>
  </w:font>
  <w:font w:name="Comic Sans MS">
    <w:panose1 w:val="030F0902030302020204"/>
    <w:charset w:val="00"/>
    <w:family w:val="script"/>
    <w:pitch w:val="default"/>
    <w:sig w:usb0="00000287" w:usb1="00000000" w:usb2="00000000" w:usb3="00000000" w:csb0="2000009F" w:csb1="00000000"/>
  </w:font>
  <w:font w:name="Cheltenham-Book">
    <w:altName w:val="苹方-简"/>
    <w:panose1 w:val="00000000000000000000"/>
    <w:charset w:val="00"/>
    <w:family w:val="roman"/>
    <w:pitch w:val="default"/>
    <w:sig w:usb0="00000000" w:usb1="00000000" w:usb2="00000000" w:usb3="00000000" w:csb0="00000001" w:csb1="00000000"/>
  </w:font>
  <w:font w:name="宋体-繁">
    <w:panose1 w:val="02010600040101010101"/>
    <w:charset w:val="86"/>
    <w:family w:val="auto"/>
    <w:pitch w:val="default"/>
    <w:sig w:usb0="00000287" w:usb1="080F0000" w:usb2="00000000" w:usb3="00000000" w:csb0="0004009F" w:csb1="DFD70000"/>
  </w:font>
  <w:font w:name="冬青黑体简体中文">
    <w:panose1 w:val="020B0300000000000000"/>
    <w:charset w:val="86"/>
    <w:family w:val="auto"/>
    <w:pitch w:val="default"/>
    <w:sig w:usb0="A00002BF" w:usb1="1ACF7CFA" w:usb2="00000016" w:usb3="00000000" w:csb0="00060007" w:csb1="00000000"/>
  </w:font>
  <w:font w:name="Times New Roman Italic">
    <w:panose1 w:val="02020503050405090304"/>
    <w:charset w:val="00"/>
    <w:family w:val="auto"/>
    <w:pitch w:val="default"/>
    <w:sig w:usb0="E0000AFF" w:usb1="00007843" w:usb2="00000001" w:usb3="00000000" w:csb0="400001BF" w:csb1="DFF70000"/>
  </w:font>
  <w:font w:name="Arial">
    <w:panose1 w:val="020B0604020202090204"/>
    <w:charset w:val="00"/>
    <w:family w:val="auto"/>
    <w:pitch w:val="default"/>
    <w:sig w:usb0="E0000AFF" w:usb1="00007843" w:usb2="00000001" w:usb3="00000000" w:csb0="400001BF" w:csb1="DFF70000"/>
  </w:font>
  <w:font w:name="公文小标宋简">
    <w:altName w:val="苹方-简"/>
    <w:panose1 w:val="02010609010101010101"/>
    <w:charset w:val="00"/>
    <w:family w:val="modern"/>
    <w:pitch w:val="default"/>
    <w:sig w:usb0="00000000" w:usb1="00000000" w:usb2="00000010" w:usb3="00000000" w:csb0="00040000" w:csb1="00000000"/>
  </w:font>
  <w:font w:name="黑体">
    <w:altName w:val="汉仪中黑KW"/>
    <w:panose1 w:val="02010609060101010101"/>
    <w:charset w:val="00"/>
    <w:family w:val="modern"/>
    <w:pitch w:val="default"/>
    <w:sig w:usb0="00000000" w:usb1="00000000" w:usb2="00000016" w:usb3="00000000" w:csb0="00040001" w:csb1="00000000"/>
  </w:font>
  <w:font w:name="仿宋_GB2312">
    <w:altName w:val="方正仿宋_GBK"/>
    <w:panose1 w:val="020B0604020202020204"/>
    <w:charset w:val="00"/>
    <w:family w:val="auto"/>
    <w:pitch w:val="default"/>
    <w:sig w:usb0="00000000" w:usb1="00000000" w:usb2="00000000" w:usb3="00000000" w:csb0="00040000" w:csb1="00000000"/>
  </w:font>
  <w:font w:name="华文中宋">
    <w:altName w:val="苹方-简"/>
    <w:panose1 w:val="02010600040101010101"/>
    <w:charset w:val="00"/>
    <w:family w:val="auto"/>
    <w:pitch w:val="default"/>
    <w:sig w:usb0="00000000" w:usb1="00000000" w:usb2="00000010" w:usb3="00000000" w:csb0="0004009F" w:csb1="00000000"/>
  </w:font>
  <w:font w:name="Songti TC Light">
    <w:panose1 w:val="02010600040101010101"/>
    <w:charset w:val="86"/>
    <w:family w:val="auto"/>
    <w:pitch w:val="default"/>
    <w:sig w:usb0="00000287" w:usb1="080F0000" w:usb2="00000000" w:usb3="00000000" w:csb0="0004009F" w:csb1="DFD70000"/>
  </w:font>
  <w:font w:name="汉仪中黑KW">
    <w:panose1 w:val="00020600040101010101"/>
    <w:charset w:val="86"/>
    <w:family w:val="auto"/>
    <w:pitch w:val="default"/>
    <w:sig w:usb0="A00002BF" w:usb1="18EF7CFA" w:usb2="00000016" w:usb3="00000000" w:csb0="00040000" w:csb1="00000000"/>
  </w:font>
  <w:font w:name="方正仿宋_GBK">
    <w:panose1 w:val="02000000000000000000"/>
    <w:charset w:val="86"/>
    <w:family w:val="auto"/>
    <w:pitch w:val="default"/>
    <w:sig w:usb0="A00002BF" w:usb1="38CF7CFA" w:usb2="00082016" w:usb3="00000000" w:csb0="00040001" w:csb1="00000000"/>
  </w:font>
  <w:font w:name="Times">
    <w:panose1 w:val="00000500000000020000"/>
    <w:charset w:val="00"/>
    <w:family w:val="roman"/>
    <w:pitch w:val="default"/>
    <w:sig w:usb0="E00002FF" w:usb1="5000205A" w:usb2="00000000" w:usb3="00000000" w:csb0="2000019F" w:csb1="4F010000"/>
  </w:font>
  <w:font w:name="Lucida Grande">
    <w:panose1 w:val="020B0600040502020204"/>
    <w:charset w:val="00"/>
    <w:family w:val="auto"/>
    <w:pitch w:val="default"/>
    <w:sig w:usb0="E1000AEF" w:usb1="5000A1FF" w:usb2="00000000" w:usb3="00000000" w:csb0="200001BF" w:csb1="4F010000"/>
  </w:font>
  <w:font w:name="Code">
    <w:altName w:val="苹方-简"/>
    <w:panose1 w:val="00000000000000000000"/>
    <w:charset w:val="00"/>
    <w:family w:val="swiss"/>
    <w:pitch w:val="default"/>
    <w:sig w:usb0="00000000" w:usb1="00000000" w:usb2="00000010" w:usb3="00000000" w:csb0="00040000" w:csb1="00000000"/>
  </w:font>
  <w:font w:name="RealpagePAL3">
    <w:altName w:val="苹方-简"/>
    <w:panose1 w:val="00000000000000000000"/>
    <w:charset w:val="00"/>
    <w:family w:val="swiss"/>
    <w:pitch w:val="default"/>
    <w:sig w:usb0="00000000" w:usb1="00000000" w:usb2="00000000" w:usb3="00000000" w:csb0="00000001" w:csb1="00000000"/>
  </w:font>
  <w:font w:name="AdobeSongStd-Light">
    <w:altName w:val="苹方-简"/>
    <w:panose1 w:val="00000000000000000000"/>
    <w:charset w:val="00"/>
    <w:family w:val="auto"/>
    <w:pitch w:val="default"/>
    <w:sig w:usb0="00000000" w:usb1="00000000" w:usb2="00000010" w:usb3="00000000" w:csb0="0004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B7DC409"/>
    <w:rsid w:val="0BFE6C58"/>
    <w:rsid w:val="2B7DC409"/>
    <w:rsid w:val="5A457F86"/>
    <w:rsid w:val="5EF76A9B"/>
    <w:rsid w:val="61675E73"/>
    <w:rsid w:val="6FCF3B34"/>
    <w:rsid w:val="6FFFAC5A"/>
    <w:rsid w:val="777C8923"/>
    <w:rsid w:val="7B3F254D"/>
    <w:rsid w:val="7FB832B6"/>
    <w:rsid w:val="7FBA0C63"/>
    <w:rsid w:val="7FBF2E66"/>
    <w:rsid w:val="9FEF2548"/>
    <w:rsid w:val="BFF2D831"/>
    <w:rsid w:val="C5FFD79A"/>
    <w:rsid w:val="CA3FFD0E"/>
    <w:rsid w:val="CFBB702D"/>
    <w:rsid w:val="D67F0659"/>
    <w:rsid w:val="D6EB353A"/>
    <w:rsid w:val="ED5D8E8F"/>
    <w:rsid w:val="F4F7C427"/>
    <w:rsid w:val="F7762D15"/>
    <w:rsid w:val="FDFFC18C"/>
    <w:rsid w:val="FE637354"/>
    <w:rsid w:val="FEFF7C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3">
    <w:name w:val="Hyperlink"/>
    <w:basedOn w:val="2"/>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2020-10-05T10:44:00Z</dcterms:created>
  <dc:creator>wangyuwen</dc:creator>
  <cp:lastModifiedBy>wangyuwen</cp:lastModifiedBy>
  <dcterms:modified xsi:type="dcterms:W3CDTF">2021-11-30T18:11:17Z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