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170F1" w14:textId="77777777" w:rsidR="00453415" w:rsidRDefault="00453415" w:rsidP="00453415">
      <w:r>
        <w:t>Daniel Simons – 2319874</w:t>
      </w:r>
    </w:p>
    <w:p w14:paraId="2C6676D6" w14:textId="77777777" w:rsidR="00453415" w:rsidRDefault="00453415" w:rsidP="00453415"/>
    <w:p w14:paraId="71E9CCCD" w14:textId="77777777" w:rsidR="00453415" w:rsidRDefault="00453415" w:rsidP="00453415">
      <w:pPr>
        <w:jc w:val="center"/>
        <w:rPr>
          <w:b/>
          <w:bCs/>
          <w:u w:val="single"/>
        </w:rPr>
      </w:pPr>
      <w:r w:rsidRPr="00E46C60">
        <w:rPr>
          <w:b/>
          <w:bCs/>
          <w:u w:val="single"/>
        </w:rPr>
        <w:t>Research Methods</w:t>
      </w:r>
    </w:p>
    <w:p w14:paraId="3162D0BE" w14:textId="77777777" w:rsidR="00453415" w:rsidRDefault="00453415" w:rsidP="00453415">
      <w:pPr>
        <w:jc w:val="center"/>
        <w:rPr>
          <w:b/>
          <w:bCs/>
          <w:u w:val="single"/>
        </w:rPr>
      </w:pPr>
    </w:p>
    <w:p w14:paraId="36EED96C" w14:textId="77777777" w:rsidR="00453415" w:rsidRPr="001D7F3E" w:rsidRDefault="00453415" w:rsidP="00453415">
      <w:pPr>
        <w:rPr>
          <w:b/>
          <w:bCs/>
          <w:u w:val="single"/>
        </w:rPr>
      </w:pPr>
      <w:r w:rsidRPr="001D7F3E">
        <w:rPr>
          <w:b/>
          <w:bCs/>
          <w:u w:val="single"/>
        </w:rPr>
        <w:t>Introduction</w:t>
      </w:r>
    </w:p>
    <w:p w14:paraId="0F3695BE" w14:textId="77777777" w:rsidR="003E4308" w:rsidRDefault="003E4308"/>
    <w:p w14:paraId="221CB72C" w14:textId="21B9A0AC" w:rsidR="00453415" w:rsidRDefault="00453415">
      <w:r>
        <w:t xml:space="preserve">This chapter will seek to define and justify the methodological framework employed to examine the correlation between the mental health of police officers in the United Kingdom and its subsequent impact on the interpersonal relationships of those officers. Policing is widely regarded as a dangerous and high stress occupation as officers are often exposed to traumatic events and stressful work environments. These </w:t>
      </w:r>
      <w:r w:rsidR="009C3043">
        <w:t>job-related</w:t>
      </w:r>
      <w:r>
        <w:t xml:space="preserve"> stressors have been previously linked to a higher risk of anxiety, depression and continued symptoms similar to those of post traumatic stress disorder (PTSD). Mental health issues can make it difficult to keep healthy relationships with family members, co-workers and often the public</w:t>
      </w:r>
      <w:r w:rsidR="00BF02EB">
        <w:t xml:space="preserve"> (</w:t>
      </w:r>
      <w:r w:rsidR="002578DC">
        <w:t xml:space="preserve">Harkin et al., </w:t>
      </w:r>
      <w:r w:rsidR="002D6950">
        <w:t>2025</w:t>
      </w:r>
      <w:r>
        <w:t xml:space="preserve">). To investigate this relationship, this study will utilise both a quantitative and qualitative research design, employing structured questionnaires disseminated through internal email, this chapter will clarify the justification for this methodology and differentiates between </w:t>
      </w:r>
      <w:r w:rsidR="002117E7">
        <w:t xml:space="preserve">the two. It will also explain the steps taken to make sure that the process by which the data is collected is both reliable and valid. </w:t>
      </w:r>
    </w:p>
    <w:p w14:paraId="02FE4898" w14:textId="77777777" w:rsidR="009C3043" w:rsidRDefault="009C3043"/>
    <w:p w14:paraId="0A8D5A78" w14:textId="50A3BFD3" w:rsidR="009C3043" w:rsidRDefault="009C3043">
      <w:r>
        <w:t xml:space="preserve">The motivation for conducting this research is both academic and practical. There is a distinct necessity to broaden the research beyond the individual mental health needs and outcomes to include the relational consequences. From a practical perspective, law enforcement organisations are investing </w:t>
      </w:r>
      <w:r>
        <w:t>more</w:t>
      </w:r>
      <w:r>
        <w:t xml:space="preserve"> into support systems which will often focus on the individual needs of officers; however, those systems will often fail to recognise how the stressors of work can connect to home life. Understanding the connection is essential in guiding development for more comprehensive interventions which involve the whole family.</w:t>
      </w:r>
    </w:p>
    <w:p w14:paraId="4D018229" w14:textId="77777777" w:rsidR="002117E7" w:rsidRDefault="002117E7"/>
    <w:p w14:paraId="2D97F01C" w14:textId="5F419456" w:rsidR="002117E7" w:rsidRPr="002117E7" w:rsidRDefault="002117E7">
      <w:pPr>
        <w:rPr>
          <w:b/>
          <w:bCs/>
          <w:u w:val="single"/>
        </w:rPr>
      </w:pPr>
      <w:r w:rsidRPr="002117E7">
        <w:rPr>
          <w:b/>
          <w:bCs/>
          <w:u w:val="single"/>
        </w:rPr>
        <w:t>Research Strategies</w:t>
      </w:r>
    </w:p>
    <w:p w14:paraId="7E51C0B4" w14:textId="77777777" w:rsidR="002117E7" w:rsidRDefault="002117E7"/>
    <w:p w14:paraId="61A97CC7" w14:textId="77777777" w:rsidR="006510D9" w:rsidRDefault="002117E7">
      <w:r>
        <w:t xml:space="preserve">This research will employ a cross-sectional quantitative and qualitative approach by sending a structured questionnaire to current serving </w:t>
      </w:r>
      <w:r w:rsidR="00BB6ABD">
        <w:t xml:space="preserve">police </w:t>
      </w:r>
      <w:r>
        <w:t>officers of South Wales police via internal email. The questionnaire will look to assess t</w:t>
      </w:r>
      <w:r w:rsidR="00BB6ABD">
        <w:t xml:space="preserve">wo primary concepts, </w:t>
      </w:r>
      <w:r w:rsidR="00BB6ABD">
        <w:lastRenderedPageBreak/>
        <w:t>the first being the indicators of mental health (stress, anxiety and depression) and secondly</w:t>
      </w:r>
      <w:r w:rsidR="009C3043">
        <w:t>,</w:t>
      </w:r>
      <w:r w:rsidR="00BB6ABD">
        <w:t xml:space="preserve"> the perceived impact of these mental health experiences on the officers own interpersonal relationships</w:t>
      </w:r>
      <w:r w:rsidR="009C3043">
        <w:t xml:space="preserve">. </w:t>
      </w:r>
    </w:p>
    <w:p w14:paraId="25C95336" w14:textId="77777777" w:rsidR="006510D9" w:rsidRDefault="006510D9"/>
    <w:p w14:paraId="52FAE0D5" w14:textId="6EF04C5B" w:rsidR="002117E7" w:rsidRDefault="006510D9">
      <w:r>
        <w:t>The q</w:t>
      </w:r>
      <w:r w:rsidR="009C3043">
        <w:t>uestionnaires will also contain sections within</w:t>
      </w:r>
      <w:r w:rsidR="004C01F8">
        <w:t>,</w:t>
      </w:r>
      <w:r w:rsidR="009C3043">
        <w:t xml:space="preserve"> which the participants can write freely, t</w:t>
      </w:r>
      <w:r w:rsidR="009C3043">
        <w:t>his design allows the study to gather quantifiable indicators of mental health while also affording participants the opportunity to articulate, in their own words, their own lived experiences. The justification for integrating both methodologies is based on the intricacy of mental health and interpersonal experiences. Quantitative measures can assist in finding patterns and connections, however qualitive responses offer a better understanding of how officers navigate and deal with the intersection of their work and personal lives.</w:t>
      </w:r>
    </w:p>
    <w:p w14:paraId="1D259174" w14:textId="77777777" w:rsidR="006510D9" w:rsidRDefault="006510D9"/>
    <w:p w14:paraId="3C2BBD02" w14:textId="306957CF" w:rsidR="006510D9" w:rsidRDefault="008675E3">
      <w:r>
        <w:t>While this study will use both quantitative and qualitative approaches, the two are quite different. Quantitative research aims to measure</w:t>
      </w:r>
      <w:r w:rsidR="007F3FDD">
        <w:t>,</w:t>
      </w:r>
      <w:r>
        <w:t xml:space="preserve"> quantify and test hypotheses through statistical analysis, it emphasises the importance of reliability, replicability and generalisability (</w:t>
      </w:r>
      <w:r w:rsidR="004008FB">
        <w:t>Schoonen</w:t>
      </w:r>
      <w:r w:rsidR="0040171A">
        <w:t>boom, 2023</w:t>
      </w:r>
      <w:r>
        <w:t xml:space="preserve">). Within this research, the quantitative aspect will allow the </w:t>
      </w:r>
      <w:r w:rsidR="00A337CB">
        <w:t xml:space="preserve">analysis of the relationship between mental health scores and relationship outcomes. </w:t>
      </w:r>
    </w:p>
    <w:p w14:paraId="00FBCEF4" w14:textId="77777777" w:rsidR="00A337CB" w:rsidRDefault="00A337CB"/>
    <w:p w14:paraId="28308139" w14:textId="2E698FC3" w:rsidR="00A337CB" w:rsidRDefault="007F3FDD">
      <w:r>
        <w:t>However,</w:t>
      </w:r>
      <w:r w:rsidR="00A337CB">
        <w:t xml:space="preserve"> in contrast qualitative research</w:t>
      </w:r>
      <w:r>
        <w:t xml:space="preserve"> </w:t>
      </w:r>
      <w:r w:rsidR="008D6396">
        <w:t xml:space="preserve">is </w:t>
      </w:r>
      <w:r w:rsidR="00765905">
        <w:t xml:space="preserve">based more towards an interpretation </w:t>
      </w:r>
      <w:r w:rsidR="00D648A1">
        <w:t>of how people feel and what a topic means to them</w:t>
      </w:r>
      <w:r w:rsidR="00822D80">
        <w:t xml:space="preserve"> (</w:t>
      </w:r>
      <w:r w:rsidR="000A02A7">
        <w:t>Liu, 2022</w:t>
      </w:r>
      <w:r w:rsidR="00822D80">
        <w:t xml:space="preserve">), interviews with willing participants </w:t>
      </w:r>
      <w:r w:rsidR="00A16A8C">
        <w:t xml:space="preserve">could produce a more </w:t>
      </w:r>
      <w:r w:rsidR="006545DE">
        <w:t>in-depth</w:t>
      </w:r>
      <w:r w:rsidR="00A16A8C">
        <w:t xml:space="preserve"> exploration of the trauma </w:t>
      </w:r>
      <w:r w:rsidR="0036311B">
        <w:t xml:space="preserve">felt upon personal relationships </w:t>
      </w:r>
      <w:r w:rsidR="00861937">
        <w:t>and the regulation of that trauma. However, interviews in this instance would not be</w:t>
      </w:r>
      <w:r w:rsidR="006545DE">
        <w:t xml:space="preserve"> possible within the time constraints. </w:t>
      </w:r>
      <w:r w:rsidR="00861937">
        <w:t xml:space="preserve"> </w:t>
      </w:r>
    </w:p>
    <w:p w14:paraId="030CC1D2" w14:textId="77777777" w:rsidR="009C3043" w:rsidRDefault="009C3043"/>
    <w:p w14:paraId="2AB65E81" w14:textId="56F133FF" w:rsidR="00D314ED" w:rsidRDefault="009C3043">
      <w:r>
        <w:t xml:space="preserve">The decision to use questionnaires via email can be justified on several practical, ethical and methodological grounds. Firstly, the </w:t>
      </w:r>
      <w:r w:rsidR="00D314ED">
        <w:t>accessibility and reach are important factors, officers within any force will often work shift patterns that are rarely the same, they will also be spread over a vast geographical area. Email questionnaires allow participants to complete the survey whenever is convenient to them, subsequently allowing more people to take part, it also includes people from various ranks and departments. Secondly, when you delve into the area of mental health, it is increasingly important to keep opinions and answers of the participants secure and anonymous. Officers may not wish to discuss their mental health challenges as they may be worried about the stigma, given the culture surrounding mental health and policing (</w:t>
      </w:r>
      <w:r w:rsidR="00C05F8B">
        <w:t>Porter &amp; Lee, 2024</w:t>
      </w:r>
      <w:r w:rsidR="00D314ED">
        <w:t xml:space="preserve">). The use of an anonymous online survey lowers any chance of being </w:t>
      </w:r>
      <w:r w:rsidR="00D314ED">
        <w:lastRenderedPageBreak/>
        <w:t xml:space="preserve">recognised and may lead to more truthful and accurate answers than other collection procedures such as in person interviews. Thirdly, </w:t>
      </w:r>
      <w:r w:rsidR="006510D9">
        <w:t>the use of electronic surveys reduces the administrative burden when entering and correlating results.</w:t>
      </w:r>
    </w:p>
    <w:p w14:paraId="430465C6" w14:textId="77777777" w:rsidR="006510D9" w:rsidRDefault="006510D9"/>
    <w:p w14:paraId="000324E4" w14:textId="52D4200B" w:rsidR="006510D9" w:rsidRDefault="006510D9">
      <w:r>
        <w:t>However, this researcher also recognises the limits of this method. Email surveys may fail to get the desired response rate and has a possibility to exhibit self-selection bias (</w:t>
      </w:r>
      <w:r w:rsidR="003135CC">
        <w:t>Sakshaug</w:t>
      </w:r>
      <w:r w:rsidR="003757A8">
        <w:t xml:space="preserve"> et al, 2019</w:t>
      </w:r>
      <w:r>
        <w:t xml:space="preserve">). Those experiencing considerable stress or mental health issues, could be more or less likely to take part, this could possibly lead to a disparity in representation. To reduce the risk of this, the questionnaire will be followed up with a reminder email, the questionnaire will also be concise and user friendly. </w:t>
      </w:r>
    </w:p>
    <w:p w14:paraId="5382284B" w14:textId="77777777" w:rsidR="000E335C" w:rsidRDefault="000E335C"/>
    <w:p w14:paraId="081353BC" w14:textId="0843FFAE" w:rsidR="000E335C" w:rsidRDefault="000E335C">
      <w:pPr>
        <w:rPr>
          <w:b/>
          <w:bCs/>
          <w:u w:val="single"/>
        </w:rPr>
      </w:pPr>
      <w:r w:rsidRPr="00FE6F34">
        <w:rPr>
          <w:b/>
          <w:bCs/>
          <w:u w:val="single"/>
        </w:rPr>
        <w:t xml:space="preserve">Reliability and Validity </w:t>
      </w:r>
    </w:p>
    <w:p w14:paraId="0C48D0E9" w14:textId="77777777" w:rsidR="00FE6F34" w:rsidRDefault="00FE6F34">
      <w:pPr>
        <w:rPr>
          <w:b/>
          <w:bCs/>
          <w:u w:val="single"/>
        </w:rPr>
      </w:pPr>
    </w:p>
    <w:p w14:paraId="769B50F4" w14:textId="0CDF7D4E" w:rsidR="00DF4DC1" w:rsidRDefault="0010439D">
      <w:r>
        <w:t>Reliability is the degree to which a measurement tool is stable and consistent</w:t>
      </w:r>
      <w:r w:rsidR="00834FB0">
        <w:t>, t</w:t>
      </w:r>
      <w:r w:rsidR="00CB3B18">
        <w:t>o increase reliability, this study will employ</w:t>
      </w:r>
      <w:r w:rsidR="00D43001">
        <w:t xml:space="preserve"> established</w:t>
      </w:r>
      <w:r w:rsidR="000A1D70">
        <w:t xml:space="preserve"> scales whenever feasible, including the depression anxiety stress scale and burnout measures (</w:t>
      </w:r>
      <w:r w:rsidR="00076A7E">
        <w:t>Warneke</w:t>
      </w:r>
      <w:r w:rsidR="00A66B51">
        <w:t xml:space="preserve"> et al, 2025</w:t>
      </w:r>
      <w:r w:rsidR="000A1D70">
        <w:t>)</w:t>
      </w:r>
      <w:r w:rsidR="00DC458A">
        <w:t xml:space="preserve">. Using tools that have already been tested and found reliable improves consistency </w:t>
      </w:r>
      <w:r w:rsidR="00B71461">
        <w:t xml:space="preserve">in turn will make it easier for the comparison of other studies. Standardised </w:t>
      </w:r>
      <w:r w:rsidR="00BA4D92">
        <w:t xml:space="preserve">online forms will also guarantee that all participants receive uniform </w:t>
      </w:r>
      <w:r w:rsidR="00DF4DC1">
        <w:t xml:space="preserve">question. </w:t>
      </w:r>
    </w:p>
    <w:p w14:paraId="4D829EFA" w14:textId="77777777" w:rsidR="00DF4DC1" w:rsidRDefault="00DF4DC1"/>
    <w:p w14:paraId="2184E458" w14:textId="64A2A1B5" w:rsidR="00FE6F34" w:rsidRDefault="00DF4DC1">
      <w:r>
        <w:t xml:space="preserve">Validity refers to </w:t>
      </w:r>
      <w:r w:rsidR="00CC263F">
        <w:t xml:space="preserve">whether the tool can accurately measure the </w:t>
      </w:r>
      <w:r w:rsidR="00941791">
        <w:t>elements that it was made to</w:t>
      </w:r>
      <w:r w:rsidR="000624FD">
        <w:t>.</w:t>
      </w:r>
      <w:r w:rsidR="00290C8A">
        <w:t xml:space="preserve"> Validity can be examined by assessing </w:t>
      </w:r>
      <w:r w:rsidR="006B7CB6">
        <w:t>whether</w:t>
      </w:r>
      <w:r w:rsidR="00E728F6">
        <w:t xml:space="preserve"> higher levels of stress etc are associated </w:t>
      </w:r>
      <w:r w:rsidR="00337479">
        <w:t xml:space="preserve">with greater relationship struggles and if the findings are consistent </w:t>
      </w:r>
      <w:r w:rsidR="00AF0F45">
        <w:t>with previous studies (</w:t>
      </w:r>
      <w:r w:rsidR="00437E72">
        <w:t>Newton</w:t>
      </w:r>
      <w:r w:rsidR="00576A9A">
        <w:t>, P., 2012</w:t>
      </w:r>
      <w:r w:rsidR="00AF0F45">
        <w:t>).</w:t>
      </w:r>
      <w:r w:rsidR="000624FD">
        <w:t xml:space="preserve"> Internal validity </w:t>
      </w:r>
      <w:r w:rsidR="00D33368">
        <w:t xml:space="preserve">can be bolstered with the implementation of statistical controls, for example, rank, </w:t>
      </w:r>
      <w:r w:rsidR="007D1079">
        <w:t>department and years of service.</w:t>
      </w:r>
    </w:p>
    <w:p w14:paraId="2A4B1223" w14:textId="77777777" w:rsidR="00E54E00" w:rsidRDefault="00E54E00"/>
    <w:p w14:paraId="2FA55194" w14:textId="7A1C5149" w:rsidR="00E54E00" w:rsidRDefault="00312092">
      <w:r>
        <w:t xml:space="preserve">Within this chapter, it has been found that </w:t>
      </w:r>
      <w:r w:rsidR="00EA7A69">
        <w:t xml:space="preserve">a quantitative and qualitative design using email distributed surveys is </w:t>
      </w:r>
      <w:r w:rsidR="00D032F8">
        <w:t xml:space="preserve">suitable, effective </w:t>
      </w:r>
      <w:r w:rsidR="004F2DDE">
        <w:t>and</w:t>
      </w:r>
      <w:r w:rsidR="00D032F8">
        <w:t xml:space="preserve"> considerate.</w:t>
      </w:r>
      <w:r w:rsidR="004F2DDE">
        <w:t xml:space="preserve"> While also keeping the results as reliable and </w:t>
      </w:r>
      <w:r w:rsidR="00337395">
        <w:t xml:space="preserve">valid as possible. This approach seeks to produce more robust findings that will assist in enhancing the understanding of mental health issues within </w:t>
      </w:r>
      <w:r w:rsidR="00AB63EB">
        <w:t xml:space="preserve">British policing as well as the relational wellbeing </w:t>
      </w:r>
      <w:r w:rsidR="00491975">
        <w:t xml:space="preserve">of the officers involved. </w:t>
      </w:r>
      <w:r w:rsidR="004F2DDE">
        <w:t xml:space="preserve"> </w:t>
      </w:r>
      <w:r w:rsidR="00D032F8">
        <w:t xml:space="preserve"> </w:t>
      </w:r>
    </w:p>
    <w:p w14:paraId="15F74D69" w14:textId="77777777" w:rsidR="002D6950" w:rsidRDefault="002D6950"/>
    <w:p w14:paraId="740E40E3" w14:textId="77777777" w:rsidR="002D6950" w:rsidRDefault="002D6950"/>
    <w:p w14:paraId="57C7E286" w14:textId="77777777" w:rsidR="002D6950" w:rsidRDefault="002D6950"/>
    <w:p w14:paraId="75BCC1E8" w14:textId="7D7BD9FB" w:rsidR="002D6950" w:rsidRDefault="002D6950">
      <w:pPr>
        <w:rPr>
          <w:b/>
          <w:bCs/>
          <w:u w:val="single"/>
        </w:rPr>
      </w:pPr>
      <w:r w:rsidRPr="002D6950">
        <w:rPr>
          <w:b/>
          <w:bCs/>
          <w:u w:val="single"/>
        </w:rPr>
        <w:lastRenderedPageBreak/>
        <w:t>References</w:t>
      </w:r>
      <w:r>
        <w:rPr>
          <w:b/>
          <w:bCs/>
          <w:u w:val="single"/>
        </w:rPr>
        <w:t xml:space="preserve"> </w:t>
      </w:r>
    </w:p>
    <w:p w14:paraId="5C02B480" w14:textId="77777777" w:rsidR="002D6950" w:rsidRDefault="002D6950">
      <w:pPr>
        <w:rPr>
          <w:b/>
          <w:bCs/>
          <w:u w:val="single"/>
        </w:rPr>
      </w:pPr>
    </w:p>
    <w:p w14:paraId="436E0F0F" w14:textId="65C97452" w:rsidR="002D6950" w:rsidRDefault="002D6950">
      <w:r>
        <w:t>Harkin, B., Rawlinson</w:t>
      </w:r>
      <w:r w:rsidR="00CE12CB">
        <w:t>, L., Davies, L. E. and Yates, A. J. (2025) Beyond the Badge</w:t>
      </w:r>
      <w:r w:rsidR="0051226F">
        <w:t xml:space="preserve">: Organizational Barriers to Police Anxiety and Mental Health Support, </w:t>
      </w:r>
      <w:r w:rsidR="0051226F" w:rsidRPr="007A682A">
        <w:rPr>
          <w:i/>
          <w:iCs/>
        </w:rPr>
        <w:t>Policing: A Journal of Policy and Practice</w:t>
      </w:r>
      <w:r w:rsidR="0051226F">
        <w:t>, 19</w:t>
      </w:r>
      <w:r w:rsidR="00232223">
        <w:t xml:space="preserve">. </w:t>
      </w:r>
    </w:p>
    <w:p w14:paraId="60EC95C9" w14:textId="77777777" w:rsidR="00232223" w:rsidRDefault="00232223"/>
    <w:p w14:paraId="2DA127F6" w14:textId="5533D350" w:rsidR="0040171A" w:rsidRDefault="0040171A">
      <w:r>
        <w:t>Schoonenboom</w:t>
      </w:r>
      <w:r w:rsidR="00277BE5">
        <w:t xml:space="preserve">, J. (2023) The Fundamental Difference Between Qualitative and Quantitative Data in Mixed Methods Research. </w:t>
      </w:r>
      <w:r w:rsidR="00277BE5" w:rsidRPr="007A682A">
        <w:rPr>
          <w:i/>
          <w:iCs/>
        </w:rPr>
        <w:t>Forum: Qual</w:t>
      </w:r>
      <w:r w:rsidR="00DA412E" w:rsidRPr="007A682A">
        <w:rPr>
          <w:i/>
          <w:iCs/>
        </w:rPr>
        <w:t>itative Social Research</w:t>
      </w:r>
      <w:r w:rsidR="00DA412E">
        <w:t>, 24(1)</w:t>
      </w:r>
      <w:r w:rsidR="007A682A">
        <w:t xml:space="preserve">. </w:t>
      </w:r>
    </w:p>
    <w:p w14:paraId="3B50B77C" w14:textId="77777777" w:rsidR="007A682A" w:rsidRDefault="007A682A"/>
    <w:p w14:paraId="4F775D05" w14:textId="0298183B" w:rsidR="007A682A" w:rsidRDefault="000A02A7">
      <w:r>
        <w:t>Liu, Y. (2022) Para</w:t>
      </w:r>
      <w:r w:rsidR="000E5171">
        <w:t>digmatic Compatibility Matters: A Critical Review of Qualitative</w:t>
      </w:r>
      <w:r w:rsidR="009A16C3">
        <w:t xml:space="preserve"> – Quantitative Debate in Mixed Methods Research. </w:t>
      </w:r>
      <w:r w:rsidR="009A16C3" w:rsidRPr="009A16C3">
        <w:rPr>
          <w:i/>
          <w:iCs/>
        </w:rPr>
        <w:t>Sage open</w:t>
      </w:r>
      <w:r w:rsidR="009A16C3">
        <w:t xml:space="preserve">, 12(1). </w:t>
      </w:r>
    </w:p>
    <w:p w14:paraId="4E58252C" w14:textId="77777777" w:rsidR="00232223" w:rsidRDefault="00232223"/>
    <w:p w14:paraId="7308A104" w14:textId="4EA26A6B" w:rsidR="00C05F8B" w:rsidRDefault="00C05F8B">
      <w:r>
        <w:t>Porter, C. N</w:t>
      </w:r>
      <w:r w:rsidR="00CA68C7">
        <w:t>. and Lee, R. (2024) The Policing Culture: An Exploration into the Mental Health of Former British Police Officers: Research and Reviews, Current Psy</w:t>
      </w:r>
      <w:r w:rsidR="00F914D9">
        <w:t xml:space="preserve">chology, 43(3), pp. 2214 – 2228. </w:t>
      </w:r>
    </w:p>
    <w:p w14:paraId="794CF38C" w14:textId="77777777" w:rsidR="00F914D9" w:rsidRDefault="00F914D9"/>
    <w:p w14:paraId="58399710" w14:textId="097083BB" w:rsidR="00F914D9" w:rsidRDefault="003757A8">
      <w:r>
        <w:t>Sakshaug, J.</w:t>
      </w:r>
      <w:r w:rsidR="00100FF1">
        <w:t xml:space="preserve"> W., Vicari, B., and Couper, M. P. (2019) Paper, E-mail</w:t>
      </w:r>
      <w:r w:rsidR="00E56582">
        <w:t xml:space="preserve"> or Both? Effects of Contact Mode on Participation in a Web Survey of Establish</w:t>
      </w:r>
      <w:r w:rsidR="006D1001">
        <w:t xml:space="preserve">ments, Social Science Computer Review, 37(6), pp. 750 </w:t>
      </w:r>
      <w:r w:rsidR="00A92E02">
        <w:t>–</w:t>
      </w:r>
      <w:r w:rsidR="006D1001">
        <w:t xml:space="preserve"> </w:t>
      </w:r>
      <w:r w:rsidR="00A92E02">
        <w:t>765.</w:t>
      </w:r>
    </w:p>
    <w:p w14:paraId="3C34D4C4" w14:textId="77777777" w:rsidR="00A92E02" w:rsidRDefault="00A92E02"/>
    <w:p w14:paraId="2CCBC3D9" w14:textId="29EEBEC6" w:rsidR="00A92E02" w:rsidRDefault="00A66B51">
      <w:r>
        <w:t>Warneke, K., Keiner</w:t>
      </w:r>
      <w:r w:rsidR="00471DC2">
        <w:t>, M., Wallot, S., Siegel, S. D., Gun</w:t>
      </w:r>
      <w:r w:rsidR="002A1F5C">
        <w:t xml:space="preserve">ther, C., Wirth, K., </w:t>
      </w:r>
      <w:r w:rsidR="00743FF5">
        <w:t>and</w:t>
      </w:r>
      <w:r w:rsidR="002A1F5C">
        <w:t xml:space="preserve"> Puschkasch-Mock</w:t>
      </w:r>
      <w:r w:rsidR="00743FF5">
        <w:t>, S. (2025) The Impact of Sample Size on Reliability Metrics Stability in Isokinetic Strength Assessments: Does Size Matter? Measurement in Physical Education and Exercise Science</w:t>
      </w:r>
      <w:r w:rsidR="00251E25">
        <w:t xml:space="preserve">, 29(4), pp. 422 – 433. </w:t>
      </w:r>
    </w:p>
    <w:p w14:paraId="60932B74" w14:textId="77777777" w:rsidR="009A16C3" w:rsidRDefault="009A16C3"/>
    <w:p w14:paraId="34D85281" w14:textId="227CE297" w:rsidR="00251E25" w:rsidRPr="002D6950" w:rsidRDefault="00107AE2">
      <w:r>
        <w:t>Newton, P. E. (2012) Clarifying the Consensus Definition of Validity</w:t>
      </w:r>
      <w:r w:rsidR="00813F6F">
        <w:t>. Measurement: Interdisciplinary Research and Pers</w:t>
      </w:r>
      <w:r w:rsidR="007D1D9E">
        <w:t xml:space="preserve">pectives, 10(1-2), pp. 1 – 29. </w:t>
      </w:r>
    </w:p>
    <w:sectPr w:rsidR="00251E25" w:rsidRPr="002D69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415"/>
    <w:rsid w:val="00002456"/>
    <w:rsid w:val="000624FD"/>
    <w:rsid w:val="00076A7E"/>
    <w:rsid w:val="000A02A7"/>
    <w:rsid w:val="000A1D70"/>
    <w:rsid w:val="000E335C"/>
    <w:rsid w:val="000E5171"/>
    <w:rsid w:val="00100FF1"/>
    <w:rsid w:val="0010439D"/>
    <w:rsid w:val="00107AE2"/>
    <w:rsid w:val="00155A20"/>
    <w:rsid w:val="002117E7"/>
    <w:rsid w:val="00222885"/>
    <w:rsid w:val="00232223"/>
    <w:rsid w:val="00251E25"/>
    <w:rsid w:val="002578DC"/>
    <w:rsid w:val="00277BE5"/>
    <w:rsid w:val="00290C8A"/>
    <w:rsid w:val="002A1F5C"/>
    <w:rsid w:val="002D6950"/>
    <w:rsid w:val="00307F90"/>
    <w:rsid w:val="00312092"/>
    <w:rsid w:val="003135CC"/>
    <w:rsid w:val="00337395"/>
    <w:rsid w:val="00337479"/>
    <w:rsid w:val="0036311B"/>
    <w:rsid w:val="003757A8"/>
    <w:rsid w:val="003D1BB6"/>
    <w:rsid w:val="003E4308"/>
    <w:rsid w:val="004008FB"/>
    <w:rsid w:val="0040171A"/>
    <w:rsid w:val="00423078"/>
    <w:rsid w:val="004355B4"/>
    <w:rsid w:val="00437E72"/>
    <w:rsid w:val="00453415"/>
    <w:rsid w:val="00471DC2"/>
    <w:rsid w:val="0047762B"/>
    <w:rsid w:val="00491975"/>
    <w:rsid w:val="004C01F8"/>
    <w:rsid w:val="004F2DDE"/>
    <w:rsid w:val="0051226F"/>
    <w:rsid w:val="00576A9A"/>
    <w:rsid w:val="006510D9"/>
    <w:rsid w:val="006545DE"/>
    <w:rsid w:val="006A6553"/>
    <w:rsid w:val="006B770E"/>
    <w:rsid w:val="006B7CB6"/>
    <w:rsid w:val="006D1001"/>
    <w:rsid w:val="00743FF5"/>
    <w:rsid w:val="00765905"/>
    <w:rsid w:val="007A682A"/>
    <w:rsid w:val="007C4D0E"/>
    <w:rsid w:val="007D1079"/>
    <w:rsid w:val="007D1D9E"/>
    <w:rsid w:val="007F3FDD"/>
    <w:rsid w:val="00813F6F"/>
    <w:rsid w:val="00822D80"/>
    <w:rsid w:val="00834FB0"/>
    <w:rsid w:val="00851F2D"/>
    <w:rsid w:val="00861937"/>
    <w:rsid w:val="008675E3"/>
    <w:rsid w:val="008D6396"/>
    <w:rsid w:val="00941791"/>
    <w:rsid w:val="009812A1"/>
    <w:rsid w:val="009A16C3"/>
    <w:rsid w:val="009C3043"/>
    <w:rsid w:val="00A16A8C"/>
    <w:rsid w:val="00A337CB"/>
    <w:rsid w:val="00A66B51"/>
    <w:rsid w:val="00A92E02"/>
    <w:rsid w:val="00AB63EB"/>
    <w:rsid w:val="00AD30F5"/>
    <w:rsid w:val="00AF0F45"/>
    <w:rsid w:val="00B71461"/>
    <w:rsid w:val="00BA4D92"/>
    <w:rsid w:val="00BB6ABD"/>
    <w:rsid w:val="00BF02EB"/>
    <w:rsid w:val="00C05F8B"/>
    <w:rsid w:val="00CA68C7"/>
    <w:rsid w:val="00CB3B18"/>
    <w:rsid w:val="00CB5A1D"/>
    <w:rsid w:val="00CC263F"/>
    <w:rsid w:val="00CD3BCD"/>
    <w:rsid w:val="00CE12CB"/>
    <w:rsid w:val="00D032F8"/>
    <w:rsid w:val="00D314ED"/>
    <w:rsid w:val="00D33368"/>
    <w:rsid w:val="00D35DE6"/>
    <w:rsid w:val="00D43001"/>
    <w:rsid w:val="00D648A1"/>
    <w:rsid w:val="00DA412E"/>
    <w:rsid w:val="00DC458A"/>
    <w:rsid w:val="00DF4DC1"/>
    <w:rsid w:val="00E54E00"/>
    <w:rsid w:val="00E56582"/>
    <w:rsid w:val="00E728F6"/>
    <w:rsid w:val="00EA7A69"/>
    <w:rsid w:val="00F914D9"/>
    <w:rsid w:val="00FD497E"/>
    <w:rsid w:val="00FE6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205A6"/>
  <w15:chartTrackingRefBased/>
  <w15:docId w15:val="{0C543DF5-F21C-445B-9483-D9474A61F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415"/>
  </w:style>
  <w:style w:type="paragraph" w:styleId="Heading1">
    <w:name w:val="heading 1"/>
    <w:basedOn w:val="Normal"/>
    <w:next w:val="Normal"/>
    <w:link w:val="Heading1Char"/>
    <w:uiPriority w:val="9"/>
    <w:qFormat/>
    <w:rsid w:val="004534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4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4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4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4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4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4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4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4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4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4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4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4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4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4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4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4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415"/>
    <w:rPr>
      <w:rFonts w:eastAsiaTheme="majorEastAsia" w:cstheme="majorBidi"/>
      <w:color w:val="272727" w:themeColor="text1" w:themeTint="D8"/>
    </w:rPr>
  </w:style>
  <w:style w:type="paragraph" w:styleId="Title">
    <w:name w:val="Title"/>
    <w:basedOn w:val="Normal"/>
    <w:next w:val="Normal"/>
    <w:link w:val="TitleChar"/>
    <w:uiPriority w:val="10"/>
    <w:qFormat/>
    <w:rsid w:val="004534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4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4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4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415"/>
    <w:pPr>
      <w:spacing w:before="160"/>
      <w:jc w:val="center"/>
    </w:pPr>
    <w:rPr>
      <w:i/>
      <w:iCs/>
      <w:color w:val="404040" w:themeColor="text1" w:themeTint="BF"/>
    </w:rPr>
  </w:style>
  <w:style w:type="character" w:customStyle="1" w:styleId="QuoteChar">
    <w:name w:val="Quote Char"/>
    <w:basedOn w:val="DefaultParagraphFont"/>
    <w:link w:val="Quote"/>
    <w:uiPriority w:val="29"/>
    <w:rsid w:val="00453415"/>
    <w:rPr>
      <w:i/>
      <w:iCs/>
      <w:color w:val="404040" w:themeColor="text1" w:themeTint="BF"/>
    </w:rPr>
  </w:style>
  <w:style w:type="paragraph" w:styleId="ListParagraph">
    <w:name w:val="List Paragraph"/>
    <w:basedOn w:val="Normal"/>
    <w:uiPriority w:val="34"/>
    <w:qFormat/>
    <w:rsid w:val="00453415"/>
    <w:pPr>
      <w:ind w:left="720"/>
      <w:contextualSpacing/>
    </w:pPr>
  </w:style>
  <w:style w:type="character" w:styleId="IntenseEmphasis">
    <w:name w:val="Intense Emphasis"/>
    <w:basedOn w:val="DefaultParagraphFont"/>
    <w:uiPriority w:val="21"/>
    <w:qFormat/>
    <w:rsid w:val="00453415"/>
    <w:rPr>
      <w:i/>
      <w:iCs/>
      <w:color w:val="0F4761" w:themeColor="accent1" w:themeShade="BF"/>
    </w:rPr>
  </w:style>
  <w:style w:type="paragraph" w:styleId="IntenseQuote">
    <w:name w:val="Intense Quote"/>
    <w:basedOn w:val="Normal"/>
    <w:next w:val="Normal"/>
    <w:link w:val="IntenseQuoteChar"/>
    <w:uiPriority w:val="30"/>
    <w:qFormat/>
    <w:rsid w:val="004534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415"/>
    <w:rPr>
      <w:i/>
      <w:iCs/>
      <w:color w:val="0F4761" w:themeColor="accent1" w:themeShade="BF"/>
    </w:rPr>
  </w:style>
  <w:style w:type="character" w:styleId="IntenseReference">
    <w:name w:val="Intense Reference"/>
    <w:basedOn w:val="DefaultParagraphFont"/>
    <w:uiPriority w:val="32"/>
    <w:qFormat/>
    <w:rsid w:val="004534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4172</TotalTime>
  <Pages>4</Pages>
  <Words>1065</Words>
  <Characters>7189</Characters>
  <Application>Microsoft Office Word</Application>
  <DocSecurity>0</DocSecurity>
  <Lines>179</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Simons,Daniel swp8755</dc:creator>
  <cp:keywords/>
  <dc:description/>
  <cp:lastModifiedBy>Simons,Daniel swp8755</cp:lastModifiedBy>
  <cp:revision>88</cp:revision>
  <dcterms:created xsi:type="dcterms:W3CDTF">2026-03-03T13:04:00Z</dcterms:created>
  <dcterms:modified xsi:type="dcterms:W3CDTF">2026-03-06T10:57:00Z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2026-03-04T13:28:36Z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583feb76-2b2e-4335-884d-9ca9f981be87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