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FD1D46" w:rsidRDefault="00FD1D46">
      <w:pPr>
        <w:spacing w:line="480" w:lineRule="auto"/>
        <w:jc w:val="center"/>
        <w:rPr>
          <w:rFonts w:ascii="Times New Roman" w:eastAsia="Times New Roman" w:hAnsi="Times New Roman" w:cs="Times New Roman"/>
          <w:sz w:val="24"/>
          <w:szCs w:val="24"/>
        </w:rPr>
      </w:pPr>
    </w:p>
    <w:p w14:paraId="00000002" w14:textId="77777777" w:rsidR="00FD1D46" w:rsidRDefault="00FD1D46">
      <w:pPr>
        <w:spacing w:line="480" w:lineRule="auto"/>
        <w:jc w:val="center"/>
        <w:rPr>
          <w:rFonts w:ascii="Times New Roman" w:eastAsia="Times New Roman" w:hAnsi="Times New Roman" w:cs="Times New Roman"/>
          <w:sz w:val="24"/>
          <w:szCs w:val="24"/>
        </w:rPr>
      </w:pPr>
    </w:p>
    <w:p w14:paraId="00000003" w14:textId="77777777" w:rsidR="00FD1D46" w:rsidRDefault="00FD1D46">
      <w:pPr>
        <w:spacing w:line="480" w:lineRule="auto"/>
        <w:jc w:val="center"/>
        <w:rPr>
          <w:rFonts w:ascii="Times New Roman" w:eastAsia="Times New Roman" w:hAnsi="Times New Roman" w:cs="Times New Roman"/>
          <w:sz w:val="24"/>
          <w:szCs w:val="24"/>
        </w:rPr>
      </w:pPr>
    </w:p>
    <w:p w14:paraId="00000004" w14:textId="77777777" w:rsidR="00FD1D46"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MANAGING FOREIGN EXCHANGE RISKS IN MULTINATIONAL CORPORATIONS</w:t>
      </w:r>
    </w:p>
    <w:p w14:paraId="00000005" w14:textId="77777777" w:rsidR="00FD1D46" w:rsidRDefault="00FD1D46">
      <w:pPr>
        <w:spacing w:line="480" w:lineRule="auto"/>
        <w:jc w:val="center"/>
        <w:rPr>
          <w:rFonts w:ascii="Times New Roman" w:eastAsia="Times New Roman" w:hAnsi="Times New Roman" w:cs="Times New Roman"/>
          <w:sz w:val="24"/>
          <w:szCs w:val="24"/>
        </w:rPr>
      </w:pPr>
    </w:p>
    <w:p w14:paraId="00000006" w14:textId="494645EF" w:rsidR="00FD1D46" w:rsidRPr="00FC7EDE" w:rsidRDefault="00FC7EDE">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00000000">
        <w:rPr>
          <w:rFonts w:ascii="Times New Roman" w:eastAsia="Times New Roman" w:hAnsi="Times New Roman" w:cs="Times New Roman"/>
          <w:sz w:val="24"/>
          <w:szCs w:val="24"/>
        </w:rPr>
        <w:t>y</w:t>
      </w:r>
      <w:r>
        <w:rPr>
          <w:rFonts w:ascii="Times New Roman" w:eastAsia="Times New Roman" w:hAnsi="Times New Roman" w:cs="Times New Roman"/>
          <w:sz w:val="24"/>
          <w:szCs w:val="24"/>
          <w:lang w:val="bg-BG"/>
        </w:rPr>
        <w:t>:</w:t>
      </w:r>
      <w:r>
        <w:rPr>
          <w:rFonts w:ascii="Times New Roman" w:eastAsia="Times New Roman" w:hAnsi="Times New Roman" w:cs="Times New Roman"/>
          <w:sz w:val="24"/>
          <w:szCs w:val="24"/>
        </w:rPr>
        <w:t>Desislav Dyankov</w:t>
      </w:r>
    </w:p>
    <w:p w14:paraId="00000007" w14:textId="77777777" w:rsidR="00FD1D46" w:rsidRDefault="00FD1D46">
      <w:pPr>
        <w:spacing w:line="480" w:lineRule="auto"/>
        <w:jc w:val="center"/>
        <w:rPr>
          <w:rFonts w:ascii="Times New Roman" w:eastAsia="Times New Roman" w:hAnsi="Times New Roman" w:cs="Times New Roman"/>
          <w:sz w:val="24"/>
          <w:szCs w:val="24"/>
        </w:rPr>
      </w:pPr>
    </w:p>
    <w:p w14:paraId="00000008" w14:textId="77777777" w:rsidR="00FD1D46" w:rsidRDefault="00FD1D46">
      <w:pPr>
        <w:spacing w:line="480" w:lineRule="auto"/>
        <w:jc w:val="center"/>
        <w:rPr>
          <w:rFonts w:ascii="Times New Roman" w:eastAsia="Times New Roman" w:hAnsi="Times New Roman" w:cs="Times New Roman"/>
          <w:sz w:val="24"/>
          <w:szCs w:val="24"/>
        </w:rPr>
      </w:pPr>
    </w:p>
    <w:p w14:paraId="00000009" w14:textId="77777777" w:rsidR="00FD1D46" w:rsidRDefault="00FD1D46">
      <w:pPr>
        <w:spacing w:line="480" w:lineRule="auto"/>
        <w:jc w:val="center"/>
        <w:rPr>
          <w:rFonts w:ascii="Times New Roman" w:eastAsia="Times New Roman" w:hAnsi="Times New Roman" w:cs="Times New Roman"/>
          <w:sz w:val="24"/>
          <w:szCs w:val="24"/>
        </w:rPr>
      </w:pPr>
    </w:p>
    <w:p w14:paraId="0000000A" w14:textId="77777777" w:rsidR="00FD1D46" w:rsidRDefault="00FD1D46">
      <w:pPr>
        <w:spacing w:line="480" w:lineRule="auto"/>
        <w:jc w:val="center"/>
        <w:rPr>
          <w:rFonts w:ascii="Times New Roman" w:eastAsia="Times New Roman" w:hAnsi="Times New Roman" w:cs="Times New Roman"/>
          <w:sz w:val="24"/>
          <w:szCs w:val="24"/>
        </w:rPr>
      </w:pPr>
    </w:p>
    <w:p w14:paraId="0000000B" w14:textId="21CD214D" w:rsidR="00FD1D46"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Course</w:t>
      </w:r>
      <w:r w:rsidR="0051404F">
        <w:rPr>
          <w:rFonts w:ascii="Times New Roman" w:eastAsia="Times New Roman" w:hAnsi="Times New Roman" w:cs="Times New Roman"/>
          <w:sz w:val="24"/>
          <w:szCs w:val="24"/>
        </w:rPr>
        <w:t>:</w:t>
      </w:r>
      <w:r w:rsidR="0051404F" w:rsidRPr="0051404F">
        <w:rPr>
          <w:rFonts w:ascii="Times New Roman" w:eastAsia="Times New Roman" w:hAnsi="Times New Roman" w:cs="Times New Roman"/>
          <w:sz w:val="24"/>
          <w:szCs w:val="24"/>
        </w:rPr>
        <w:t xml:space="preserve"> International Financial Management</w:t>
      </w:r>
      <w:r w:rsidR="005A37D5">
        <w:rPr>
          <w:rFonts w:ascii="Times New Roman" w:eastAsia="Times New Roman" w:hAnsi="Times New Roman" w:cs="Times New Roman"/>
          <w:sz w:val="24"/>
          <w:szCs w:val="24"/>
        </w:rPr>
        <w:t xml:space="preserve"> LCBB6002</w:t>
      </w:r>
    </w:p>
    <w:p w14:paraId="0000000D" w14:textId="36A8175F" w:rsidR="00FD1D46"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Professor</w:t>
      </w:r>
      <w:r w:rsidR="00B30A10">
        <w:rPr>
          <w:rFonts w:ascii="Times New Roman" w:eastAsia="Times New Roman" w:hAnsi="Times New Roman" w:cs="Times New Roman"/>
          <w:sz w:val="24"/>
          <w:szCs w:val="24"/>
        </w:rPr>
        <w:t>:</w:t>
      </w:r>
      <w:r w:rsidR="00B30A10" w:rsidRPr="00B30A10">
        <w:rPr>
          <w:rFonts w:ascii="Times New Roman" w:eastAsia="Times New Roman" w:hAnsi="Times New Roman" w:cs="Times New Roman"/>
          <w:sz w:val="24"/>
          <w:szCs w:val="24"/>
        </w:rPr>
        <w:t xml:space="preserve"> </w:t>
      </w:r>
      <w:proofErr w:type="spellStart"/>
      <w:r w:rsidR="00B30A10" w:rsidRPr="00B30A10">
        <w:rPr>
          <w:rFonts w:ascii="Times New Roman" w:eastAsia="Times New Roman" w:hAnsi="Times New Roman" w:cs="Times New Roman"/>
          <w:sz w:val="24"/>
          <w:szCs w:val="24"/>
        </w:rPr>
        <w:t>Riaz</w:t>
      </w:r>
      <w:proofErr w:type="spellEnd"/>
      <w:r w:rsidR="00B30A10" w:rsidRPr="00B30A10">
        <w:rPr>
          <w:rFonts w:ascii="Times New Roman" w:eastAsia="Times New Roman" w:hAnsi="Times New Roman" w:cs="Times New Roman"/>
          <w:sz w:val="24"/>
          <w:szCs w:val="24"/>
        </w:rPr>
        <w:t xml:space="preserve"> </w:t>
      </w:r>
      <w:proofErr w:type="spellStart"/>
      <w:r w:rsidR="00B30A10" w:rsidRPr="00B30A10">
        <w:rPr>
          <w:rFonts w:ascii="Times New Roman" w:eastAsia="Times New Roman" w:hAnsi="Times New Roman" w:cs="Times New Roman"/>
          <w:sz w:val="24"/>
          <w:szCs w:val="24"/>
        </w:rPr>
        <w:t>Bhatt</w:t>
      </w:r>
      <w:r w:rsidR="001E3E71">
        <w:rPr>
          <w:rFonts w:ascii="Times New Roman" w:eastAsia="Times New Roman" w:hAnsi="Times New Roman" w:cs="Times New Roman"/>
          <w:sz w:val="24"/>
          <w:szCs w:val="24"/>
        </w:rPr>
        <w:t>i</w:t>
      </w:r>
      <w:proofErr w:type="spellEnd"/>
    </w:p>
    <w:p w14:paraId="0000000E" w14:textId="6AF31FA7" w:rsidR="00FD1D46" w:rsidRDefault="00FD1D46" w:rsidP="001E3E71">
      <w:pPr>
        <w:spacing w:line="480" w:lineRule="auto"/>
        <w:rPr>
          <w:rFonts w:ascii="Times New Roman" w:eastAsia="Times New Roman" w:hAnsi="Times New Roman" w:cs="Times New Roman"/>
          <w:sz w:val="24"/>
          <w:szCs w:val="24"/>
        </w:rPr>
      </w:pPr>
    </w:p>
    <w:p w14:paraId="0000000F" w14:textId="7B556D8D" w:rsidR="00FD1D46" w:rsidRDefault="00FD1D46" w:rsidP="001E3E71">
      <w:pPr>
        <w:spacing w:line="480" w:lineRule="auto"/>
        <w:rPr>
          <w:rFonts w:ascii="Times New Roman" w:eastAsia="Times New Roman" w:hAnsi="Times New Roman" w:cs="Times New Roman"/>
          <w:sz w:val="24"/>
          <w:szCs w:val="24"/>
        </w:rPr>
      </w:pPr>
    </w:p>
    <w:p w14:paraId="00000010" w14:textId="77777777" w:rsidR="00FD1D46" w:rsidRDefault="00FD1D46">
      <w:pPr>
        <w:spacing w:line="480" w:lineRule="auto"/>
        <w:rPr>
          <w:rFonts w:ascii="Times New Roman" w:eastAsia="Times New Roman" w:hAnsi="Times New Roman" w:cs="Times New Roman"/>
          <w:b/>
          <w:sz w:val="24"/>
          <w:szCs w:val="24"/>
        </w:rPr>
      </w:pPr>
    </w:p>
    <w:p w14:paraId="00000011" w14:textId="77777777" w:rsidR="00FD1D46" w:rsidRDefault="00FD1D46">
      <w:pPr>
        <w:spacing w:line="480" w:lineRule="auto"/>
        <w:rPr>
          <w:rFonts w:ascii="Times New Roman" w:eastAsia="Times New Roman" w:hAnsi="Times New Roman" w:cs="Times New Roman"/>
          <w:b/>
          <w:sz w:val="24"/>
          <w:szCs w:val="24"/>
        </w:rPr>
      </w:pPr>
    </w:p>
    <w:p w14:paraId="00000012" w14:textId="77777777" w:rsidR="00FD1D46" w:rsidRDefault="00FD1D46">
      <w:pPr>
        <w:spacing w:line="480" w:lineRule="auto"/>
        <w:rPr>
          <w:rFonts w:ascii="Times New Roman" w:eastAsia="Times New Roman" w:hAnsi="Times New Roman" w:cs="Times New Roman"/>
          <w:b/>
          <w:sz w:val="24"/>
          <w:szCs w:val="24"/>
        </w:rPr>
      </w:pPr>
    </w:p>
    <w:p w14:paraId="00000013" w14:textId="77777777" w:rsidR="00FD1D46" w:rsidRDefault="00000000">
      <w:pPr>
        <w:keepNext/>
        <w:keepLines/>
        <w:pBdr>
          <w:top w:val="nil"/>
          <w:left w:val="nil"/>
          <w:bottom w:val="nil"/>
          <w:right w:val="nil"/>
          <w:between w:val="nil"/>
        </w:pBdr>
        <w:spacing w:before="240" w:after="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sdt>
      <w:sdtPr>
        <w:id w:val="1622495166"/>
        <w:docPartObj>
          <w:docPartGallery w:val="Table of Contents"/>
          <w:docPartUnique/>
        </w:docPartObj>
      </w:sdtPr>
      <w:sdtContent>
        <w:p w14:paraId="00000014" w14:textId="77777777" w:rsidR="00FD1D46" w:rsidRDefault="00000000">
          <w:pPr>
            <w:widowControl w:val="0"/>
            <w:tabs>
              <w:tab w:val="right" w:pos="12000"/>
            </w:tabs>
            <w:spacing w:before="60" w:after="0" w:line="240" w:lineRule="auto"/>
            <w:rPr>
              <w:rFonts w:ascii="Times New Roman" w:eastAsia="Times New Roman" w:hAnsi="Times New Roman" w:cs="Times New Roman"/>
              <w:b/>
              <w:color w:val="000000"/>
              <w:sz w:val="24"/>
              <w:szCs w:val="24"/>
            </w:rPr>
          </w:pPr>
          <w:r>
            <w:fldChar w:fldCharType="begin"/>
          </w:r>
          <w:r>
            <w:instrText xml:space="preserve"> TOC \h \u \z \t "Heading 1,1,Heading 2,2,Heading 3,3,"</w:instrText>
          </w:r>
          <w:r>
            <w:fldChar w:fldCharType="separate"/>
          </w:r>
          <w:hyperlink w:anchor="_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15" w14:textId="77777777" w:rsidR="00FD1D46" w:rsidRDefault="00000000">
          <w:pPr>
            <w:widowControl w:val="0"/>
            <w:tabs>
              <w:tab w:val="right" w:pos="12000"/>
            </w:tabs>
            <w:spacing w:before="60" w:after="0" w:line="240" w:lineRule="auto"/>
            <w:rPr>
              <w:rFonts w:ascii="Times New Roman" w:eastAsia="Times New Roman" w:hAnsi="Times New Roman" w:cs="Times New Roman"/>
              <w:b/>
              <w:color w:val="000000"/>
              <w:sz w:val="24"/>
              <w:szCs w:val="24"/>
            </w:rPr>
          </w:pPr>
          <w:hyperlink w:anchor="_30j0zll">
            <w:r>
              <w:rPr>
                <w:rFonts w:ascii="Times New Roman" w:eastAsia="Times New Roman" w:hAnsi="Times New Roman" w:cs="Times New Roman"/>
                <w:color w:val="000000"/>
                <w:sz w:val="24"/>
                <w:szCs w:val="24"/>
              </w:rPr>
              <w:t>Foreign Exchange Risks</w:t>
            </w:r>
            <w:r>
              <w:rPr>
                <w:rFonts w:ascii="Times New Roman" w:eastAsia="Times New Roman" w:hAnsi="Times New Roman" w:cs="Times New Roman"/>
                <w:color w:val="000000"/>
                <w:sz w:val="24"/>
                <w:szCs w:val="24"/>
              </w:rPr>
              <w:tab/>
              <w:t>3</w:t>
            </w:r>
          </w:hyperlink>
        </w:p>
        <w:p w14:paraId="00000016" w14:textId="77777777" w:rsidR="00FD1D46" w:rsidRDefault="00000000">
          <w:pPr>
            <w:widowControl w:val="0"/>
            <w:tabs>
              <w:tab w:val="right" w:pos="12000"/>
            </w:tabs>
            <w:spacing w:before="60" w:after="0" w:line="240" w:lineRule="auto"/>
            <w:rPr>
              <w:rFonts w:ascii="Times New Roman" w:eastAsia="Times New Roman" w:hAnsi="Times New Roman" w:cs="Times New Roman"/>
              <w:b/>
              <w:color w:val="000000"/>
              <w:sz w:val="24"/>
              <w:szCs w:val="24"/>
            </w:rPr>
          </w:pPr>
          <w:hyperlink w:anchor="_2et92p0">
            <w:r>
              <w:rPr>
                <w:rFonts w:ascii="Times New Roman" w:eastAsia="Times New Roman" w:hAnsi="Times New Roman" w:cs="Times New Roman"/>
                <w:color w:val="000000"/>
                <w:sz w:val="24"/>
                <w:szCs w:val="24"/>
              </w:rPr>
              <w:t>Risk Management Strategies for FX Risks</w:t>
            </w:r>
            <w:r>
              <w:rPr>
                <w:rFonts w:ascii="Times New Roman" w:eastAsia="Times New Roman" w:hAnsi="Times New Roman" w:cs="Times New Roman"/>
                <w:color w:val="000000"/>
                <w:sz w:val="24"/>
                <w:szCs w:val="24"/>
              </w:rPr>
              <w:tab/>
              <w:t>4</w:t>
            </w:r>
          </w:hyperlink>
        </w:p>
        <w:p w14:paraId="00000017" w14:textId="77777777" w:rsidR="00FD1D46" w:rsidRDefault="00000000">
          <w:pPr>
            <w:widowControl w:val="0"/>
            <w:tabs>
              <w:tab w:val="right" w:pos="12000"/>
            </w:tabs>
            <w:spacing w:before="60" w:after="0" w:line="240" w:lineRule="auto"/>
            <w:ind w:left="360"/>
            <w:rPr>
              <w:rFonts w:ascii="Times New Roman" w:eastAsia="Times New Roman" w:hAnsi="Times New Roman" w:cs="Times New Roman"/>
              <w:color w:val="000000"/>
              <w:sz w:val="24"/>
              <w:szCs w:val="24"/>
            </w:rPr>
          </w:pPr>
          <w:hyperlink w:anchor="_3dy6vkm">
            <w:r>
              <w:rPr>
                <w:rFonts w:ascii="Times New Roman" w:eastAsia="Times New Roman" w:hAnsi="Times New Roman" w:cs="Times New Roman"/>
                <w:color w:val="000000"/>
                <w:sz w:val="24"/>
                <w:szCs w:val="24"/>
              </w:rPr>
              <w:t>Natural Hedging</w:t>
            </w:r>
            <w:r>
              <w:rPr>
                <w:rFonts w:ascii="Times New Roman" w:eastAsia="Times New Roman" w:hAnsi="Times New Roman" w:cs="Times New Roman"/>
                <w:color w:val="000000"/>
                <w:sz w:val="24"/>
                <w:szCs w:val="24"/>
              </w:rPr>
              <w:tab/>
              <w:t>5</w:t>
            </w:r>
          </w:hyperlink>
        </w:p>
        <w:p w14:paraId="00000018" w14:textId="77777777" w:rsidR="00FD1D46" w:rsidRDefault="00000000">
          <w:pPr>
            <w:widowControl w:val="0"/>
            <w:tabs>
              <w:tab w:val="right" w:pos="12000"/>
            </w:tabs>
            <w:spacing w:before="60" w:after="0" w:line="240" w:lineRule="auto"/>
            <w:ind w:left="360"/>
            <w:rPr>
              <w:rFonts w:ascii="Times New Roman" w:eastAsia="Times New Roman" w:hAnsi="Times New Roman" w:cs="Times New Roman"/>
              <w:color w:val="000000"/>
              <w:sz w:val="24"/>
              <w:szCs w:val="24"/>
            </w:rPr>
          </w:pPr>
          <w:hyperlink w:anchor="_1t3h5sf">
            <w:r>
              <w:rPr>
                <w:rFonts w:ascii="Times New Roman" w:eastAsia="Times New Roman" w:hAnsi="Times New Roman" w:cs="Times New Roman"/>
                <w:color w:val="000000"/>
                <w:sz w:val="24"/>
                <w:szCs w:val="24"/>
              </w:rPr>
              <w:t>Operational Strategies</w:t>
            </w:r>
            <w:r>
              <w:rPr>
                <w:rFonts w:ascii="Times New Roman" w:eastAsia="Times New Roman" w:hAnsi="Times New Roman" w:cs="Times New Roman"/>
                <w:color w:val="000000"/>
                <w:sz w:val="24"/>
                <w:szCs w:val="24"/>
              </w:rPr>
              <w:tab/>
              <w:t>6</w:t>
            </w:r>
          </w:hyperlink>
        </w:p>
        <w:p w14:paraId="00000019" w14:textId="77777777" w:rsidR="00FD1D46" w:rsidRDefault="00000000">
          <w:pPr>
            <w:widowControl w:val="0"/>
            <w:tabs>
              <w:tab w:val="right" w:pos="12000"/>
            </w:tabs>
            <w:spacing w:before="60" w:after="0" w:line="240" w:lineRule="auto"/>
            <w:ind w:left="360"/>
            <w:rPr>
              <w:rFonts w:ascii="Times New Roman" w:eastAsia="Times New Roman" w:hAnsi="Times New Roman" w:cs="Times New Roman"/>
              <w:color w:val="000000"/>
              <w:sz w:val="24"/>
              <w:szCs w:val="24"/>
            </w:rPr>
          </w:pPr>
          <w:hyperlink w:anchor="_4d34og8">
            <w:r>
              <w:rPr>
                <w:rFonts w:ascii="Times New Roman" w:eastAsia="Times New Roman" w:hAnsi="Times New Roman" w:cs="Times New Roman"/>
                <w:color w:val="000000"/>
                <w:sz w:val="24"/>
                <w:szCs w:val="24"/>
              </w:rPr>
              <w:t>Financial Strategies</w:t>
            </w:r>
            <w:r>
              <w:rPr>
                <w:rFonts w:ascii="Times New Roman" w:eastAsia="Times New Roman" w:hAnsi="Times New Roman" w:cs="Times New Roman"/>
                <w:color w:val="000000"/>
                <w:sz w:val="24"/>
                <w:szCs w:val="24"/>
              </w:rPr>
              <w:tab/>
              <w:t>7</w:t>
            </w:r>
          </w:hyperlink>
        </w:p>
        <w:p w14:paraId="0000001A" w14:textId="77777777" w:rsidR="00FD1D46" w:rsidRDefault="00000000">
          <w:pPr>
            <w:widowControl w:val="0"/>
            <w:tabs>
              <w:tab w:val="right" w:pos="12000"/>
            </w:tabs>
            <w:spacing w:before="60" w:after="0" w:line="240" w:lineRule="auto"/>
            <w:ind w:left="360"/>
            <w:rPr>
              <w:rFonts w:ascii="Times New Roman" w:eastAsia="Times New Roman" w:hAnsi="Times New Roman" w:cs="Times New Roman"/>
              <w:color w:val="000000"/>
              <w:sz w:val="24"/>
              <w:szCs w:val="24"/>
            </w:rPr>
          </w:pPr>
          <w:hyperlink w:anchor="_2s8eyo1">
            <w:r>
              <w:rPr>
                <w:rFonts w:ascii="Times New Roman" w:eastAsia="Times New Roman" w:hAnsi="Times New Roman" w:cs="Times New Roman"/>
                <w:color w:val="000000"/>
                <w:sz w:val="24"/>
                <w:szCs w:val="24"/>
              </w:rPr>
              <w:t>Governance</w:t>
            </w:r>
            <w:r>
              <w:rPr>
                <w:rFonts w:ascii="Times New Roman" w:eastAsia="Times New Roman" w:hAnsi="Times New Roman" w:cs="Times New Roman"/>
                <w:color w:val="000000"/>
                <w:sz w:val="24"/>
                <w:szCs w:val="24"/>
              </w:rPr>
              <w:tab/>
              <w:t>7</w:t>
            </w:r>
          </w:hyperlink>
        </w:p>
        <w:p w14:paraId="0000001B" w14:textId="77777777" w:rsidR="00FD1D46" w:rsidRDefault="00000000">
          <w:pPr>
            <w:widowControl w:val="0"/>
            <w:tabs>
              <w:tab w:val="right" w:pos="12000"/>
            </w:tabs>
            <w:spacing w:before="60" w:after="0" w:line="240" w:lineRule="auto"/>
            <w:rPr>
              <w:rFonts w:ascii="Times New Roman" w:eastAsia="Times New Roman" w:hAnsi="Times New Roman" w:cs="Times New Roman"/>
              <w:b/>
              <w:color w:val="000000"/>
              <w:sz w:val="24"/>
              <w:szCs w:val="24"/>
            </w:rPr>
          </w:pPr>
          <w:hyperlink w:anchor="_17dp8vu">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8</w:t>
            </w:r>
          </w:hyperlink>
        </w:p>
        <w:p w14:paraId="0000001C" w14:textId="77777777" w:rsidR="00FD1D46" w:rsidRDefault="00000000">
          <w:pPr>
            <w:widowControl w:val="0"/>
            <w:tabs>
              <w:tab w:val="right" w:pos="12000"/>
            </w:tabs>
            <w:spacing w:before="60" w:after="0" w:line="240" w:lineRule="auto"/>
            <w:rPr>
              <w:rFonts w:ascii="Times New Roman" w:eastAsia="Times New Roman" w:hAnsi="Times New Roman" w:cs="Times New Roman"/>
              <w:b/>
              <w:color w:val="000000"/>
              <w:sz w:val="24"/>
              <w:szCs w:val="24"/>
            </w:rPr>
          </w:pPr>
          <w:hyperlink w:anchor="_3rdcrjn">
            <w:r>
              <w:rPr>
                <w:rFonts w:ascii="Times New Roman" w:eastAsia="Times New Roman" w:hAnsi="Times New Roman" w:cs="Times New Roman"/>
                <w:color w:val="000000"/>
                <w:sz w:val="24"/>
                <w:szCs w:val="24"/>
              </w:rPr>
              <w:t>Reference List</w:t>
            </w:r>
            <w:r>
              <w:rPr>
                <w:rFonts w:ascii="Times New Roman" w:eastAsia="Times New Roman" w:hAnsi="Times New Roman" w:cs="Times New Roman"/>
                <w:color w:val="000000"/>
                <w:sz w:val="24"/>
                <w:szCs w:val="24"/>
              </w:rPr>
              <w:tab/>
              <w:t>9</w:t>
            </w:r>
          </w:hyperlink>
          <w:r>
            <w:fldChar w:fldCharType="end"/>
          </w:r>
        </w:p>
      </w:sdtContent>
    </w:sdt>
    <w:p w14:paraId="0000001D" w14:textId="77777777" w:rsidR="00FD1D46" w:rsidRDefault="00FD1D46">
      <w:pPr>
        <w:spacing w:line="480" w:lineRule="auto"/>
        <w:rPr>
          <w:rFonts w:ascii="Times New Roman" w:eastAsia="Times New Roman" w:hAnsi="Times New Roman" w:cs="Times New Roman"/>
          <w:b/>
          <w:sz w:val="24"/>
          <w:szCs w:val="24"/>
        </w:rPr>
      </w:pPr>
    </w:p>
    <w:p w14:paraId="0000001E" w14:textId="77777777" w:rsidR="00FD1D46" w:rsidRDefault="00FD1D46">
      <w:pPr>
        <w:spacing w:line="480" w:lineRule="auto"/>
        <w:rPr>
          <w:rFonts w:ascii="Times New Roman" w:eastAsia="Times New Roman" w:hAnsi="Times New Roman" w:cs="Times New Roman"/>
          <w:b/>
          <w:sz w:val="24"/>
          <w:szCs w:val="24"/>
        </w:rPr>
      </w:pPr>
    </w:p>
    <w:p w14:paraId="0000001F" w14:textId="77777777" w:rsidR="00FD1D46" w:rsidRDefault="00FD1D46">
      <w:pPr>
        <w:spacing w:line="480" w:lineRule="auto"/>
        <w:rPr>
          <w:rFonts w:ascii="Times New Roman" w:eastAsia="Times New Roman" w:hAnsi="Times New Roman" w:cs="Times New Roman"/>
          <w:b/>
          <w:sz w:val="24"/>
          <w:szCs w:val="24"/>
        </w:rPr>
      </w:pPr>
    </w:p>
    <w:p w14:paraId="00000020" w14:textId="77777777" w:rsidR="00FD1D46" w:rsidRDefault="00FD1D46">
      <w:pPr>
        <w:spacing w:line="480" w:lineRule="auto"/>
        <w:rPr>
          <w:rFonts w:ascii="Times New Roman" w:eastAsia="Times New Roman" w:hAnsi="Times New Roman" w:cs="Times New Roman"/>
          <w:b/>
          <w:sz w:val="24"/>
          <w:szCs w:val="24"/>
        </w:rPr>
      </w:pPr>
    </w:p>
    <w:p w14:paraId="00000021" w14:textId="77777777" w:rsidR="00FD1D46" w:rsidRDefault="00FD1D46">
      <w:pPr>
        <w:spacing w:line="480" w:lineRule="auto"/>
        <w:rPr>
          <w:rFonts w:ascii="Times New Roman" w:eastAsia="Times New Roman" w:hAnsi="Times New Roman" w:cs="Times New Roman"/>
          <w:b/>
          <w:sz w:val="24"/>
          <w:szCs w:val="24"/>
        </w:rPr>
      </w:pPr>
    </w:p>
    <w:p w14:paraId="00000022" w14:textId="77777777" w:rsidR="00FD1D46" w:rsidRDefault="00FD1D46">
      <w:pPr>
        <w:spacing w:line="480" w:lineRule="auto"/>
        <w:rPr>
          <w:rFonts w:ascii="Times New Roman" w:eastAsia="Times New Roman" w:hAnsi="Times New Roman" w:cs="Times New Roman"/>
          <w:b/>
          <w:sz w:val="24"/>
          <w:szCs w:val="24"/>
        </w:rPr>
      </w:pPr>
    </w:p>
    <w:p w14:paraId="00000023" w14:textId="77777777" w:rsidR="00FD1D46" w:rsidRDefault="00FD1D46">
      <w:pPr>
        <w:spacing w:line="480" w:lineRule="auto"/>
        <w:rPr>
          <w:rFonts w:ascii="Times New Roman" w:eastAsia="Times New Roman" w:hAnsi="Times New Roman" w:cs="Times New Roman"/>
          <w:b/>
          <w:sz w:val="24"/>
          <w:szCs w:val="24"/>
        </w:rPr>
      </w:pPr>
    </w:p>
    <w:p w14:paraId="00000024" w14:textId="77777777" w:rsidR="00FD1D46" w:rsidRDefault="00FD1D46">
      <w:pPr>
        <w:spacing w:line="480" w:lineRule="auto"/>
        <w:rPr>
          <w:rFonts w:ascii="Times New Roman" w:eastAsia="Times New Roman" w:hAnsi="Times New Roman" w:cs="Times New Roman"/>
          <w:b/>
          <w:sz w:val="24"/>
          <w:szCs w:val="24"/>
        </w:rPr>
      </w:pPr>
    </w:p>
    <w:p w14:paraId="00000025" w14:textId="77777777" w:rsidR="00FD1D46" w:rsidRDefault="00FD1D46">
      <w:pPr>
        <w:spacing w:line="480" w:lineRule="auto"/>
        <w:rPr>
          <w:rFonts w:ascii="Times New Roman" w:eastAsia="Times New Roman" w:hAnsi="Times New Roman" w:cs="Times New Roman"/>
          <w:b/>
          <w:sz w:val="24"/>
          <w:szCs w:val="24"/>
        </w:rPr>
      </w:pPr>
    </w:p>
    <w:p w14:paraId="00000026" w14:textId="77777777" w:rsidR="00FD1D46" w:rsidRDefault="00FD1D46">
      <w:pPr>
        <w:spacing w:line="480" w:lineRule="auto"/>
        <w:rPr>
          <w:rFonts w:ascii="Times New Roman" w:eastAsia="Times New Roman" w:hAnsi="Times New Roman" w:cs="Times New Roman"/>
          <w:b/>
          <w:sz w:val="24"/>
          <w:szCs w:val="24"/>
        </w:rPr>
      </w:pPr>
    </w:p>
    <w:p w14:paraId="00000027" w14:textId="77777777" w:rsidR="00FD1D46" w:rsidRDefault="00FD1D46">
      <w:pPr>
        <w:spacing w:line="480" w:lineRule="auto"/>
        <w:rPr>
          <w:rFonts w:ascii="Times New Roman" w:eastAsia="Times New Roman" w:hAnsi="Times New Roman" w:cs="Times New Roman"/>
          <w:b/>
          <w:sz w:val="24"/>
          <w:szCs w:val="24"/>
        </w:rPr>
      </w:pPr>
    </w:p>
    <w:p w14:paraId="00000028" w14:textId="77777777" w:rsidR="00FD1D46" w:rsidRDefault="00FD1D46">
      <w:pPr>
        <w:spacing w:line="480" w:lineRule="auto"/>
        <w:rPr>
          <w:rFonts w:ascii="Times New Roman" w:eastAsia="Times New Roman" w:hAnsi="Times New Roman" w:cs="Times New Roman"/>
          <w:b/>
          <w:sz w:val="24"/>
          <w:szCs w:val="24"/>
        </w:rPr>
      </w:pPr>
    </w:p>
    <w:p w14:paraId="00000029" w14:textId="77777777" w:rsidR="00FD1D46" w:rsidRDefault="00FD1D46">
      <w:pPr>
        <w:spacing w:line="480" w:lineRule="auto"/>
        <w:rPr>
          <w:rFonts w:ascii="Times New Roman" w:eastAsia="Times New Roman" w:hAnsi="Times New Roman" w:cs="Times New Roman"/>
          <w:b/>
          <w:sz w:val="24"/>
          <w:szCs w:val="24"/>
        </w:rPr>
      </w:pPr>
    </w:p>
    <w:p w14:paraId="0000002A" w14:textId="77777777" w:rsidR="00FD1D46" w:rsidRDefault="00000000">
      <w:pPr>
        <w:pStyle w:val="Heading1"/>
        <w:spacing w:line="480" w:lineRule="auto"/>
        <w:jc w:val="center"/>
        <w:rPr>
          <w:rFonts w:ascii="Times New Roman" w:eastAsia="Times New Roman" w:hAnsi="Times New Roman" w:cs="Times New Roman"/>
          <w:b/>
          <w:color w:val="000000"/>
          <w:sz w:val="24"/>
          <w:szCs w:val="24"/>
        </w:rPr>
      </w:pPr>
      <w:bookmarkStart w:id="0" w:name="_gjdgxs" w:colFirst="0" w:colLast="0"/>
      <w:bookmarkEnd w:id="0"/>
      <w:r>
        <w:rPr>
          <w:rFonts w:ascii="Times New Roman" w:eastAsia="Times New Roman" w:hAnsi="Times New Roman" w:cs="Times New Roman"/>
          <w:b/>
          <w:color w:val="000000"/>
          <w:sz w:val="24"/>
          <w:szCs w:val="24"/>
        </w:rPr>
        <w:lastRenderedPageBreak/>
        <w:t>Introduction</w:t>
      </w:r>
    </w:p>
    <w:p w14:paraId="0000002B" w14:textId="77777777" w:rsidR="00FD1D4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current globalisation phenomenon has encouraged management teams to transform their companies into MNCs (multinational corporations). Managers understand that international operation offers firms benefits such as enhanced competitiveness, increased revenues and optimised profit margins. However, experts observe that the internationalisation process exposes businesses to serious challenges and risks requiring proper interventions (</w:t>
      </w:r>
      <w:proofErr w:type="spellStart"/>
      <w:r>
        <w:rPr>
          <w:rFonts w:ascii="Times New Roman" w:eastAsia="Times New Roman" w:hAnsi="Times New Roman" w:cs="Times New Roman"/>
          <w:sz w:val="24"/>
          <w:szCs w:val="24"/>
        </w:rPr>
        <w:t>Kallianiotis</w:t>
      </w:r>
      <w:proofErr w:type="spellEnd"/>
      <w:r>
        <w:rPr>
          <w:rFonts w:ascii="Times New Roman" w:eastAsia="Times New Roman" w:hAnsi="Times New Roman" w:cs="Times New Roman"/>
          <w:sz w:val="24"/>
          <w:szCs w:val="24"/>
        </w:rPr>
        <w:t xml:space="preserve">, 2013). In particular, global transactions and operations expose MNCs to foreign exchange (FX) risks that severely affect their market value, cash flows and profit margins. Experts acknowledge the inevitability of FX risks because of an organisation’s need to transact and operate across national borders. The risks must be managed effectively to protect MNCs from competition pressure, financial losses and brand erosion. Hence, the report explores strategies that multinational corporations implement to manage their exposure to different FX risks. </w:t>
      </w:r>
    </w:p>
    <w:p w14:paraId="0000002C" w14:textId="77777777" w:rsidR="00FD1D46" w:rsidRDefault="00000000">
      <w:pPr>
        <w:pStyle w:val="Heading1"/>
        <w:spacing w:line="480" w:lineRule="auto"/>
        <w:jc w:val="center"/>
        <w:rPr>
          <w:rFonts w:ascii="Times New Roman" w:eastAsia="Times New Roman" w:hAnsi="Times New Roman" w:cs="Times New Roman"/>
          <w:b/>
          <w:color w:val="000000"/>
          <w:sz w:val="24"/>
          <w:szCs w:val="24"/>
        </w:rPr>
      </w:pPr>
      <w:bookmarkStart w:id="1" w:name="_30j0zll" w:colFirst="0" w:colLast="0"/>
      <w:bookmarkEnd w:id="1"/>
      <w:r>
        <w:rPr>
          <w:rFonts w:ascii="Times New Roman" w:eastAsia="Times New Roman" w:hAnsi="Times New Roman" w:cs="Times New Roman"/>
          <w:b/>
          <w:color w:val="000000"/>
          <w:sz w:val="24"/>
          <w:szCs w:val="24"/>
        </w:rPr>
        <w:t>Foreign Exchange Risks</w:t>
      </w:r>
    </w:p>
    <w:p w14:paraId="0000002D" w14:textId="77777777" w:rsidR="00FD1D46" w:rsidRDefault="00000000">
      <w:pPr>
        <w:spacing w:line="480" w:lineRule="auto"/>
        <w:ind w:firstLine="720"/>
        <w:rPr>
          <w:rFonts w:ascii="Times New Roman" w:eastAsia="Times New Roman" w:hAnsi="Times New Roman" w:cs="Times New Roman"/>
          <w:sz w:val="24"/>
          <w:szCs w:val="24"/>
        </w:rPr>
      </w:pPr>
      <w:bookmarkStart w:id="2" w:name="_1fob9te" w:colFirst="0" w:colLast="0"/>
      <w:bookmarkEnd w:id="2"/>
      <w:r>
        <w:rPr>
          <w:rFonts w:ascii="Times New Roman" w:eastAsia="Times New Roman" w:hAnsi="Times New Roman" w:cs="Times New Roman"/>
          <w:sz w:val="24"/>
          <w:szCs w:val="24"/>
        </w:rPr>
        <w:t>FX risks are convoluted issues that determine MNCs' performance in current globalised markets. The risks demonstrate threats and problems that multinational corporations must overcome to maintain profitability and dominance in 21st Century markets (Jacque, 2013). The risks occur because of organisations’ constant exposure to unprecedented and continuous foreign currencies’ value. Constant variation in currency value results from political situations, interest rates, supply-demand variation, inflation and debt burden. Currency fluctuations create constant oscillation in currency exchange rates that affect firms’ market capitalisation, cash flows and incomes (</w:t>
      </w:r>
      <w:proofErr w:type="spellStart"/>
      <w:r>
        <w:rPr>
          <w:rFonts w:ascii="Times New Roman" w:eastAsia="Times New Roman" w:hAnsi="Times New Roman" w:cs="Times New Roman"/>
          <w:sz w:val="24"/>
          <w:szCs w:val="24"/>
        </w:rPr>
        <w:t>Arize</w:t>
      </w:r>
      <w:proofErr w:type="spellEnd"/>
      <w:r>
        <w:rPr>
          <w:rFonts w:ascii="Times New Roman" w:eastAsia="Times New Roman" w:hAnsi="Times New Roman" w:cs="Times New Roman"/>
          <w:sz w:val="24"/>
          <w:szCs w:val="24"/>
        </w:rPr>
        <w:t xml:space="preserve"> et al., 2024; </w:t>
      </w:r>
      <w:proofErr w:type="spellStart"/>
      <w:r>
        <w:rPr>
          <w:rFonts w:ascii="Times New Roman" w:eastAsia="Times New Roman" w:hAnsi="Times New Roman" w:cs="Times New Roman"/>
          <w:sz w:val="24"/>
          <w:szCs w:val="24"/>
        </w:rPr>
        <w:t>Oxelheim</w:t>
      </w:r>
      <w:proofErr w:type="spellEnd"/>
      <w:r>
        <w:rPr>
          <w:rFonts w:ascii="Times New Roman" w:eastAsia="Times New Roman" w:hAnsi="Times New Roman" w:cs="Times New Roman"/>
          <w:sz w:val="24"/>
          <w:szCs w:val="24"/>
        </w:rPr>
        <w:t xml:space="preserve"> et al., 2020). Organisational success depends on a firm’s capacity to manage foreign exchange risks using different evidence-based strategies. Managing FX risks also requires businesses to accurately predict variations in FX rates in various markets </w:t>
      </w:r>
      <w:r>
        <w:rPr>
          <w:rFonts w:ascii="Times New Roman" w:eastAsia="Times New Roman" w:hAnsi="Times New Roman" w:cs="Times New Roman"/>
          <w:sz w:val="24"/>
          <w:szCs w:val="24"/>
        </w:rPr>
        <w:lastRenderedPageBreak/>
        <w:t xml:space="preserve">as a response to changes in different macro environmental variables. The situation means that MNCs’ management teams must identify, comprehend and effectively manage foreign exchange risks to succeed in modern markets. </w:t>
      </w:r>
    </w:p>
    <w:p w14:paraId="0000002E" w14:textId="77777777" w:rsidR="00FD1D46" w:rsidRDefault="00000000">
      <w:pPr>
        <w:spacing w:line="480" w:lineRule="auto"/>
        <w:ind w:firstLine="720"/>
        <w:rPr>
          <w:rFonts w:ascii="Times New Roman" w:eastAsia="Times New Roman" w:hAnsi="Times New Roman" w:cs="Times New Roman"/>
          <w:sz w:val="24"/>
          <w:szCs w:val="24"/>
        </w:rPr>
      </w:pPr>
      <w:bookmarkStart w:id="3" w:name="_3znysh7" w:colFirst="0" w:colLast="0"/>
      <w:bookmarkEnd w:id="3"/>
      <w:r>
        <w:rPr>
          <w:rFonts w:ascii="Times New Roman" w:eastAsia="Times New Roman" w:hAnsi="Times New Roman" w:cs="Times New Roman"/>
          <w:sz w:val="24"/>
          <w:szCs w:val="24"/>
        </w:rPr>
        <w:t>Currency exchange risks affecting modern MNCs are broadly classified into three major groups, namely economic, transaction and translation risks. Translation risk denotes a foreign exchange (FX) risk linked to foreign currency usage and foreign assets listed on organisational balance sheets (</w:t>
      </w:r>
      <w:proofErr w:type="spellStart"/>
      <w:r>
        <w:rPr>
          <w:rFonts w:ascii="Times New Roman" w:eastAsia="Times New Roman" w:hAnsi="Times New Roman" w:cs="Times New Roman"/>
          <w:sz w:val="24"/>
          <w:szCs w:val="24"/>
        </w:rPr>
        <w:t>Oxelheim</w:t>
      </w:r>
      <w:proofErr w:type="spellEnd"/>
      <w:r>
        <w:rPr>
          <w:rFonts w:ascii="Times New Roman" w:eastAsia="Times New Roman" w:hAnsi="Times New Roman" w:cs="Times New Roman"/>
          <w:sz w:val="24"/>
          <w:szCs w:val="24"/>
        </w:rPr>
        <w:t xml:space="preserve"> et al., 2020). Essentially, the risk emerges when multinational firms attempt to consolidate their foreign subsidiaries’ financial statements. The risk occurs since foreign subsidiaries’ liabilities, equities, incomes and assets are normally denominated in foreign currencies. Transaction risk refers to the FX risk that firms face when transacting with other parties across national borders (Garrett, 2024). The risk results from FX rate fluctuation in the transaction period, which influences overall returns from business transactions (</w:t>
      </w:r>
      <w:proofErr w:type="spellStart"/>
      <w:r>
        <w:rPr>
          <w:rFonts w:ascii="Times New Roman" w:eastAsia="Times New Roman" w:hAnsi="Times New Roman" w:cs="Times New Roman"/>
          <w:sz w:val="24"/>
          <w:szCs w:val="24"/>
        </w:rPr>
        <w:t>Arize</w:t>
      </w:r>
      <w:proofErr w:type="spellEnd"/>
      <w:r>
        <w:rPr>
          <w:rFonts w:ascii="Times New Roman" w:eastAsia="Times New Roman" w:hAnsi="Times New Roman" w:cs="Times New Roman"/>
          <w:sz w:val="24"/>
          <w:szCs w:val="24"/>
        </w:rPr>
        <w:t xml:space="preserve"> et al., 2018). Therefore, money that firms generate through cross-border transactions may be lower or higher than expected due to losses and gains on foreign currencies within the transaction period. In this context, economic risk refers to the long-term variation in a firm’s market value due to FX rate fluctuation. </w:t>
      </w:r>
    </w:p>
    <w:p w14:paraId="0000002F" w14:textId="77777777" w:rsidR="00FD1D46" w:rsidRDefault="00000000">
      <w:pPr>
        <w:pStyle w:val="Heading1"/>
        <w:spacing w:line="480" w:lineRule="auto"/>
        <w:jc w:val="center"/>
        <w:rPr>
          <w:rFonts w:ascii="Times New Roman" w:eastAsia="Times New Roman" w:hAnsi="Times New Roman" w:cs="Times New Roman"/>
          <w:b/>
          <w:color w:val="000000"/>
          <w:sz w:val="24"/>
          <w:szCs w:val="24"/>
        </w:rPr>
      </w:pPr>
      <w:bookmarkStart w:id="4" w:name="_2et92p0" w:colFirst="0" w:colLast="0"/>
      <w:bookmarkEnd w:id="4"/>
      <w:r>
        <w:rPr>
          <w:rFonts w:ascii="Times New Roman" w:eastAsia="Times New Roman" w:hAnsi="Times New Roman" w:cs="Times New Roman"/>
          <w:b/>
          <w:color w:val="000000"/>
          <w:sz w:val="24"/>
          <w:szCs w:val="24"/>
        </w:rPr>
        <w:t>Risk Management Strategies for FX Risks</w:t>
      </w:r>
    </w:p>
    <w:p w14:paraId="00000030" w14:textId="77777777" w:rsidR="00FD1D46" w:rsidRDefault="00000000">
      <w:pPr>
        <w:spacing w:line="480" w:lineRule="auto"/>
        <w:ind w:firstLine="720"/>
        <w:rPr>
          <w:rFonts w:ascii="Times New Roman" w:eastAsia="Times New Roman" w:hAnsi="Times New Roman" w:cs="Times New Roman"/>
          <w:sz w:val="24"/>
          <w:szCs w:val="24"/>
        </w:rPr>
      </w:pPr>
      <w:bookmarkStart w:id="5" w:name="_tyjcwt" w:colFirst="0" w:colLast="0"/>
      <w:bookmarkEnd w:id="5"/>
      <w:r>
        <w:rPr>
          <w:rFonts w:ascii="Times New Roman" w:eastAsia="Times New Roman" w:hAnsi="Times New Roman" w:cs="Times New Roman"/>
          <w:sz w:val="24"/>
          <w:szCs w:val="24"/>
        </w:rPr>
        <w:t xml:space="preserve">Successful MNCs adopt strategies that allow them to effectively manage exposure to different FX risks in their respective markets. Management teams choose intervention strategies that facilitate a stepwise risk management process comprising risk identification (step 1), evaluation prioritisation (step 2), mitigation (step 3) and monitoring (step 4). The risk management procedure supports professionals in detecting, comprehending and mitigating FX risks. The intervention procedure involves developing and implementing regulations that prevent </w:t>
      </w:r>
      <w:r>
        <w:rPr>
          <w:rFonts w:ascii="Times New Roman" w:eastAsia="Times New Roman" w:hAnsi="Times New Roman" w:cs="Times New Roman"/>
          <w:sz w:val="24"/>
          <w:szCs w:val="24"/>
        </w:rPr>
        <w:lastRenderedPageBreak/>
        <w:t>negative outcomes of global transactions and cross-border operations (</w:t>
      </w:r>
      <w:proofErr w:type="spellStart"/>
      <w:r>
        <w:rPr>
          <w:rFonts w:ascii="Times New Roman" w:eastAsia="Times New Roman" w:hAnsi="Times New Roman" w:cs="Times New Roman"/>
          <w:sz w:val="24"/>
          <w:szCs w:val="24"/>
        </w:rPr>
        <w:t>Oxelheim</w:t>
      </w:r>
      <w:proofErr w:type="spellEnd"/>
      <w:r>
        <w:rPr>
          <w:rFonts w:ascii="Times New Roman" w:eastAsia="Times New Roman" w:hAnsi="Times New Roman" w:cs="Times New Roman"/>
          <w:sz w:val="24"/>
          <w:szCs w:val="24"/>
        </w:rPr>
        <w:t xml:space="preserve"> et al., 2020). Management teams observe that FX risk management allows organisations to achieve specific milestones and long-term goals. The intervention procedure enables MNCs to boost investor confidence, enhance brand value, minimise operating costs and optimise profit margins. In particular, managing FX risks offers MNCs a chance to exploit opportunities associated with penetrating foreign markets, including continuous expansion, revenue optimisation and market dominance. Effective strategies that multinational corporations can adopt in managing their exposure to foreign exchange risks include operational strategies, natural hedging, financial strategies and governance. </w:t>
      </w:r>
    </w:p>
    <w:p w14:paraId="00000031" w14:textId="77777777" w:rsidR="00FD1D46" w:rsidRDefault="00000000">
      <w:pPr>
        <w:pStyle w:val="Heading2"/>
        <w:spacing w:line="480" w:lineRule="auto"/>
        <w:rPr>
          <w:rFonts w:ascii="Times New Roman" w:eastAsia="Times New Roman" w:hAnsi="Times New Roman" w:cs="Times New Roman"/>
          <w:sz w:val="24"/>
          <w:szCs w:val="24"/>
        </w:rPr>
      </w:pPr>
      <w:bookmarkStart w:id="6" w:name="_3dy6vkm" w:colFirst="0" w:colLast="0"/>
      <w:bookmarkEnd w:id="6"/>
      <w:r>
        <w:rPr>
          <w:rFonts w:ascii="Times New Roman" w:eastAsia="Times New Roman" w:hAnsi="Times New Roman" w:cs="Times New Roman"/>
          <w:sz w:val="24"/>
          <w:szCs w:val="24"/>
        </w:rPr>
        <w:t>Natural Hedging</w:t>
      </w:r>
    </w:p>
    <w:p w14:paraId="00000032" w14:textId="77777777" w:rsidR="00FD1D4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Natural hedging is an effective strategy multinational corporations utilise to secure their foreign investments from foreign exchange risks. The risk management procedure entails matching foreign currency outflows and inflows to prevent adverse outcomes of organisational exposure to currency fluctuations. For instance, funding operations and earning revenue in the same national currency can minimise a multinational firm’s exposure to FX risks (Jacque, 2013). Multinational firms depend on hedging strategies in stabilising their cash flows, revenues and expenditure during overseas operations (Crabb, 2002). Various hedging strategies that allow MNCs to manage risks related to foreign currency fluctuations are paired derivatives usage, safe-haven assets acquisition and trading portfolio diversification (</w:t>
      </w:r>
      <w:proofErr w:type="spellStart"/>
      <w:r>
        <w:rPr>
          <w:rFonts w:ascii="Times New Roman" w:eastAsia="Times New Roman" w:hAnsi="Times New Roman" w:cs="Times New Roman"/>
          <w:sz w:val="24"/>
          <w:szCs w:val="24"/>
        </w:rPr>
        <w:t>Fauceglia</w:t>
      </w:r>
      <w:proofErr w:type="spellEnd"/>
      <w:r>
        <w:rPr>
          <w:rFonts w:ascii="Times New Roman" w:eastAsia="Times New Roman" w:hAnsi="Times New Roman" w:cs="Times New Roman"/>
          <w:sz w:val="24"/>
          <w:szCs w:val="24"/>
        </w:rPr>
        <w:t xml:space="preserve"> et al., 2014). For instance, MNCs can use derivatives such as forward contracts, currency options and currency futures to manage transaction risk. Acquiring safe-haven assets like stable currencies (US Dollar and Swiss Franc), government bonds and gold enables businesses to effectively manage translation and economic risks. Good managers for multinational firms understand that safe-</w:t>
      </w:r>
      <w:r>
        <w:rPr>
          <w:rFonts w:ascii="Times New Roman" w:eastAsia="Times New Roman" w:hAnsi="Times New Roman" w:cs="Times New Roman"/>
          <w:sz w:val="24"/>
          <w:szCs w:val="24"/>
        </w:rPr>
        <w:lastRenderedPageBreak/>
        <w:t xml:space="preserve">haven assets gain or retain value during challenging economic times, which improves organisational resilience to economic risks (CMC Markets, 2024). In addition, using different asset classes to diversify trading portfolios allows multinational firms to effectively deal with transaction risks. </w:t>
      </w:r>
    </w:p>
    <w:p w14:paraId="00000033" w14:textId="77777777" w:rsidR="00FD1D46" w:rsidRDefault="00000000">
      <w:pPr>
        <w:pStyle w:val="Heading2"/>
        <w:spacing w:line="480" w:lineRule="auto"/>
        <w:rPr>
          <w:rFonts w:ascii="Times New Roman" w:eastAsia="Times New Roman" w:hAnsi="Times New Roman" w:cs="Times New Roman"/>
          <w:sz w:val="24"/>
          <w:szCs w:val="24"/>
        </w:rPr>
      </w:pPr>
      <w:bookmarkStart w:id="7" w:name="_1t3h5sf" w:colFirst="0" w:colLast="0"/>
      <w:bookmarkEnd w:id="7"/>
      <w:r>
        <w:rPr>
          <w:rFonts w:ascii="Times New Roman" w:eastAsia="Times New Roman" w:hAnsi="Times New Roman" w:cs="Times New Roman"/>
          <w:sz w:val="24"/>
          <w:szCs w:val="24"/>
        </w:rPr>
        <w:t>Operational Strategies</w:t>
      </w:r>
    </w:p>
    <w:p w14:paraId="00000034" w14:textId="77777777" w:rsidR="00FD1D4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Dominant MNCs in the current market use different operational strategies to minimise their exposure to economic, transaction and translation risks. Various operational strategies employed in reducing MNCs’ exposure to FX risks are pricing tactics, netting and international diversification. The international diversification strategy involves spreading business operations or investment portfolios across various regions, currencies and countries (</w:t>
      </w:r>
      <w:proofErr w:type="spellStart"/>
      <w:r>
        <w:rPr>
          <w:rFonts w:ascii="Times New Roman" w:eastAsia="Times New Roman" w:hAnsi="Times New Roman" w:cs="Times New Roman"/>
          <w:sz w:val="24"/>
          <w:szCs w:val="24"/>
        </w:rPr>
        <w:t>Álvarez-Díez</w:t>
      </w:r>
      <w:proofErr w:type="spellEnd"/>
      <w:r>
        <w:rPr>
          <w:rFonts w:ascii="Times New Roman" w:eastAsia="Times New Roman" w:hAnsi="Times New Roman" w:cs="Times New Roman"/>
          <w:sz w:val="24"/>
          <w:szCs w:val="24"/>
        </w:rPr>
        <w:t xml:space="preserve"> et al., 2016). Multinational firms formally diversify their investment portfolio and revenue streams to minimise their exposure to economic risks related to operating in developing nations. MNCs rely on the strategy in managing their exposure to translation risks through reduced </w:t>
      </w:r>
      <w:proofErr w:type="spellStart"/>
      <w:r>
        <w:rPr>
          <w:rFonts w:ascii="Times New Roman" w:eastAsia="Times New Roman" w:hAnsi="Times New Roman" w:cs="Times New Roman"/>
          <w:sz w:val="24"/>
          <w:szCs w:val="24"/>
        </w:rPr>
        <w:t>overdependence</w:t>
      </w:r>
      <w:proofErr w:type="spellEnd"/>
      <w:r>
        <w:rPr>
          <w:rFonts w:ascii="Times New Roman" w:eastAsia="Times New Roman" w:hAnsi="Times New Roman" w:cs="Times New Roman"/>
          <w:sz w:val="24"/>
          <w:szCs w:val="24"/>
        </w:rPr>
        <w:t xml:space="preserve"> on foreign currencies. The capacity to minimise risks and simplify transactions makes netting a reliable risk management procedure for MNCs operating in different industries, including investment management, retail and banking. Good managers understand that the pricing strategy influences an organisation’s capacity to maintain profitability in current markets (</w:t>
      </w:r>
      <w:proofErr w:type="spellStart"/>
      <w:r>
        <w:rPr>
          <w:rFonts w:ascii="Times New Roman" w:eastAsia="Times New Roman" w:hAnsi="Times New Roman" w:cs="Times New Roman"/>
          <w:sz w:val="24"/>
          <w:szCs w:val="24"/>
        </w:rPr>
        <w:t>Smithson</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Simkins</w:t>
      </w:r>
      <w:proofErr w:type="spellEnd"/>
      <w:r>
        <w:rPr>
          <w:rFonts w:ascii="Times New Roman" w:eastAsia="Times New Roman" w:hAnsi="Times New Roman" w:cs="Times New Roman"/>
          <w:sz w:val="24"/>
          <w:szCs w:val="24"/>
        </w:rPr>
        <w:t xml:space="preserve">, 2005). Multinational firms further implement innovative pricing strategies for products and services to cope with foreign currency instabilities while operating abroad. Innovative pricing sometimes entails setting prices for products/services based on strong and stable currencies to manage exposure to transaction and economic risks. </w:t>
      </w:r>
    </w:p>
    <w:p w14:paraId="00000035" w14:textId="77777777" w:rsidR="00FD1D46" w:rsidRDefault="00000000">
      <w:pPr>
        <w:pStyle w:val="Heading2"/>
        <w:spacing w:line="480" w:lineRule="auto"/>
        <w:rPr>
          <w:rFonts w:ascii="Times New Roman" w:eastAsia="Times New Roman" w:hAnsi="Times New Roman" w:cs="Times New Roman"/>
          <w:sz w:val="24"/>
          <w:szCs w:val="24"/>
        </w:rPr>
      </w:pPr>
      <w:bookmarkStart w:id="8" w:name="_4d34og8" w:colFirst="0" w:colLast="0"/>
      <w:bookmarkEnd w:id="8"/>
      <w:r>
        <w:rPr>
          <w:rFonts w:ascii="Times New Roman" w:eastAsia="Times New Roman" w:hAnsi="Times New Roman" w:cs="Times New Roman"/>
          <w:sz w:val="24"/>
          <w:szCs w:val="24"/>
        </w:rPr>
        <w:lastRenderedPageBreak/>
        <w:t>Financial Strategies</w:t>
      </w:r>
    </w:p>
    <w:p w14:paraId="00000036" w14:textId="77777777" w:rsidR="00FD1D4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Multinational corporations use various financial interventions to manage their exposure to various FX risks. Financial strategies such as international diversification, factoring and </w:t>
      </w:r>
      <w:proofErr w:type="spellStart"/>
      <w:r>
        <w:rPr>
          <w:rFonts w:ascii="Times New Roman" w:eastAsia="Times New Roman" w:hAnsi="Times New Roman" w:cs="Times New Roman"/>
          <w:sz w:val="24"/>
          <w:szCs w:val="24"/>
        </w:rPr>
        <w:t>forfaiting</w:t>
      </w:r>
      <w:proofErr w:type="spellEnd"/>
      <w:r>
        <w:rPr>
          <w:rFonts w:ascii="Times New Roman" w:eastAsia="Times New Roman" w:hAnsi="Times New Roman" w:cs="Times New Roman"/>
          <w:sz w:val="24"/>
          <w:szCs w:val="24"/>
        </w:rPr>
        <w:t>, and local currency usually allow these organisations to manage exposure to economic, transaction and translation risks. In the financing context, international diversification entails entering foreign capital markets to improve firms’ resilience to economic problems (</w:t>
      </w:r>
      <w:proofErr w:type="spellStart"/>
      <w:r>
        <w:rPr>
          <w:rFonts w:ascii="Times New Roman" w:eastAsia="Times New Roman" w:hAnsi="Times New Roman" w:cs="Times New Roman"/>
          <w:sz w:val="24"/>
          <w:szCs w:val="24"/>
        </w:rPr>
        <w:t>Arize</w:t>
      </w:r>
      <w:proofErr w:type="spellEnd"/>
      <w:r>
        <w:rPr>
          <w:rFonts w:ascii="Times New Roman" w:eastAsia="Times New Roman" w:hAnsi="Times New Roman" w:cs="Times New Roman"/>
          <w:sz w:val="24"/>
          <w:szCs w:val="24"/>
        </w:rPr>
        <w:t xml:space="preserve"> et al., 2024; </w:t>
      </w:r>
      <w:proofErr w:type="spellStart"/>
      <w:r>
        <w:rPr>
          <w:rFonts w:ascii="Times New Roman" w:eastAsia="Times New Roman" w:hAnsi="Times New Roman" w:cs="Times New Roman"/>
          <w:sz w:val="24"/>
          <w:szCs w:val="24"/>
        </w:rPr>
        <w:t>Kallianiotis</w:t>
      </w:r>
      <w:proofErr w:type="spellEnd"/>
      <w:r>
        <w:rPr>
          <w:rFonts w:ascii="Times New Roman" w:eastAsia="Times New Roman" w:hAnsi="Times New Roman" w:cs="Times New Roman"/>
          <w:sz w:val="24"/>
          <w:szCs w:val="24"/>
        </w:rPr>
        <w:t>, 2013). MNCs normally perform international diversification effectively due to their economies of scale, which protects them from financial instability. Local currency financing is an important intervention strategy that helps to manage multinational firms’ exposure to translation and economic risks. Experts recognise the intervention strategy’s capacity to prevent currency mismatch, which supports management processes for FX risks (</w:t>
      </w:r>
      <w:proofErr w:type="spellStart"/>
      <w:r>
        <w:rPr>
          <w:rFonts w:ascii="Times New Roman" w:eastAsia="Times New Roman" w:hAnsi="Times New Roman" w:cs="Times New Roman"/>
          <w:sz w:val="24"/>
          <w:szCs w:val="24"/>
        </w:rPr>
        <w:t>Goel</w:t>
      </w:r>
      <w:proofErr w:type="spellEnd"/>
      <w:r>
        <w:rPr>
          <w:rFonts w:ascii="Times New Roman" w:eastAsia="Times New Roman" w:hAnsi="Times New Roman" w:cs="Times New Roman"/>
          <w:sz w:val="24"/>
          <w:szCs w:val="24"/>
        </w:rPr>
        <w:t xml:space="preserve">, 2012). The strategy also allows MNCs to service their debts stably during incidents featuring major macroeconomic fluctuations. Factoring and </w:t>
      </w:r>
      <w:proofErr w:type="spellStart"/>
      <w:r>
        <w:rPr>
          <w:rFonts w:ascii="Times New Roman" w:eastAsia="Times New Roman" w:hAnsi="Times New Roman" w:cs="Times New Roman"/>
          <w:sz w:val="24"/>
          <w:szCs w:val="24"/>
        </w:rPr>
        <w:t>forfaiting</w:t>
      </w:r>
      <w:proofErr w:type="spellEnd"/>
      <w:r>
        <w:rPr>
          <w:rFonts w:ascii="Times New Roman" w:eastAsia="Times New Roman" w:hAnsi="Times New Roman" w:cs="Times New Roman"/>
          <w:sz w:val="24"/>
          <w:szCs w:val="24"/>
        </w:rPr>
        <w:t xml:space="preserve"> represent an important financial arrangement aimed to stabilise cash flow and manage FX risks (</w:t>
      </w:r>
      <w:proofErr w:type="spellStart"/>
      <w:r>
        <w:rPr>
          <w:rFonts w:ascii="Times New Roman" w:eastAsia="Times New Roman" w:hAnsi="Times New Roman" w:cs="Times New Roman"/>
          <w:sz w:val="24"/>
          <w:szCs w:val="24"/>
        </w:rPr>
        <w:t>Kallianiotis</w:t>
      </w:r>
      <w:proofErr w:type="spellEnd"/>
      <w:r>
        <w:rPr>
          <w:rFonts w:ascii="Times New Roman" w:eastAsia="Times New Roman" w:hAnsi="Times New Roman" w:cs="Times New Roman"/>
          <w:sz w:val="24"/>
          <w:szCs w:val="24"/>
        </w:rPr>
        <w:t xml:space="preserve">, 2013; </w:t>
      </w:r>
      <w:proofErr w:type="spellStart"/>
      <w:r>
        <w:rPr>
          <w:rFonts w:ascii="Times New Roman" w:eastAsia="Times New Roman" w:hAnsi="Times New Roman" w:cs="Times New Roman"/>
          <w:sz w:val="24"/>
          <w:szCs w:val="24"/>
        </w:rPr>
        <w:t>Goel</w:t>
      </w:r>
      <w:proofErr w:type="spellEnd"/>
      <w:r>
        <w:rPr>
          <w:rFonts w:ascii="Times New Roman" w:eastAsia="Times New Roman" w:hAnsi="Times New Roman" w:cs="Times New Roman"/>
          <w:sz w:val="24"/>
          <w:szCs w:val="24"/>
        </w:rPr>
        <w:t xml:space="preserve">, 2012). Basically, the financial intervention minimises a firm’s exposure to transaction risks by preventing payment delays and streamlining cash flow. </w:t>
      </w:r>
    </w:p>
    <w:p w14:paraId="00000037" w14:textId="77777777" w:rsidR="00FD1D46" w:rsidRDefault="00000000">
      <w:pPr>
        <w:pStyle w:val="Heading2"/>
        <w:spacing w:line="480" w:lineRule="auto"/>
        <w:rPr>
          <w:rFonts w:ascii="Times New Roman" w:eastAsia="Times New Roman" w:hAnsi="Times New Roman" w:cs="Times New Roman"/>
          <w:sz w:val="24"/>
          <w:szCs w:val="24"/>
        </w:rPr>
      </w:pPr>
      <w:bookmarkStart w:id="9" w:name="_2s8eyo1" w:colFirst="0" w:colLast="0"/>
      <w:bookmarkEnd w:id="9"/>
      <w:r>
        <w:rPr>
          <w:rFonts w:ascii="Times New Roman" w:eastAsia="Times New Roman" w:hAnsi="Times New Roman" w:cs="Times New Roman"/>
          <w:sz w:val="24"/>
          <w:szCs w:val="24"/>
        </w:rPr>
        <w:t>Governance</w:t>
      </w:r>
    </w:p>
    <w:p w14:paraId="00000038" w14:textId="77777777" w:rsidR="00FD1D4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Multinational corporations must implement proper risk management strategies to maintain their resilience to existing market challenges. MNCs create and implement governance frameworks that provide institutions, regulations and operations that support evidence-based decision-making processes during risk management. The frameworks outline values that support risk management processes, namely effective resource management, sound personnel policies, accountability and ethical leadership (</w:t>
      </w:r>
      <w:proofErr w:type="spellStart"/>
      <w:r>
        <w:rPr>
          <w:rFonts w:ascii="Times New Roman" w:eastAsia="Times New Roman" w:hAnsi="Times New Roman" w:cs="Times New Roman"/>
          <w:sz w:val="24"/>
          <w:szCs w:val="24"/>
        </w:rPr>
        <w:t>Vanta</w:t>
      </w:r>
      <w:proofErr w:type="spellEnd"/>
      <w:r>
        <w:rPr>
          <w:rFonts w:ascii="Times New Roman" w:eastAsia="Times New Roman" w:hAnsi="Times New Roman" w:cs="Times New Roman"/>
          <w:sz w:val="24"/>
          <w:szCs w:val="24"/>
        </w:rPr>
        <w:t xml:space="preserve">, 2024). Proper regulations and values encourage </w:t>
      </w:r>
      <w:r>
        <w:rPr>
          <w:rFonts w:ascii="Times New Roman" w:eastAsia="Times New Roman" w:hAnsi="Times New Roman" w:cs="Times New Roman"/>
          <w:sz w:val="24"/>
          <w:szCs w:val="24"/>
        </w:rPr>
        <w:lastRenderedPageBreak/>
        <w:t>workers to collaborate in solving problems and addressing risks influencing their organisation’s performance. Transparency, ethical practice and accountability allow corporations to create a conducive environment for their employees. Wise managers focus on uniting employees based on common goals and mutually beneficial outcomes (</w:t>
      </w:r>
      <w:proofErr w:type="spellStart"/>
      <w:r>
        <w:rPr>
          <w:rFonts w:ascii="Times New Roman" w:eastAsia="Times New Roman" w:hAnsi="Times New Roman" w:cs="Times New Roman"/>
          <w:sz w:val="24"/>
          <w:szCs w:val="24"/>
        </w:rPr>
        <w:t>Laplume</w:t>
      </w:r>
      <w:proofErr w:type="spellEnd"/>
      <w:r>
        <w:rPr>
          <w:rFonts w:ascii="Times New Roman" w:eastAsia="Times New Roman" w:hAnsi="Times New Roman" w:cs="Times New Roman"/>
          <w:sz w:val="24"/>
          <w:szCs w:val="24"/>
        </w:rPr>
        <w:t xml:space="preserve"> et al., 2008). Governance frameworks for modern MNCs stress regulatory compliance and effective resource usage to reduce their exposure to different risks, including foreign exchange risks. Management teams observe that developing proper risk management operations necessitates implementing proper policies and processes to streamline business processes. </w:t>
      </w:r>
    </w:p>
    <w:p w14:paraId="00000039" w14:textId="77777777" w:rsidR="00FD1D46" w:rsidRDefault="00000000">
      <w:pPr>
        <w:pStyle w:val="Heading1"/>
        <w:spacing w:line="480" w:lineRule="auto"/>
        <w:jc w:val="center"/>
        <w:rPr>
          <w:rFonts w:ascii="Times New Roman" w:eastAsia="Times New Roman" w:hAnsi="Times New Roman" w:cs="Times New Roman"/>
          <w:b/>
          <w:color w:val="000000"/>
          <w:sz w:val="24"/>
          <w:szCs w:val="24"/>
        </w:rPr>
      </w:pPr>
      <w:bookmarkStart w:id="10" w:name="_17dp8vu" w:colFirst="0" w:colLast="0"/>
      <w:bookmarkEnd w:id="10"/>
      <w:r>
        <w:rPr>
          <w:rFonts w:ascii="Times New Roman" w:eastAsia="Times New Roman" w:hAnsi="Times New Roman" w:cs="Times New Roman"/>
          <w:b/>
          <w:color w:val="000000"/>
          <w:sz w:val="24"/>
          <w:szCs w:val="24"/>
        </w:rPr>
        <w:t>Conclusion</w:t>
      </w:r>
    </w:p>
    <w:p w14:paraId="0000003A" w14:textId="77777777" w:rsidR="00FD1D4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globalisation trend has motivated companies to embrace internationalisation due to its beneficial outcomes. Nonetheless, the global operation plan exposes MNCs to different challenges and risks that require proper interventions. Particularly, success in a globalised market depends on MNCs’ capacity to manage exposure to different foreign exchange risks, namely economic, transaction and translation risks. Therefore, effective management strategies for these risks should be implemented to protect corporations’ market capitalisation, cash flows and incomes. Various strategies that MNCs adopt to manage exposure to foreign exchange risks are broadly categorised into operational strategies, natural hedging, financial strategies and governance. The intervention strategies are designed to improve MNCs’ resilience and responsiveness to FX risks that negatively affect their performance. Managing these risks effectively allows multinational corporations to accomplish long-term goals like high profitability, competitive advantage and high market value.</w:t>
      </w:r>
    </w:p>
    <w:p w14:paraId="0000003B" w14:textId="77777777" w:rsidR="00FD1D46" w:rsidRDefault="00FD1D46">
      <w:pPr>
        <w:spacing w:line="480" w:lineRule="auto"/>
        <w:ind w:firstLine="720"/>
        <w:rPr>
          <w:rFonts w:ascii="Times New Roman" w:eastAsia="Times New Roman" w:hAnsi="Times New Roman" w:cs="Times New Roman"/>
          <w:sz w:val="24"/>
          <w:szCs w:val="24"/>
        </w:rPr>
      </w:pPr>
    </w:p>
    <w:p w14:paraId="0000003C" w14:textId="77777777" w:rsidR="00FD1D46" w:rsidRDefault="00000000">
      <w:pPr>
        <w:pStyle w:val="Heading1"/>
        <w:spacing w:line="480" w:lineRule="auto"/>
        <w:jc w:val="center"/>
        <w:rPr>
          <w:rFonts w:ascii="Times New Roman" w:eastAsia="Times New Roman" w:hAnsi="Times New Roman" w:cs="Times New Roman"/>
          <w:b/>
          <w:color w:val="000000"/>
          <w:sz w:val="24"/>
          <w:szCs w:val="24"/>
        </w:rPr>
      </w:pPr>
      <w:bookmarkStart w:id="11" w:name="_3rdcrjn" w:colFirst="0" w:colLast="0"/>
      <w:bookmarkEnd w:id="11"/>
      <w:r>
        <w:rPr>
          <w:rFonts w:ascii="Times New Roman" w:eastAsia="Times New Roman" w:hAnsi="Times New Roman" w:cs="Times New Roman"/>
          <w:b/>
          <w:color w:val="000000"/>
          <w:sz w:val="24"/>
          <w:szCs w:val="24"/>
        </w:rPr>
        <w:lastRenderedPageBreak/>
        <w:t>Reference List</w:t>
      </w:r>
    </w:p>
    <w:p w14:paraId="0000003D" w14:textId="77777777" w:rsidR="00FD1D46" w:rsidRDefault="00000000">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Álvarez-Díez</w:t>
      </w:r>
      <w:proofErr w:type="spellEnd"/>
      <w:r>
        <w:rPr>
          <w:rFonts w:ascii="Times New Roman" w:eastAsia="Times New Roman" w:hAnsi="Times New Roman" w:cs="Times New Roman"/>
          <w:sz w:val="24"/>
          <w:szCs w:val="24"/>
        </w:rPr>
        <w:t xml:space="preserve">, S., Alfaro-Cid, E. and </w:t>
      </w:r>
      <w:proofErr w:type="spellStart"/>
      <w:r>
        <w:rPr>
          <w:rFonts w:ascii="Times New Roman" w:eastAsia="Times New Roman" w:hAnsi="Times New Roman" w:cs="Times New Roman"/>
          <w:sz w:val="24"/>
          <w:szCs w:val="24"/>
        </w:rPr>
        <w:t>Fernández-Blanco</w:t>
      </w:r>
      <w:proofErr w:type="spellEnd"/>
      <w:r>
        <w:rPr>
          <w:rFonts w:ascii="Times New Roman" w:eastAsia="Times New Roman" w:hAnsi="Times New Roman" w:cs="Times New Roman"/>
          <w:sz w:val="24"/>
          <w:szCs w:val="24"/>
        </w:rPr>
        <w:t xml:space="preserve">, M. O. (2016). Hedging foreign </w:t>
      </w:r>
    </w:p>
    <w:p w14:paraId="0000003E" w14:textId="77777777" w:rsidR="00FD1D46" w:rsidRDefault="00000000">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exchange rate risk: Multi-currency diversification. </w:t>
      </w:r>
      <w:r>
        <w:rPr>
          <w:rFonts w:ascii="Times New Roman" w:eastAsia="Times New Roman" w:hAnsi="Times New Roman" w:cs="Times New Roman"/>
          <w:i/>
          <w:sz w:val="24"/>
          <w:szCs w:val="24"/>
        </w:rPr>
        <w:t>European Journal of Management and Business Economics</w:t>
      </w:r>
      <w:r>
        <w:rPr>
          <w:rFonts w:ascii="Times New Roman" w:eastAsia="Times New Roman" w:hAnsi="Times New Roman" w:cs="Times New Roman"/>
          <w:sz w:val="24"/>
          <w:szCs w:val="24"/>
        </w:rPr>
        <w:t>, 25(1), 2-7.</w:t>
      </w:r>
    </w:p>
    <w:p w14:paraId="0000003F" w14:textId="77777777" w:rsidR="00FD1D46" w:rsidRDefault="00000000">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Arize</w:t>
      </w:r>
      <w:proofErr w:type="spellEnd"/>
      <w:r>
        <w:rPr>
          <w:rFonts w:ascii="Times New Roman" w:eastAsia="Times New Roman" w:hAnsi="Times New Roman" w:cs="Times New Roman"/>
          <w:sz w:val="24"/>
          <w:szCs w:val="24"/>
        </w:rPr>
        <w:t xml:space="preserve">, A. C., </w:t>
      </w:r>
      <w:proofErr w:type="spellStart"/>
      <w:r>
        <w:rPr>
          <w:rFonts w:ascii="Times New Roman" w:eastAsia="Times New Roman" w:hAnsi="Times New Roman" w:cs="Times New Roman"/>
          <w:sz w:val="24"/>
          <w:szCs w:val="24"/>
        </w:rPr>
        <w:t>Campanelli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Andreopoulos</w:t>
      </w:r>
      <w:proofErr w:type="spellEnd"/>
      <w:r>
        <w:rPr>
          <w:rFonts w:ascii="Times New Roman" w:eastAsia="Times New Roman" w:hAnsi="Times New Roman" w:cs="Times New Roman"/>
          <w:sz w:val="24"/>
          <w:szCs w:val="24"/>
        </w:rPr>
        <w:t xml:space="preserve">, G., </w:t>
      </w:r>
      <w:proofErr w:type="spellStart"/>
      <w:r>
        <w:rPr>
          <w:rFonts w:ascii="Times New Roman" w:eastAsia="Times New Roman" w:hAnsi="Times New Roman" w:cs="Times New Roman"/>
          <w:sz w:val="24"/>
          <w:szCs w:val="24"/>
        </w:rPr>
        <w:t>Malindretos</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Panayides</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Tsanacas</w:t>
      </w:r>
      <w:proofErr w:type="spellEnd"/>
      <w:r>
        <w:rPr>
          <w:rFonts w:ascii="Times New Roman" w:eastAsia="Times New Roman" w:hAnsi="Times New Roman" w:cs="Times New Roman"/>
          <w:sz w:val="24"/>
          <w:szCs w:val="24"/>
        </w:rPr>
        <w:t xml:space="preserve">, D. </w:t>
      </w:r>
    </w:p>
    <w:p w14:paraId="00000040" w14:textId="77777777" w:rsidR="00FD1D46" w:rsidRDefault="00000000">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(2024). Navigating global finances: an in-depth analysis of foreign exchange exposure in multinational companies: insights from industry practitioners. </w:t>
      </w:r>
      <w:r>
        <w:rPr>
          <w:rFonts w:ascii="Times New Roman" w:eastAsia="Times New Roman" w:hAnsi="Times New Roman" w:cs="Times New Roman"/>
          <w:i/>
          <w:sz w:val="24"/>
          <w:szCs w:val="24"/>
        </w:rPr>
        <w:t>European Research Studies Journal</w:t>
      </w:r>
      <w:r>
        <w:rPr>
          <w:rFonts w:ascii="Times New Roman" w:eastAsia="Times New Roman" w:hAnsi="Times New Roman" w:cs="Times New Roman"/>
          <w:sz w:val="24"/>
          <w:szCs w:val="24"/>
        </w:rPr>
        <w:t xml:space="preserve">, 27 (1), 3-10. </w:t>
      </w:r>
    </w:p>
    <w:p w14:paraId="00000041" w14:textId="77777777" w:rsidR="00FD1D46" w:rsidRDefault="00000000">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Arize</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Campanelli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Andreopoulos</w:t>
      </w:r>
      <w:proofErr w:type="spellEnd"/>
      <w:r>
        <w:rPr>
          <w:rFonts w:ascii="Times New Roman" w:eastAsia="Times New Roman" w:hAnsi="Times New Roman" w:cs="Times New Roman"/>
          <w:sz w:val="24"/>
          <w:szCs w:val="24"/>
        </w:rPr>
        <w:t xml:space="preserve">, G., </w:t>
      </w:r>
      <w:proofErr w:type="spellStart"/>
      <w:r>
        <w:rPr>
          <w:rFonts w:ascii="Times New Roman" w:eastAsia="Times New Roman" w:hAnsi="Times New Roman" w:cs="Times New Roman"/>
          <w:sz w:val="24"/>
          <w:szCs w:val="24"/>
        </w:rPr>
        <w:t>Kallianiotis</w:t>
      </w:r>
      <w:proofErr w:type="spellEnd"/>
      <w:r>
        <w:rPr>
          <w:rFonts w:ascii="Times New Roman" w:eastAsia="Times New Roman" w:hAnsi="Times New Roman" w:cs="Times New Roman"/>
          <w:sz w:val="24"/>
          <w:szCs w:val="24"/>
        </w:rPr>
        <w:t xml:space="preserve">, I. N. and </w:t>
      </w:r>
      <w:proofErr w:type="spellStart"/>
      <w:r>
        <w:rPr>
          <w:rFonts w:ascii="Times New Roman" w:eastAsia="Times New Roman" w:hAnsi="Times New Roman" w:cs="Times New Roman"/>
          <w:sz w:val="24"/>
          <w:szCs w:val="24"/>
        </w:rPr>
        <w:t>Malindretos</w:t>
      </w:r>
      <w:proofErr w:type="spellEnd"/>
      <w:r>
        <w:rPr>
          <w:rFonts w:ascii="Times New Roman" w:eastAsia="Times New Roman" w:hAnsi="Times New Roman" w:cs="Times New Roman"/>
          <w:sz w:val="24"/>
          <w:szCs w:val="24"/>
        </w:rPr>
        <w:t xml:space="preserve">, J. (2018). MNC </w:t>
      </w:r>
    </w:p>
    <w:p w14:paraId="00000042" w14:textId="77777777" w:rsidR="00FD1D46" w:rsidRDefault="00000000">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transactions foreign exchange exposure: An application. </w:t>
      </w:r>
      <w:r>
        <w:rPr>
          <w:rFonts w:ascii="Times New Roman" w:eastAsia="Times New Roman" w:hAnsi="Times New Roman" w:cs="Times New Roman"/>
          <w:i/>
          <w:sz w:val="24"/>
          <w:szCs w:val="24"/>
        </w:rPr>
        <w:t xml:space="preserve">International Journal of Economics and Business Administration, </w:t>
      </w:r>
      <w:r>
        <w:rPr>
          <w:rFonts w:ascii="Times New Roman" w:eastAsia="Times New Roman" w:hAnsi="Times New Roman" w:cs="Times New Roman"/>
          <w:sz w:val="24"/>
          <w:szCs w:val="24"/>
        </w:rPr>
        <w:t>6(1), 54-60.</w:t>
      </w:r>
    </w:p>
    <w:p w14:paraId="00000043" w14:textId="77777777" w:rsidR="00FD1D46"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CMC Markets. (2024). </w:t>
      </w:r>
      <w:r>
        <w:rPr>
          <w:rFonts w:ascii="Times New Roman" w:eastAsia="Times New Roman" w:hAnsi="Times New Roman" w:cs="Times New Roman"/>
          <w:i/>
          <w:sz w:val="24"/>
          <w:szCs w:val="24"/>
        </w:rPr>
        <w:t>How to trade on safe haven assets</w:t>
      </w:r>
      <w:r>
        <w:rPr>
          <w:rFonts w:ascii="Times New Roman" w:eastAsia="Times New Roman" w:hAnsi="Times New Roman" w:cs="Times New Roman"/>
          <w:sz w:val="24"/>
          <w:szCs w:val="24"/>
        </w:rPr>
        <w:t xml:space="preserve">. CMC Markets. </w:t>
      </w:r>
    </w:p>
    <w:p w14:paraId="00000044" w14:textId="77777777" w:rsidR="00FD1D4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https://www.cmcmarkets.com/en/trading-guides/safe-haven-assets</w:t>
      </w:r>
    </w:p>
    <w:p w14:paraId="00000045" w14:textId="77777777" w:rsidR="00FD1D46"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Crabb, P. R. (2002). Multinational corporations and hedging exchange rate exposure. </w:t>
      </w:r>
    </w:p>
    <w:p w14:paraId="00000046" w14:textId="77777777" w:rsidR="00FD1D4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International Review of Economics &amp; Finance</w:t>
      </w:r>
      <w:r>
        <w:rPr>
          <w:rFonts w:ascii="Times New Roman" w:eastAsia="Times New Roman" w:hAnsi="Times New Roman" w:cs="Times New Roman"/>
          <w:sz w:val="24"/>
          <w:szCs w:val="24"/>
        </w:rPr>
        <w:t>, 11(3), 299-314.</w:t>
      </w:r>
    </w:p>
    <w:p w14:paraId="00000047" w14:textId="77777777" w:rsidR="00FD1D46" w:rsidRDefault="00000000">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Fauceglia</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Shingal</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Wermelinger</w:t>
      </w:r>
      <w:proofErr w:type="spellEnd"/>
      <w:r>
        <w:rPr>
          <w:rFonts w:ascii="Times New Roman" w:eastAsia="Times New Roman" w:hAnsi="Times New Roman" w:cs="Times New Roman"/>
          <w:sz w:val="24"/>
          <w:szCs w:val="24"/>
        </w:rPr>
        <w:t xml:space="preserve">, M. (2014). Natural hedging of exchange rate risk: </w:t>
      </w:r>
    </w:p>
    <w:p w14:paraId="00000048" w14:textId="77777777" w:rsidR="00FD1D46" w:rsidRDefault="00000000">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role of imported input prices. </w:t>
      </w:r>
      <w:r>
        <w:rPr>
          <w:rFonts w:ascii="Times New Roman" w:eastAsia="Times New Roman" w:hAnsi="Times New Roman" w:cs="Times New Roman"/>
          <w:i/>
          <w:sz w:val="24"/>
          <w:szCs w:val="24"/>
        </w:rPr>
        <w:t>Swiss Journal of Economics and Statistics</w:t>
      </w:r>
      <w:r>
        <w:rPr>
          <w:rFonts w:ascii="Times New Roman" w:eastAsia="Times New Roman" w:hAnsi="Times New Roman" w:cs="Times New Roman"/>
          <w:sz w:val="24"/>
          <w:szCs w:val="24"/>
        </w:rPr>
        <w:t>, 150, 261-296.</w:t>
      </w:r>
    </w:p>
    <w:p w14:paraId="00000049" w14:textId="77777777" w:rsidR="00FD1D46"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Garrett, K. (2024). </w:t>
      </w:r>
      <w:r>
        <w:rPr>
          <w:rFonts w:ascii="Times New Roman" w:eastAsia="Times New Roman" w:hAnsi="Times New Roman" w:cs="Times New Roman"/>
          <w:i/>
          <w:sz w:val="24"/>
          <w:szCs w:val="24"/>
        </w:rPr>
        <w:t>Foreign currency risk and its management</w:t>
      </w:r>
      <w:r>
        <w:rPr>
          <w:rFonts w:ascii="Times New Roman" w:eastAsia="Times New Roman" w:hAnsi="Times New Roman" w:cs="Times New Roman"/>
          <w:sz w:val="24"/>
          <w:szCs w:val="24"/>
        </w:rPr>
        <w:t xml:space="preserve">. ACCA: Think Ahead. </w:t>
      </w:r>
    </w:p>
    <w:p w14:paraId="0000004A" w14:textId="77777777" w:rsidR="00FD1D46" w:rsidRDefault="00FD1D46">
      <w:pPr>
        <w:spacing w:line="480" w:lineRule="auto"/>
        <w:ind w:left="720"/>
        <w:rPr>
          <w:rFonts w:ascii="Times New Roman" w:eastAsia="Times New Roman" w:hAnsi="Times New Roman" w:cs="Times New Roman"/>
          <w:sz w:val="24"/>
          <w:szCs w:val="24"/>
        </w:rPr>
      </w:pPr>
    </w:p>
    <w:p w14:paraId="0000004B" w14:textId="77777777" w:rsidR="00FD1D46" w:rsidRDefault="00000000">
      <w:pPr>
        <w:spacing w:line="480" w:lineRule="auto"/>
        <w:ind w:left="720"/>
        <w:rPr>
          <w:rFonts w:ascii="Times New Roman" w:eastAsia="Times New Roman" w:hAnsi="Times New Roman" w:cs="Times New Roman"/>
          <w:sz w:val="24"/>
          <w:szCs w:val="24"/>
        </w:rPr>
      </w:pPr>
      <w:hyperlink r:id="rId6">
        <w:r>
          <w:rPr>
            <w:rFonts w:ascii="Times New Roman" w:eastAsia="Times New Roman" w:hAnsi="Times New Roman" w:cs="Times New Roman"/>
            <w:sz w:val="24"/>
            <w:szCs w:val="24"/>
            <w:u w:val="single"/>
          </w:rPr>
          <w:t>https://www.accaglobal.com/gb/en/student/exam-support-resources/fundamentals-exams-study-resources/f9/technical-articles/forex.html</w:t>
        </w:r>
      </w:hyperlink>
    </w:p>
    <w:p w14:paraId="0000004C" w14:textId="77777777" w:rsidR="00FD1D46" w:rsidRDefault="00000000">
      <w:pPr>
        <w:spacing w:line="480" w:lineRule="auto"/>
        <w:rPr>
          <w:rFonts w:ascii="Times New Roman" w:eastAsia="Times New Roman" w:hAnsi="Times New Roman" w:cs="Times New Roman"/>
          <w:i/>
          <w:sz w:val="24"/>
          <w:szCs w:val="24"/>
        </w:rPr>
      </w:pPr>
      <w:bookmarkStart w:id="12" w:name="_26in1rg" w:colFirst="0" w:colLast="0"/>
      <w:bookmarkEnd w:id="12"/>
      <w:proofErr w:type="spellStart"/>
      <w:r>
        <w:rPr>
          <w:rFonts w:ascii="Times New Roman" w:eastAsia="Times New Roman" w:hAnsi="Times New Roman" w:cs="Times New Roman"/>
          <w:sz w:val="24"/>
          <w:szCs w:val="24"/>
        </w:rPr>
        <w:t>Goel</w:t>
      </w:r>
      <w:proofErr w:type="spellEnd"/>
      <w:r>
        <w:rPr>
          <w:rFonts w:ascii="Times New Roman" w:eastAsia="Times New Roman" w:hAnsi="Times New Roman" w:cs="Times New Roman"/>
          <w:sz w:val="24"/>
          <w:szCs w:val="24"/>
        </w:rPr>
        <w:t xml:space="preserve">, M. (2012). Foreign exchange exposure management: A systematic approach. </w:t>
      </w:r>
      <w:r>
        <w:rPr>
          <w:rFonts w:ascii="Times New Roman" w:eastAsia="Times New Roman" w:hAnsi="Times New Roman" w:cs="Times New Roman"/>
          <w:i/>
          <w:sz w:val="24"/>
          <w:szCs w:val="24"/>
        </w:rPr>
        <w:t xml:space="preserve">International </w:t>
      </w:r>
    </w:p>
    <w:p w14:paraId="0000004D" w14:textId="77777777" w:rsidR="00FD1D4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Journal of Business Economics and Management Research,</w:t>
      </w:r>
      <w:r>
        <w:rPr>
          <w:rFonts w:ascii="Times New Roman" w:eastAsia="Times New Roman" w:hAnsi="Times New Roman" w:cs="Times New Roman"/>
          <w:sz w:val="24"/>
          <w:szCs w:val="24"/>
        </w:rPr>
        <w:t xml:space="preserve"> 3(4), 78-101.</w:t>
      </w:r>
    </w:p>
    <w:p w14:paraId="0000004E" w14:textId="77777777" w:rsidR="00FD1D46"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Jacque, L. L. (2013). </w:t>
      </w:r>
      <w:r>
        <w:rPr>
          <w:rFonts w:ascii="Times New Roman" w:eastAsia="Times New Roman" w:hAnsi="Times New Roman" w:cs="Times New Roman"/>
          <w:i/>
          <w:sz w:val="24"/>
          <w:szCs w:val="24"/>
        </w:rPr>
        <w:t>Management and control of foreign exchange risk</w:t>
      </w:r>
      <w:r>
        <w:rPr>
          <w:rFonts w:ascii="Times New Roman" w:eastAsia="Times New Roman" w:hAnsi="Times New Roman" w:cs="Times New Roman"/>
          <w:sz w:val="24"/>
          <w:szCs w:val="24"/>
        </w:rPr>
        <w:t xml:space="preserve">. Berlin: Springer Science </w:t>
      </w:r>
    </w:p>
    <w:p w14:paraId="0000004F" w14:textId="77777777" w:rsidR="00FD1D4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&amp; Business Media.</w:t>
      </w:r>
    </w:p>
    <w:p w14:paraId="00000050" w14:textId="77777777" w:rsidR="00FD1D46" w:rsidRDefault="00000000">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Kallianiotis</w:t>
      </w:r>
      <w:proofErr w:type="spellEnd"/>
      <w:r>
        <w:rPr>
          <w:rFonts w:ascii="Times New Roman" w:eastAsia="Times New Roman" w:hAnsi="Times New Roman" w:cs="Times New Roman"/>
          <w:sz w:val="24"/>
          <w:szCs w:val="24"/>
        </w:rPr>
        <w:t xml:space="preserve">, J. N. (2013). International Investment, Portfolio Theory, and International Trade </w:t>
      </w:r>
    </w:p>
    <w:p w14:paraId="00000051" w14:textId="77777777" w:rsidR="00FD1D46" w:rsidRDefault="00000000">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Financing. </w:t>
      </w:r>
      <w:r>
        <w:rPr>
          <w:rFonts w:ascii="Times New Roman" w:eastAsia="Times New Roman" w:hAnsi="Times New Roman" w:cs="Times New Roman"/>
          <w:i/>
          <w:sz w:val="24"/>
          <w:szCs w:val="24"/>
        </w:rPr>
        <w:t>In International Financial Transactions and Exchange Rates: Trade, Investment, and Parities</w:t>
      </w:r>
      <w:r>
        <w:rPr>
          <w:rFonts w:ascii="Times New Roman" w:eastAsia="Times New Roman" w:hAnsi="Times New Roman" w:cs="Times New Roman"/>
          <w:sz w:val="24"/>
          <w:szCs w:val="24"/>
        </w:rPr>
        <w:t xml:space="preserve"> (pp. 137-180). New York: </w:t>
      </w:r>
      <w:proofErr w:type="spellStart"/>
      <w:r>
        <w:rPr>
          <w:rFonts w:ascii="Times New Roman" w:eastAsia="Times New Roman" w:hAnsi="Times New Roman" w:cs="Times New Roman"/>
          <w:sz w:val="24"/>
          <w:szCs w:val="24"/>
        </w:rPr>
        <w:t>Palgrave</w:t>
      </w:r>
      <w:proofErr w:type="spellEnd"/>
      <w:r>
        <w:rPr>
          <w:rFonts w:ascii="Times New Roman" w:eastAsia="Times New Roman" w:hAnsi="Times New Roman" w:cs="Times New Roman"/>
          <w:sz w:val="24"/>
          <w:szCs w:val="24"/>
        </w:rPr>
        <w:t xml:space="preserve"> Macmillan US.</w:t>
      </w:r>
    </w:p>
    <w:p w14:paraId="00000052" w14:textId="77777777" w:rsidR="00FD1D46" w:rsidRDefault="00000000">
      <w:pPr>
        <w:spacing w:line="480" w:lineRule="auto"/>
        <w:rPr>
          <w:rFonts w:ascii="Times New Roman" w:eastAsia="Times New Roman" w:hAnsi="Times New Roman" w:cs="Times New Roman"/>
          <w:sz w:val="24"/>
          <w:szCs w:val="24"/>
        </w:rPr>
      </w:pPr>
      <w:bookmarkStart w:id="13" w:name="_lnxbz9" w:colFirst="0" w:colLast="0"/>
      <w:bookmarkEnd w:id="13"/>
      <w:proofErr w:type="spellStart"/>
      <w:r>
        <w:rPr>
          <w:rFonts w:ascii="Times New Roman" w:eastAsia="Times New Roman" w:hAnsi="Times New Roman" w:cs="Times New Roman"/>
          <w:sz w:val="24"/>
          <w:szCs w:val="24"/>
        </w:rPr>
        <w:t>Laplume</w:t>
      </w:r>
      <w:proofErr w:type="spellEnd"/>
      <w:r>
        <w:rPr>
          <w:rFonts w:ascii="Times New Roman" w:eastAsia="Times New Roman" w:hAnsi="Times New Roman" w:cs="Times New Roman"/>
          <w:sz w:val="24"/>
          <w:szCs w:val="24"/>
        </w:rPr>
        <w:t xml:space="preserve">, A. O., </w:t>
      </w:r>
      <w:proofErr w:type="spellStart"/>
      <w:r>
        <w:rPr>
          <w:rFonts w:ascii="Times New Roman" w:eastAsia="Times New Roman" w:hAnsi="Times New Roman" w:cs="Times New Roman"/>
          <w:sz w:val="24"/>
          <w:szCs w:val="24"/>
        </w:rPr>
        <w:t>Sonpar</w:t>
      </w:r>
      <w:proofErr w:type="spellEnd"/>
      <w:r>
        <w:rPr>
          <w:rFonts w:ascii="Times New Roman" w:eastAsia="Times New Roman" w:hAnsi="Times New Roman" w:cs="Times New Roman"/>
          <w:sz w:val="24"/>
          <w:szCs w:val="24"/>
        </w:rPr>
        <w:t xml:space="preserve">, K. and </w:t>
      </w:r>
      <w:proofErr w:type="spellStart"/>
      <w:r>
        <w:rPr>
          <w:rFonts w:ascii="Times New Roman" w:eastAsia="Times New Roman" w:hAnsi="Times New Roman" w:cs="Times New Roman"/>
          <w:sz w:val="24"/>
          <w:szCs w:val="24"/>
        </w:rPr>
        <w:t>Litz</w:t>
      </w:r>
      <w:proofErr w:type="spellEnd"/>
      <w:r>
        <w:rPr>
          <w:rFonts w:ascii="Times New Roman" w:eastAsia="Times New Roman" w:hAnsi="Times New Roman" w:cs="Times New Roman"/>
          <w:sz w:val="24"/>
          <w:szCs w:val="24"/>
        </w:rPr>
        <w:t xml:space="preserve">, R. A. (2008). Stakeholder theory: Reviewing a theory that </w:t>
      </w:r>
    </w:p>
    <w:p w14:paraId="00000053" w14:textId="77777777" w:rsidR="00FD1D4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moves us. </w:t>
      </w:r>
      <w:r>
        <w:rPr>
          <w:rFonts w:ascii="Times New Roman" w:eastAsia="Times New Roman" w:hAnsi="Times New Roman" w:cs="Times New Roman"/>
          <w:i/>
          <w:sz w:val="24"/>
          <w:szCs w:val="24"/>
        </w:rPr>
        <w:t>Journal of Management,</w:t>
      </w:r>
      <w:r>
        <w:rPr>
          <w:rFonts w:ascii="Times New Roman" w:eastAsia="Times New Roman" w:hAnsi="Times New Roman" w:cs="Times New Roman"/>
          <w:sz w:val="24"/>
          <w:szCs w:val="24"/>
        </w:rPr>
        <w:t xml:space="preserve"> 34(6), 1152-1189.</w:t>
      </w:r>
    </w:p>
    <w:p w14:paraId="00000054" w14:textId="77777777" w:rsidR="00FD1D46" w:rsidRDefault="00000000">
      <w:pPr>
        <w:spacing w:line="480" w:lineRule="auto"/>
        <w:rPr>
          <w:rFonts w:ascii="Times New Roman" w:eastAsia="Times New Roman" w:hAnsi="Times New Roman" w:cs="Times New Roman"/>
          <w:i/>
          <w:sz w:val="24"/>
          <w:szCs w:val="24"/>
        </w:rPr>
      </w:pPr>
      <w:proofErr w:type="spellStart"/>
      <w:r>
        <w:rPr>
          <w:rFonts w:ascii="Times New Roman" w:eastAsia="Times New Roman" w:hAnsi="Times New Roman" w:cs="Times New Roman"/>
          <w:sz w:val="24"/>
          <w:szCs w:val="24"/>
        </w:rPr>
        <w:t>Oxelheim</w:t>
      </w:r>
      <w:proofErr w:type="spellEnd"/>
      <w:r>
        <w:rPr>
          <w:rFonts w:ascii="Times New Roman" w:eastAsia="Times New Roman" w:hAnsi="Times New Roman" w:cs="Times New Roman"/>
          <w:sz w:val="24"/>
          <w:szCs w:val="24"/>
        </w:rPr>
        <w:t xml:space="preserve">, L., </w:t>
      </w:r>
      <w:proofErr w:type="spellStart"/>
      <w:r>
        <w:rPr>
          <w:rFonts w:ascii="Times New Roman" w:eastAsia="Times New Roman" w:hAnsi="Times New Roman" w:cs="Times New Roman"/>
          <w:sz w:val="24"/>
          <w:szCs w:val="24"/>
        </w:rPr>
        <w:t>Alviniussen</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Jankensgard</w:t>
      </w:r>
      <w:proofErr w:type="spellEnd"/>
      <w:r>
        <w:rPr>
          <w:rFonts w:ascii="Times New Roman" w:eastAsia="Times New Roman" w:hAnsi="Times New Roman" w:cs="Times New Roman"/>
          <w:sz w:val="24"/>
          <w:szCs w:val="24"/>
        </w:rPr>
        <w:t xml:space="preserve">, H. (2020). </w:t>
      </w:r>
      <w:r>
        <w:rPr>
          <w:rFonts w:ascii="Times New Roman" w:eastAsia="Times New Roman" w:hAnsi="Times New Roman" w:cs="Times New Roman"/>
          <w:i/>
          <w:sz w:val="24"/>
          <w:szCs w:val="24"/>
        </w:rPr>
        <w:t xml:space="preserve">Corporate foreign exchange risk </w:t>
      </w:r>
    </w:p>
    <w:p w14:paraId="00000055" w14:textId="77777777" w:rsidR="00FD1D4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management</w:t>
      </w:r>
      <w:r>
        <w:rPr>
          <w:rFonts w:ascii="Times New Roman" w:eastAsia="Times New Roman" w:hAnsi="Times New Roman" w:cs="Times New Roman"/>
          <w:sz w:val="24"/>
          <w:szCs w:val="24"/>
        </w:rPr>
        <w:t>. Hoboken: John Wiley &amp; Sons.</w:t>
      </w:r>
    </w:p>
    <w:p w14:paraId="00000056" w14:textId="77777777" w:rsidR="00FD1D46" w:rsidRDefault="00000000">
      <w:pPr>
        <w:spacing w:line="480" w:lineRule="auto"/>
        <w:rPr>
          <w:rFonts w:ascii="Times New Roman" w:eastAsia="Times New Roman" w:hAnsi="Times New Roman" w:cs="Times New Roman"/>
          <w:i/>
          <w:sz w:val="24"/>
          <w:szCs w:val="24"/>
        </w:rPr>
      </w:pPr>
      <w:proofErr w:type="spellStart"/>
      <w:r>
        <w:rPr>
          <w:rFonts w:ascii="Times New Roman" w:eastAsia="Times New Roman" w:hAnsi="Times New Roman" w:cs="Times New Roman"/>
          <w:sz w:val="24"/>
          <w:szCs w:val="24"/>
        </w:rPr>
        <w:t>Oxelheim</w:t>
      </w:r>
      <w:proofErr w:type="spellEnd"/>
      <w:r>
        <w:rPr>
          <w:rFonts w:ascii="Times New Roman" w:eastAsia="Times New Roman" w:hAnsi="Times New Roman" w:cs="Times New Roman"/>
          <w:sz w:val="24"/>
          <w:szCs w:val="24"/>
        </w:rPr>
        <w:t xml:space="preserve">, L., </w:t>
      </w:r>
      <w:proofErr w:type="spellStart"/>
      <w:r>
        <w:rPr>
          <w:rFonts w:ascii="Times New Roman" w:eastAsia="Times New Roman" w:hAnsi="Times New Roman" w:cs="Times New Roman"/>
          <w:sz w:val="24"/>
          <w:szCs w:val="24"/>
        </w:rPr>
        <w:t>Alviniussen</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Jankensgard</w:t>
      </w:r>
      <w:proofErr w:type="spellEnd"/>
      <w:r>
        <w:rPr>
          <w:rFonts w:ascii="Times New Roman" w:eastAsia="Times New Roman" w:hAnsi="Times New Roman" w:cs="Times New Roman"/>
          <w:sz w:val="24"/>
          <w:szCs w:val="24"/>
        </w:rPr>
        <w:t xml:space="preserve">, H. (2020). </w:t>
      </w:r>
      <w:r>
        <w:rPr>
          <w:rFonts w:ascii="Times New Roman" w:eastAsia="Times New Roman" w:hAnsi="Times New Roman" w:cs="Times New Roman"/>
          <w:i/>
          <w:sz w:val="24"/>
          <w:szCs w:val="24"/>
        </w:rPr>
        <w:t xml:space="preserve">Corporate foreign exchange risk </w:t>
      </w:r>
    </w:p>
    <w:p w14:paraId="00000057" w14:textId="77777777" w:rsidR="00FD1D4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management</w:t>
      </w:r>
      <w:r>
        <w:rPr>
          <w:rFonts w:ascii="Times New Roman" w:eastAsia="Times New Roman" w:hAnsi="Times New Roman" w:cs="Times New Roman"/>
          <w:sz w:val="24"/>
          <w:szCs w:val="24"/>
        </w:rPr>
        <w:t>. Hoboken: John Wiley &amp; Sons.</w:t>
      </w:r>
    </w:p>
    <w:p w14:paraId="00000058" w14:textId="77777777" w:rsidR="00FD1D46" w:rsidRDefault="00000000">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Smithson</w:t>
      </w:r>
      <w:proofErr w:type="spellEnd"/>
      <w:r>
        <w:rPr>
          <w:rFonts w:ascii="Times New Roman" w:eastAsia="Times New Roman" w:hAnsi="Times New Roman" w:cs="Times New Roman"/>
          <w:sz w:val="24"/>
          <w:szCs w:val="24"/>
        </w:rPr>
        <w:t xml:space="preserve">, C. and </w:t>
      </w:r>
      <w:proofErr w:type="spellStart"/>
      <w:r>
        <w:rPr>
          <w:rFonts w:ascii="Times New Roman" w:eastAsia="Times New Roman" w:hAnsi="Times New Roman" w:cs="Times New Roman"/>
          <w:sz w:val="24"/>
          <w:szCs w:val="24"/>
        </w:rPr>
        <w:t>Simkins</w:t>
      </w:r>
      <w:proofErr w:type="spellEnd"/>
      <w:r>
        <w:rPr>
          <w:rFonts w:ascii="Times New Roman" w:eastAsia="Times New Roman" w:hAnsi="Times New Roman" w:cs="Times New Roman"/>
          <w:sz w:val="24"/>
          <w:szCs w:val="24"/>
        </w:rPr>
        <w:t xml:space="preserve">, B. J. (2005). Does risk management add value? A survey of the </w:t>
      </w:r>
    </w:p>
    <w:p w14:paraId="00000059" w14:textId="77777777" w:rsidR="00FD1D4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evidence. </w:t>
      </w:r>
      <w:r>
        <w:rPr>
          <w:rFonts w:ascii="Times New Roman" w:eastAsia="Times New Roman" w:hAnsi="Times New Roman" w:cs="Times New Roman"/>
          <w:i/>
          <w:sz w:val="24"/>
          <w:szCs w:val="24"/>
        </w:rPr>
        <w:t>Journal Of Applied Corporate Finance,</w:t>
      </w:r>
      <w:r>
        <w:rPr>
          <w:rFonts w:ascii="Times New Roman" w:eastAsia="Times New Roman" w:hAnsi="Times New Roman" w:cs="Times New Roman"/>
          <w:sz w:val="24"/>
          <w:szCs w:val="24"/>
        </w:rPr>
        <w:t xml:space="preserve"> 17(3), 8-17.</w:t>
      </w:r>
    </w:p>
    <w:p w14:paraId="0000005A" w14:textId="77777777" w:rsidR="00FD1D46" w:rsidRDefault="00000000">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Vanta</w:t>
      </w:r>
      <w:proofErr w:type="spellEnd"/>
      <w:r>
        <w:rPr>
          <w:rFonts w:ascii="Times New Roman" w:eastAsia="Times New Roman" w:hAnsi="Times New Roman" w:cs="Times New Roman"/>
          <w:sz w:val="24"/>
          <w:szCs w:val="24"/>
        </w:rPr>
        <w:t xml:space="preserve">. (2024). </w:t>
      </w:r>
      <w:r>
        <w:rPr>
          <w:rFonts w:ascii="Times New Roman" w:eastAsia="Times New Roman" w:hAnsi="Times New Roman" w:cs="Times New Roman"/>
          <w:i/>
          <w:sz w:val="24"/>
          <w:szCs w:val="24"/>
        </w:rPr>
        <w:t>What are the 3 components of GRC?</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Vanta</w:t>
      </w:r>
      <w:proofErr w:type="spellEnd"/>
      <w:r>
        <w:rPr>
          <w:rFonts w:ascii="Times New Roman" w:eastAsia="Times New Roman" w:hAnsi="Times New Roman" w:cs="Times New Roman"/>
          <w:sz w:val="24"/>
          <w:szCs w:val="24"/>
        </w:rPr>
        <w:t xml:space="preserve">. </w:t>
      </w:r>
    </w:p>
    <w:p w14:paraId="0000005B" w14:textId="77777777" w:rsidR="00FD1D46" w:rsidRDefault="00000000">
      <w:pPr>
        <w:spacing w:line="480" w:lineRule="auto"/>
        <w:ind w:left="720"/>
        <w:rPr>
          <w:rFonts w:ascii="Times New Roman" w:eastAsia="Times New Roman" w:hAnsi="Times New Roman" w:cs="Times New Roman"/>
          <w:sz w:val="24"/>
          <w:szCs w:val="24"/>
        </w:rPr>
      </w:pPr>
      <w:hyperlink r:id="rId7" w:anchor=":~:text=There%20are%20three%20components%20of,compliance%20with%20your%20business%20objectives">
        <w:r>
          <w:rPr>
            <w:rFonts w:ascii="Times New Roman" w:eastAsia="Times New Roman" w:hAnsi="Times New Roman" w:cs="Times New Roman"/>
            <w:sz w:val="24"/>
            <w:szCs w:val="24"/>
            <w:u w:val="single"/>
          </w:rPr>
          <w:t>https://www.vanta.com/collection/grc/grc-components#:~:text=There%20are%20three%20components%20of,compliance%20with%20your%20business%20objectives</w:t>
        </w:r>
      </w:hyperlink>
      <w:r>
        <w:rPr>
          <w:rFonts w:ascii="Times New Roman" w:eastAsia="Times New Roman" w:hAnsi="Times New Roman" w:cs="Times New Roman"/>
          <w:sz w:val="24"/>
          <w:szCs w:val="24"/>
        </w:rPr>
        <w:t>.</w:t>
      </w:r>
    </w:p>
    <w:p w14:paraId="0000005C" w14:textId="77777777" w:rsidR="00FD1D46" w:rsidRDefault="00FD1D46">
      <w:pPr>
        <w:spacing w:line="480" w:lineRule="auto"/>
        <w:rPr>
          <w:rFonts w:ascii="Times New Roman" w:eastAsia="Times New Roman" w:hAnsi="Times New Roman" w:cs="Times New Roman"/>
          <w:sz w:val="24"/>
          <w:szCs w:val="24"/>
        </w:rPr>
      </w:pPr>
    </w:p>
    <w:sectPr w:rsidR="00FD1D46">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5E082E" w14:textId="77777777" w:rsidR="009C27A3" w:rsidRDefault="009C27A3">
      <w:pPr>
        <w:spacing w:after="0" w:line="240" w:lineRule="auto"/>
      </w:pPr>
      <w:r>
        <w:separator/>
      </w:r>
    </w:p>
  </w:endnote>
  <w:endnote w:type="continuationSeparator" w:id="0">
    <w:p w14:paraId="62087CE6" w14:textId="77777777" w:rsidR="009C27A3" w:rsidRDefault="009C2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F01CCD" w14:textId="77777777" w:rsidR="009C27A3" w:rsidRDefault="009C27A3">
      <w:pPr>
        <w:spacing w:after="0" w:line="240" w:lineRule="auto"/>
      </w:pPr>
      <w:r>
        <w:separator/>
      </w:r>
    </w:p>
  </w:footnote>
  <w:footnote w:type="continuationSeparator" w:id="0">
    <w:p w14:paraId="4A697027" w14:textId="77777777" w:rsidR="009C27A3" w:rsidRDefault="009C27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5D" w14:textId="65BF5500" w:rsidR="00FD1D46" w:rsidRDefault="00000000">
    <w:pPr>
      <w:pBdr>
        <w:top w:val="nil"/>
        <w:left w:val="nil"/>
        <w:bottom w:val="nil"/>
        <w:right w:val="nil"/>
        <w:between w:val="nil"/>
      </w:pBdr>
      <w:tabs>
        <w:tab w:val="center" w:pos="4680"/>
        <w:tab w:val="right" w:pos="9360"/>
      </w:tabs>
      <w:spacing w:after="0" w:line="480" w:lineRule="auto"/>
      <w:jc w:val="right"/>
      <w:rPr>
        <w:color w:val="000000"/>
      </w:rPr>
    </w:pPr>
    <w:r>
      <w:rPr>
        <w:rFonts w:ascii="Times New Roman" w:eastAsia="Times New Roman" w:hAnsi="Times New Roman" w:cs="Times New Roman"/>
        <w:color w:val="000000"/>
        <w:sz w:val="24"/>
        <w:szCs w:val="24"/>
      </w:rPr>
      <w:t xml:space="preserve">Managing Foreign Exchange Risks in Multinational Corporations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FC7EDE">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D46"/>
    <w:rsid w:val="001E3E71"/>
    <w:rsid w:val="0051404F"/>
    <w:rsid w:val="005A37D5"/>
    <w:rsid w:val="009C27A3"/>
    <w:rsid w:val="00B07661"/>
    <w:rsid w:val="00B30A10"/>
    <w:rsid w:val="00FC7EDE"/>
    <w:rsid w:val="00FD1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2CBEE2"/>
  <w15:docId w15:val="{580A67E2-D3C6-4B4C-8C67-83000DC28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vanta.com/collection/grc/grc-compone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caglobal.com/gb/en/student/exam-support-resources/fundamentals-exams-study-resources/f9/technical-articles/forex.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2268</Words>
  <Characters>12928</Characters>
  <Application>Microsoft Office Word</Application>
  <DocSecurity>0</DocSecurity>
  <Lines>107</Lines>
  <Paragraphs>30</Paragraphs>
  <ScaleCrop>false</ScaleCrop>
  <Company/>
  <LinksUpToDate>false</LinksUpToDate>
  <CharactersWithSpaces>15166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Desislav Dyankov (2132880)</cp:lastModifiedBy>
  <cp:revision>6</cp:revision>
  <dcterms:created xsi:type="dcterms:W3CDTF">2024-08-17T17:30:00Z</dcterms:created>
  <dcterms:modified xsi:type="dcterms:W3CDTF">2024-08-17T17:32:00Z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5ec8ecaedb4585761d6bf6b947e83411b4f70a5a91f3826283f73972601bc12a</vt:lpwstr>
  </property>
</Properties>
</file>