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6"/>
        <w:gridCol w:w="739"/>
        <w:gridCol w:w="555"/>
        <w:gridCol w:w="184"/>
        <w:gridCol w:w="739"/>
        <w:gridCol w:w="371"/>
        <w:gridCol w:w="370"/>
        <w:gridCol w:w="739"/>
        <w:gridCol w:w="186"/>
        <w:gridCol w:w="554"/>
        <w:gridCol w:w="743"/>
      </w:tblGrid>
      <w:tr w:rsidR="00C53A07" w:rsidRPr="00CC7B2D" w14:paraId="516906A8" w14:textId="77777777" w:rsidTr="00982C74">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F3B4F95" w14:textId="77777777" w:rsidR="00C53A07" w:rsidRPr="00A54F6B" w:rsidRDefault="00C53A07" w:rsidP="00982C74">
            <w:pPr>
              <w:rPr>
                <w:b/>
                <w:bCs/>
              </w:rPr>
            </w:pPr>
            <w:r w:rsidRPr="009F59B1">
              <w:rPr>
                <w:b/>
                <w:bCs/>
                <w:sz w:val="22"/>
                <w:szCs w:val="22"/>
              </w:rPr>
              <w:t>Please write clearly in block capitals.</w:t>
            </w:r>
            <w:r>
              <w:t xml:space="preserve">  </w:t>
            </w:r>
          </w:p>
        </w:tc>
      </w:tr>
      <w:tr w:rsidR="00C53A07" w:rsidRPr="00CC7B2D" w14:paraId="3D4493F8" w14:textId="77777777" w:rsidTr="00982C74">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313ADD" w14:textId="77777777" w:rsidR="00C53A07" w:rsidRPr="00A54F6B" w:rsidRDefault="00C53A07" w:rsidP="00982C74">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AC1657" w14:textId="77777777" w:rsidR="00C53A07" w:rsidRPr="00980D08" w:rsidRDefault="00C53A07" w:rsidP="00982C74">
            <w:pPr>
              <w:rPr>
                <w:sz w:val="22"/>
                <w:szCs w:val="22"/>
              </w:rPr>
            </w:pPr>
            <w:r w:rsidRPr="00980D08">
              <w:rPr>
                <w:sz w:val="22"/>
                <w:szCs w:val="22"/>
              </w:rPr>
              <w:t xml:space="preserve"> </w:t>
            </w: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E1CA38" w14:textId="77777777" w:rsidR="00C53A07" w:rsidRPr="00980D08" w:rsidRDefault="00C53A07" w:rsidP="00982C74">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178C2E" w14:textId="77777777" w:rsidR="00C53A07" w:rsidRPr="00980D08" w:rsidRDefault="00C53A07" w:rsidP="00982C74">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697F46" w14:textId="77777777" w:rsidR="00C53A07" w:rsidRPr="00980D08" w:rsidRDefault="00C53A07" w:rsidP="00982C74">
            <w:pPr>
              <w:rPr>
                <w:sz w:val="22"/>
                <w:szCs w:val="22"/>
              </w:rPr>
            </w:pPr>
          </w:p>
        </w:tc>
      </w:tr>
      <w:tr w:rsidR="00C53A07" w:rsidRPr="00CC7B2D" w14:paraId="7DA713FF" w14:textId="77777777" w:rsidTr="00982C74">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ED6E88" w14:textId="77777777" w:rsidR="00C53A07" w:rsidRPr="00A54F6B" w:rsidRDefault="00C53A07" w:rsidP="00982C74">
            <w:pPr>
              <w:rPr>
                <w:b/>
                <w:bCs/>
                <w:sz w:val="22"/>
                <w:szCs w:val="22"/>
              </w:rPr>
            </w:pPr>
            <w:r w:rsidRPr="00A54F6B">
              <w:rPr>
                <w:b/>
                <w:bCs/>
                <w:sz w:val="22"/>
                <w:szCs w:val="22"/>
              </w:rPr>
              <w:t>C</w:t>
            </w:r>
            <w:r>
              <w:rPr>
                <w:b/>
                <w:bCs/>
                <w:sz w:val="22"/>
                <w:szCs w:val="22"/>
              </w:rPr>
              <w:t>entre name</w:t>
            </w:r>
            <w:r w:rsidRPr="00A54F6B">
              <w:rPr>
                <w:b/>
                <w:bCs/>
                <w:sz w:val="22"/>
                <w:szCs w:val="22"/>
              </w:rPr>
              <w:t>:</w:t>
            </w:r>
          </w:p>
          <w:p w14:paraId="51B61E4A" w14:textId="77777777" w:rsidR="00C53A07" w:rsidRPr="00A54F6B" w:rsidRDefault="00C53A07" w:rsidP="00982C74">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2B4D047" w14:textId="77777777" w:rsidR="00C53A07" w:rsidRPr="00980D08" w:rsidRDefault="00C53A07" w:rsidP="00982C74">
            <w:pPr>
              <w:rPr>
                <w:sz w:val="22"/>
                <w:szCs w:val="22"/>
              </w:rPr>
            </w:pPr>
            <w:r>
              <w:rPr>
                <w:sz w:val="22"/>
                <w:szCs w:val="22"/>
              </w:rPr>
              <w:t>UNIVERSITY OF WALES TRINITY SAINT DAVID</w:t>
            </w:r>
          </w:p>
        </w:tc>
      </w:tr>
      <w:tr w:rsidR="00C53A07" w:rsidRPr="00CC7B2D" w14:paraId="4D48BE1C" w14:textId="77777777" w:rsidTr="00982C74">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B72689" w14:textId="77777777" w:rsidR="00C53A07" w:rsidRPr="00A54F6B" w:rsidRDefault="00C53A07" w:rsidP="00982C74">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4E03DA" w14:textId="77777777" w:rsidR="00C53A07" w:rsidRPr="00980D08" w:rsidRDefault="00C53A07" w:rsidP="00982C74">
            <w:pPr>
              <w:rPr>
                <w:sz w:val="22"/>
                <w:szCs w:val="22"/>
              </w:rPr>
            </w:pPr>
            <w:r w:rsidRPr="00980D08">
              <w:rPr>
                <w:sz w:val="22"/>
                <w:szCs w:val="22"/>
              </w:rPr>
              <w:t xml:space="preserve"> </w:t>
            </w:r>
            <w:r>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F690DF" w14:textId="77777777" w:rsidR="00C53A07" w:rsidRPr="00980D08" w:rsidRDefault="00C53A07" w:rsidP="00982C74">
            <w:pPr>
              <w:rPr>
                <w:sz w:val="22"/>
                <w:szCs w:val="22"/>
              </w:rPr>
            </w:pPr>
            <w:r>
              <w:rPr>
                <w:sz w:val="22"/>
                <w:szCs w:val="22"/>
              </w:rPr>
              <w:t>9</w:t>
            </w:r>
            <w:r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208A36" w14:textId="77777777" w:rsidR="00C53A07" w:rsidRPr="00980D08" w:rsidRDefault="00C53A07" w:rsidP="00982C74">
            <w:pPr>
              <w:rPr>
                <w:sz w:val="22"/>
                <w:szCs w:val="22"/>
              </w:rPr>
            </w:pPr>
            <w:r>
              <w:rPr>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263133B" w14:textId="77777777" w:rsidR="00C53A07" w:rsidRPr="00980D08" w:rsidRDefault="00C53A07" w:rsidP="00982C74">
            <w:pPr>
              <w:rPr>
                <w:sz w:val="22"/>
                <w:szCs w:val="22"/>
              </w:rPr>
            </w:pPr>
            <w:r>
              <w:rPr>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E5A190" w14:textId="77777777" w:rsidR="00C53A07" w:rsidRPr="00980D08" w:rsidRDefault="00C53A07" w:rsidP="00982C74">
            <w:pPr>
              <w:rPr>
                <w:sz w:val="22"/>
                <w:szCs w:val="22"/>
              </w:rPr>
            </w:pPr>
            <w:r>
              <w:rPr>
                <w:sz w:val="22"/>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73F711" w14:textId="77777777" w:rsidR="00C53A07" w:rsidRPr="00980D08" w:rsidRDefault="00C53A07" w:rsidP="00982C74">
            <w:pPr>
              <w:rPr>
                <w:sz w:val="22"/>
                <w:szCs w:val="22"/>
              </w:rPr>
            </w:pPr>
            <w:r>
              <w:rPr>
                <w:sz w:val="22"/>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A1447" w14:textId="77777777" w:rsidR="00C53A07" w:rsidRPr="00980D08" w:rsidRDefault="00C53A07" w:rsidP="00982C74">
            <w:pPr>
              <w:rPr>
                <w:sz w:val="22"/>
                <w:szCs w:val="22"/>
              </w:rPr>
            </w:pPr>
            <w:r>
              <w:rPr>
                <w:sz w:val="22"/>
                <w:szCs w:val="22"/>
              </w:rPr>
              <w:t>3</w:t>
            </w:r>
          </w:p>
        </w:tc>
      </w:tr>
      <w:tr w:rsidR="00C53A07" w:rsidRPr="00CC7B2D" w14:paraId="4562DA62" w14:textId="77777777" w:rsidTr="00982C74">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B21B99" w14:textId="77777777" w:rsidR="00C53A07" w:rsidRPr="00A54F6B" w:rsidRDefault="00C53A07" w:rsidP="00982C74">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D9BE36" w14:textId="77777777" w:rsidR="00C53A07" w:rsidRPr="00980D08" w:rsidRDefault="00C53A07" w:rsidP="00982C74">
            <w:pPr>
              <w:rPr>
                <w:sz w:val="22"/>
                <w:szCs w:val="22"/>
              </w:rPr>
            </w:pPr>
            <w:r w:rsidRPr="00980D08">
              <w:rPr>
                <w:sz w:val="22"/>
                <w:szCs w:val="22"/>
              </w:rPr>
              <w:t xml:space="preserve"> </w:t>
            </w:r>
            <w:r>
              <w:rPr>
                <w:sz w:val="22"/>
                <w:szCs w:val="22"/>
              </w:rPr>
              <w:t>GELDER</w:t>
            </w:r>
          </w:p>
        </w:tc>
      </w:tr>
      <w:tr w:rsidR="00C53A07" w:rsidRPr="00CC7B2D" w14:paraId="7434EA49" w14:textId="77777777" w:rsidTr="00982C74">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0C75A" w14:textId="77777777" w:rsidR="00C53A07" w:rsidRPr="00A54F6B" w:rsidRDefault="00C53A07" w:rsidP="00982C74">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CCBB29" w14:textId="77777777" w:rsidR="00C53A07" w:rsidRPr="00980D08" w:rsidRDefault="00C53A07" w:rsidP="00982C74">
            <w:pPr>
              <w:rPr>
                <w:sz w:val="22"/>
                <w:szCs w:val="22"/>
              </w:rPr>
            </w:pPr>
            <w:r w:rsidRPr="00980D08">
              <w:rPr>
                <w:sz w:val="22"/>
                <w:szCs w:val="22"/>
              </w:rPr>
              <w:t xml:space="preserve"> </w:t>
            </w:r>
            <w:r>
              <w:rPr>
                <w:sz w:val="22"/>
                <w:szCs w:val="22"/>
              </w:rPr>
              <w:t>MICHAEL JON</w:t>
            </w:r>
          </w:p>
        </w:tc>
      </w:tr>
      <w:tr w:rsidR="00C53A07" w:rsidRPr="00CC7B2D" w14:paraId="6183FA83" w14:textId="77777777" w:rsidTr="00982C74">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2D0CDCEB" w14:textId="77777777" w:rsidR="00C53A07" w:rsidRPr="00980D08" w:rsidRDefault="00C53A07" w:rsidP="00982C74">
            <w:pPr>
              <w:rPr>
                <w:sz w:val="22"/>
                <w:szCs w:val="22"/>
              </w:rPr>
            </w:pPr>
          </w:p>
        </w:tc>
      </w:tr>
      <w:tr w:rsidR="00C53A07" w:rsidRPr="00CC7B2D" w14:paraId="205A165C" w14:textId="77777777" w:rsidTr="00982C74">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F2E56F2" w14:textId="77777777" w:rsidR="00C53A07" w:rsidRPr="002C43D8" w:rsidRDefault="00C53A07" w:rsidP="00982C74">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A5635" w14:textId="77777777" w:rsidR="00C53A07" w:rsidRPr="00980D08" w:rsidRDefault="00C53A07" w:rsidP="00982C74">
            <w:pPr>
              <w:rPr>
                <w:sz w:val="22"/>
                <w:szCs w:val="22"/>
              </w:rPr>
            </w:pPr>
            <w:r>
              <w:rPr>
                <w:sz w:val="22"/>
                <w:szCs w:val="22"/>
              </w:rPr>
              <w:t>5</w:t>
            </w:r>
            <w:r w:rsidRPr="00980D08">
              <w:rPr>
                <w:sz w:val="22"/>
                <w:szCs w:val="22"/>
              </w:rPr>
              <w:t>CO0</w:t>
            </w:r>
            <w:r>
              <w:rPr>
                <w:sz w:val="22"/>
                <w:szCs w:val="22"/>
              </w:rPr>
              <w:t>2</w:t>
            </w:r>
          </w:p>
        </w:tc>
      </w:tr>
      <w:tr w:rsidR="00C53A07" w:rsidRPr="00CC7B2D" w14:paraId="35959CF6" w14:textId="77777777" w:rsidTr="00982C74">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87880" w14:textId="77777777" w:rsidR="00C53A07" w:rsidRPr="00A54F6B" w:rsidRDefault="00C53A07" w:rsidP="00982C74">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D39F5E" w14:textId="77777777" w:rsidR="00C53A07" w:rsidRPr="00980D08" w:rsidRDefault="00C53A07" w:rsidP="00982C74">
            <w:pPr>
              <w:rPr>
                <w:sz w:val="22"/>
                <w:szCs w:val="22"/>
              </w:rPr>
            </w:pPr>
            <w:r w:rsidRPr="00F352FA">
              <w:rPr>
                <w:sz w:val="22"/>
                <w:szCs w:val="22"/>
              </w:rPr>
              <w:t>E</w:t>
            </w:r>
            <w:r>
              <w:rPr>
                <w:sz w:val="22"/>
                <w:szCs w:val="22"/>
              </w:rPr>
              <w:t>VIDENCED-BASED PRACTICE</w:t>
            </w:r>
          </w:p>
        </w:tc>
      </w:tr>
      <w:tr w:rsidR="00C53A07" w:rsidRPr="00CC7B2D" w14:paraId="6ED246ED" w14:textId="77777777" w:rsidTr="00982C74">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7B34B9B" w14:textId="77777777" w:rsidR="00C53A07" w:rsidRPr="00A54F6B" w:rsidRDefault="00C53A07" w:rsidP="00982C74">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6842AA" w14:textId="77777777" w:rsidR="00C53A07" w:rsidRPr="00980D08" w:rsidRDefault="00C53A07" w:rsidP="00982C74">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Pr>
                <w:sz w:val="22"/>
                <w:szCs w:val="22"/>
              </w:rPr>
              <w:t>3</w:t>
            </w:r>
            <w:r w:rsidRPr="00980D08">
              <w:rPr>
                <w:sz w:val="22"/>
                <w:szCs w:val="22"/>
              </w:rPr>
              <w:t>_01</w:t>
            </w:r>
          </w:p>
        </w:tc>
      </w:tr>
      <w:tr w:rsidR="00C53A07" w:rsidRPr="00CC7B2D" w14:paraId="487E456A" w14:textId="77777777" w:rsidTr="00982C74">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F7E3C4" w14:textId="77777777" w:rsidR="00C53A07" w:rsidRDefault="00C53A07" w:rsidP="00982C74">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E99ECF" w14:textId="77777777" w:rsidR="00C53A07" w:rsidRPr="00980D08" w:rsidRDefault="00C53A07" w:rsidP="00982C74">
            <w:pPr>
              <w:rPr>
                <w:sz w:val="22"/>
                <w:szCs w:val="22"/>
              </w:rPr>
            </w:pPr>
            <w:r>
              <w:rPr>
                <w:sz w:val="22"/>
                <w:szCs w:val="22"/>
              </w:rPr>
              <w:t>17.4.2024</w:t>
            </w:r>
          </w:p>
        </w:tc>
      </w:tr>
      <w:tr w:rsidR="00C53A07" w:rsidRPr="00CC7B2D" w14:paraId="564FF5CF" w14:textId="77777777" w:rsidTr="00982C74">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F39C1A9" w14:textId="77777777" w:rsidR="00C53A07" w:rsidRDefault="00C53A07" w:rsidP="00982C74">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5C7352D" w14:textId="77777777" w:rsidR="00C53A07" w:rsidRPr="00980D08" w:rsidRDefault="00C53A07" w:rsidP="00982C74">
            <w:pPr>
              <w:rPr>
                <w:sz w:val="22"/>
                <w:szCs w:val="22"/>
              </w:rPr>
            </w:pPr>
            <w:r>
              <w:rPr>
                <w:sz w:val="22"/>
                <w:szCs w:val="22"/>
              </w:rPr>
              <w:t>17.6.2024</w:t>
            </w:r>
          </w:p>
        </w:tc>
      </w:tr>
      <w:tr w:rsidR="00C53A07" w:rsidRPr="00CC7B2D" w14:paraId="15D9A6FF" w14:textId="77777777" w:rsidTr="00982C74">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495E6B5" w14:textId="77777777" w:rsidR="00C53A07" w:rsidRDefault="00C53A07" w:rsidP="00982C74">
            <w:pPr>
              <w:rPr>
                <w:b/>
                <w:bCs/>
              </w:rPr>
            </w:pPr>
            <w:r w:rsidRPr="362993AF">
              <w:rPr>
                <w:b/>
                <w:bCs/>
                <w:sz w:val="22"/>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085CC" w14:textId="77777777" w:rsidR="00C53A07" w:rsidRPr="00980D08" w:rsidRDefault="00C53A07" w:rsidP="00982C74">
            <w:pPr>
              <w:rPr>
                <w:sz w:val="22"/>
                <w:szCs w:val="22"/>
              </w:rPr>
            </w:pPr>
          </w:p>
        </w:tc>
      </w:tr>
      <w:tr w:rsidR="00C53A07" w:rsidRPr="00CC7B2D" w14:paraId="38FCF8F0" w14:textId="77777777" w:rsidTr="00982C74">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E84DD7" w14:textId="77777777" w:rsidR="00C53A07" w:rsidRDefault="00C53A07" w:rsidP="00982C74">
            <w:pPr>
              <w:rPr>
                <w:b/>
                <w:bCs/>
              </w:rPr>
            </w:pPr>
            <w:r w:rsidRPr="362993AF">
              <w:rPr>
                <w:b/>
                <w:bCs/>
                <w:sz w:val="22"/>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FFF1CB4" w14:textId="77777777" w:rsidR="00C53A07" w:rsidRPr="00980D08" w:rsidRDefault="00C53A07" w:rsidP="00982C74">
            <w:pPr>
              <w:rPr>
                <w:sz w:val="22"/>
                <w:szCs w:val="22"/>
              </w:rPr>
            </w:pPr>
          </w:p>
        </w:tc>
      </w:tr>
      <w:tr w:rsidR="00C53A07" w:rsidRPr="00CC7B2D" w14:paraId="271AFEB9" w14:textId="77777777" w:rsidTr="00982C74">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BE6D6F8" w14:textId="77777777" w:rsidR="00C53A07" w:rsidRPr="00262C9D" w:rsidRDefault="00C53A07" w:rsidP="00982C74">
            <w:pPr>
              <w:rPr>
                <w:b/>
                <w:bCs/>
              </w:rPr>
            </w:pPr>
            <w:r w:rsidRPr="362993AF">
              <w:rPr>
                <w:b/>
                <w:bCs/>
                <w:sz w:val="22"/>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D1C262" w14:textId="600580F0" w:rsidR="00C53A07" w:rsidRPr="00980D08" w:rsidRDefault="00C03C65" w:rsidP="00982C74">
            <w:pPr>
              <w:rPr>
                <w:sz w:val="22"/>
                <w:szCs w:val="22"/>
              </w:rPr>
            </w:pPr>
            <w:r>
              <w:rPr>
                <w:sz w:val="22"/>
                <w:szCs w:val="22"/>
              </w:rPr>
              <w:t>4277</w:t>
            </w:r>
          </w:p>
        </w:tc>
      </w:tr>
    </w:tbl>
    <w:p w14:paraId="080FEF1A" w14:textId="77777777" w:rsidR="00C53A07" w:rsidRDefault="00C53A07" w:rsidP="00EF7272">
      <w:pPr>
        <w:spacing w:before="240" w:after="0" w:line="240" w:lineRule="auto"/>
        <w:rPr>
          <w:b/>
          <w:bCs/>
        </w:rPr>
      </w:pPr>
    </w:p>
    <w:p w14:paraId="525DB025" w14:textId="77777777" w:rsidR="00C53A07" w:rsidRDefault="00C53A07">
      <w:pPr>
        <w:rPr>
          <w:b/>
          <w:bCs/>
        </w:rPr>
      </w:pPr>
      <w:r>
        <w:rPr>
          <w:b/>
          <w:bCs/>
        </w:rPr>
        <w:br w:type="page"/>
      </w:r>
    </w:p>
    <w:p w14:paraId="2D9D3BDB" w14:textId="66547D74" w:rsidR="00EF7272" w:rsidRPr="00C1722A" w:rsidRDefault="00EF7272" w:rsidP="00EF7272">
      <w:pPr>
        <w:spacing w:before="240" w:after="0" w:line="240" w:lineRule="auto"/>
        <w:rPr>
          <w:b/>
          <w:bCs/>
        </w:rPr>
      </w:pPr>
      <w:r w:rsidRPr="00C1722A">
        <w:rPr>
          <w:b/>
          <w:bCs/>
        </w:rPr>
        <w:lastRenderedPageBreak/>
        <w:t>5CO02 – Evidence-based practice</w:t>
      </w:r>
    </w:p>
    <w:p w14:paraId="4D4AA3B3" w14:textId="77777777" w:rsidR="002622B8" w:rsidRPr="00C1722A" w:rsidRDefault="002622B8">
      <w:pPr>
        <w:rPr>
          <w:b/>
          <w:bCs/>
        </w:rPr>
      </w:pPr>
    </w:p>
    <w:p w14:paraId="3483133E" w14:textId="3B1F7940" w:rsidR="00EF7272" w:rsidRPr="00C1722A" w:rsidRDefault="00AA5EA9">
      <w:pPr>
        <w:rPr>
          <w:b/>
          <w:bCs/>
        </w:rPr>
      </w:pPr>
      <w:r>
        <w:rPr>
          <w:b/>
          <w:bCs/>
        </w:rPr>
        <w:t xml:space="preserve">AC </w:t>
      </w:r>
      <w:r w:rsidR="00EF7272" w:rsidRPr="00C1722A">
        <w:rPr>
          <w:b/>
          <w:bCs/>
        </w:rPr>
        <w:t>1.1</w:t>
      </w:r>
    </w:p>
    <w:p w14:paraId="7CC67757" w14:textId="494C2D1D" w:rsidR="00EF7272" w:rsidRPr="00B17672" w:rsidRDefault="008E15D4" w:rsidP="00EF7272">
      <w:pPr>
        <w:spacing w:before="240" w:after="0" w:line="240" w:lineRule="auto"/>
      </w:pPr>
      <w:r>
        <w:t xml:space="preserve">As discussed by the CIPD </w:t>
      </w:r>
      <w:r w:rsidR="00B37309">
        <w:t>(</w:t>
      </w:r>
      <w:r w:rsidR="00B37309" w:rsidRPr="00E86D58">
        <w:rPr>
          <w:rFonts w:eastAsia="Times New Roman" w:cs="Calibri"/>
          <w:color w:val="000000"/>
          <w:kern w:val="0"/>
          <w:lang w:eastAsia="en-GB"/>
          <w14:ligatures w14:val="none"/>
        </w:rPr>
        <w:t>Young, J. 2023</w:t>
      </w:r>
      <w:r w:rsidR="00B37309">
        <w:rPr>
          <w:rFonts w:eastAsia="Times New Roman" w:cs="Calibri"/>
          <w:color w:val="000000"/>
          <w:kern w:val="0"/>
          <w:lang w:eastAsia="en-GB"/>
          <w14:ligatures w14:val="none"/>
        </w:rPr>
        <w:t>), e</w:t>
      </w:r>
      <w:r w:rsidR="00EF7272" w:rsidRPr="00B17672">
        <w:t xml:space="preserve">vidence-based practice is a mechanism to provide knowledge and understanding of practices that can determine the future of a business. </w:t>
      </w:r>
      <w:r w:rsidR="008E1498">
        <w:t>D</w:t>
      </w:r>
      <w:r w:rsidR="00EF7272" w:rsidRPr="00B17672">
        <w:t>ecisions based on personal instincts</w:t>
      </w:r>
      <w:r w:rsidR="007B1511">
        <w:t>, experiences and beliefs</w:t>
      </w:r>
      <w:r w:rsidR="00EF7272" w:rsidRPr="00B17672">
        <w:t xml:space="preserve"> </w:t>
      </w:r>
      <w:r w:rsidR="007B1511">
        <w:t>are</w:t>
      </w:r>
      <w:r w:rsidR="00EF7272" w:rsidRPr="00B17672">
        <w:t xml:space="preserve"> a starting point</w:t>
      </w:r>
      <w:r w:rsidR="007B1511">
        <w:t xml:space="preserve">. </w:t>
      </w:r>
      <w:r w:rsidR="00EF7272" w:rsidRPr="00B17672">
        <w:t xml:space="preserve">However, effort must be made to research and seek out evidence </w:t>
      </w:r>
      <w:r w:rsidR="007B1511">
        <w:t>supporting</w:t>
      </w:r>
      <w:r w:rsidR="00EF7272" w:rsidRPr="00B17672">
        <w:t xml:space="preserve"> those decisions based on facts, </w:t>
      </w:r>
      <w:r w:rsidR="007B1511">
        <w:t>not</w:t>
      </w:r>
      <w:r w:rsidR="00EF7272" w:rsidRPr="00B17672">
        <w:t xml:space="preserve"> pure assumptions.</w:t>
      </w:r>
    </w:p>
    <w:p w14:paraId="64DD3CA4" w14:textId="05D7F01A" w:rsidR="00EF7272" w:rsidRPr="00B17672" w:rsidRDefault="00EF7272" w:rsidP="00EF7272">
      <w:pPr>
        <w:spacing w:before="240" w:after="0" w:line="240" w:lineRule="auto"/>
      </w:pPr>
      <w:r w:rsidRPr="00B17672">
        <w:t xml:space="preserve">Multiple, critically appraised and trustworthy evidence must be used to substantiate any decision-making process. </w:t>
      </w:r>
      <w:r w:rsidR="00D87C6D">
        <w:t>Decisions</w:t>
      </w:r>
      <w:r w:rsidRPr="00B17672">
        <w:t xml:space="preserve"> on personal experience create a danger of making subjective judgement</w:t>
      </w:r>
      <w:r w:rsidR="00D87C6D">
        <w:t>s</w:t>
      </w:r>
      <w:r w:rsidRPr="00B17672">
        <w:t>. With evidence, both for an</w:t>
      </w:r>
      <w:r w:rsidR="00D87C6D">
        <w:t>d</w:t>
      </w:r>
      <w:r w:rsidRPr="00B17672">
        <w:t xml:space="preserve"> against, we build up a stronger</w:t>
      </w:r>
      <w:r w:rsidR="00D87C6D">
        <w:t>,</w:t>
      </w:r>
      <w:r w:rsidRPr="00B17672">
        <w:t xml:space="preserve"> more substantial case</w:t>
      </w:r>
      <w:r w:rsidR="00D87C6D">
        <w:t>,</w:t>
      </w:r>
      <w:r w:rsidRPr="00B17672">
        <w:t xml:space="preserve"> for a</w:t>
      </w:r>
      <w:r w:rsidR="007B1511">
        <w:t xml:space="preserve">n impactful </w:t>
      </w:r>
      <w:r w:rsidRPr="00B17672">
        <w:t xml:space="preserve">decision. </w:t>
      </w:r>
    </w:p>
    <w:p w14:paraId="166C391F" w14:textId="654811F1" w:rsidR="00EF7272" w:rsidRDefault="007B1511" w:rsidP="00EF7272">
      <w:pPr>
        <w:pStyle w:val="NormalWeb"/>
        <w:spacing w:before="240" w:beforeAutospacing="0" w:after="0" w:afterAutospacing="0"/>
        <w:rPr>
          <w:rFonts w:asciiTheme="minorHAnsi" w:hAnsiTheme="minorHAnsi"/>
          <w:sz w:val="22"/>
          <w:szCs w:val="22"/>
        </w:rPr>
      </w:pPr>
      <w:r>
        <w:rPr>
          <w:rFonts w:asciiTheme="minorHAnsi" w:hAnsiTheme="minorHAnsi"/>
          <w:sz w:val="22"/>
          <w:szCs w:val="22"/>
        </w:rPr>
        <w:t>R</w:t>
      </w:r>
      <w:r w:rsidR="00EF7272" w:rsidRPr="00B17672">
        <w:rPr>
          <w:rFonts w:asciiTheme="minorHAnsi" w:hAnsiTheme="minorHAnsi"/>
          <w:sz w:val="22"/>
          <w:szCs w:val="22"/>
        </w:rPr>
        <w:t xml:space="preserve">esearch </w:t>
      </w:r>
      <w:r>
        <w:rPr>
          <w:rFonts w:asciiTheme="minorHAnsi" w:hAnsiTheme="minorHAnsi"/>
          <w:sz w:val="22"/>
          <w:szCs w:val="22"/>
        </w:rPr>
        <w:t xml:space="preserve">is drawn </w:t>
      </w:r>
      <w:r w:rsidR="00EF7272" w:rsidRPr="00B17672">
        <w:rPr>
          <w:rFonts w:asciiTheme="minorHAnsi" w:hAnsiTheme="minorHAnsi"/>
          <w:sz w:val="22"/>
          <w:szCs w:val="22"/>
        </w:rPr>
        <w:t>from a range of subjects including psychology, sociology, behaviour, economics, employment law, ethics, history and human geography to create the foundations of business decisions, but is this enough to make a sound business decision?</w:t>
      </w:r>
    </w:p>
    <w:p w14:paraId="589216BA" w14:textId="0A6B95F1" w:rsidR="00591B3A" w:rsidRDefault="00591B3A" w:rsidP="00591B3A">
      <w:pPr>
        <w:pStyle w:val="NormalWeb"/>
        <w:spacing w:before="240" w:beforeAutospacing="0" w:after="0" w:afterAutospacing="0"/>
        <w:rPr>
          <w:rFonts w:asciiTheme="minorHAnsi" w:hAnsiTheme="minorHAnsi" w:cs="Calibri"/>
          <w:color w:val="000000"/>
          <w:sz w:val="22"/>
          <w:szCs w:val="22"/>
          <w14:ligatures w14:val="none"/>
        </w:rPr>
      </w:pPr>
      <w:r w:rsidRPr="00B17672">
        <w:rPr>
          <w:rFonts w:asciiTheme="minorHAnsi" w:hAnsiTheme="minorHAnsi" w:cs="Calibri"/>
          <w:color w:val="000000"/>
          <w:sz w:val="22"/>
          <w:szCs w:val="22"/>
          <w14:ligatures w14:val="none"/>
        </w:rPr>
        <w:t>The CIPD provide a breakdown of the four sources of evidence for people professionals (CIPD 2023) where reference is made to Professional Expertise, Scientific literature, organisational data an</w:t>
      </w:r>
      <w:r>
        <w:rPr>
          <w:rFonts w:asciiTheme="minorHAnsi" w:hAnsiTheme="minorHAnsi" w:cs="Calibri"/>
          <w:color w:val="000000"/>
          <w:sz w:val="22"/>
          <w:szCs w:val="22"/>
          <w14:ligatures w14:val="none"/>
        </w:rPr>
        <w:t xml:space="preserve">d </w:t>
      </w:r>
      <w:r w:rsidRPr="00B17672">
        <w:rPr>
          <w:rFonts w:asciiTheme="minorHAnsi" w:hAnsiTheme="minorHAnsi" w:cs="Calibri"/>
          <w:color w:val="000000"/>
          <w:sz w:val="22"/>
          <w:szCs w:val="22"/>
          <w14:ligatures w14:val="none"/>
        </w:rPr>
        <w:t>Stakeholder views to provide Credible and effective decisions.</w:t>
      </w:r>
      <w:r>
        <w:rPr>
          <w:rFonts w:asciiTheme="minorHAnsi" w:hAnsiTheme="minorHAnsi" w:cs="Calibri"/>
          <w:color w:val="000000"/>
          <w:sz w:val="22"/>
          <w:szCs w:val="22"/>
          <w14:ligatures w14:val="none"/>
        </w:rPr>
        <w:t xml:space="preserve"> </w:t>
      </w:r>
    </w:p>
    <w:p w14:paraId="777EBF59" w14:textId="184517C8" w:rsidR="00591B3A" w:rsidRPr="00B17672" w:rsidRDefault="00591B3A" w:rsidP="00591B3A">
      <w:pPr>
        <w:pStyle w:val="NormalWeb"/>
        <w:spacing w:before="240" w:beforeAutospacing="0" w:after="0" w:afterAutospacing="0"/>
        <w:rPr>
          <w:rFonts w:asciiTheme="minorHAnsi" w:hAnsiTheme="minorHAnsi" w:cs="Calibri"/>
          <w:color w:val="000000"/>
          <w:sz w:val="22"/>
          <w:szCs w:val="22"/>
          <w14:ligatures w14:val="none"/>
        </w:rPr>
      </w:pPr>
      <w:r>
        <w:rPr>
          <w:rFonts w:asciiTheme="minorHAnsi" w:hAnsiTheme="minorHAnsi" w:cs="Calibri"/>
          <w:color w:val="000000"/>
          <w:sz w:val="22"/>
          <w:szCs w:val="22"/>
          <w14:ligatures w14:val="none"/>
        </w:rPr>
        <w:t>The CIPD makes further recommendations on the 6 Steps of Evidence-based decision making referring to Asking (translating in an answerable question), acquiring (systematically searching for evidence), Appraising (judging the relevance of evidence), Aggregating (pulling evidence together), Applying (incorporating into a decision-making process) and Assessing (Evaluating the outcome)</w:t>
      </w:r>
      <w:r w:rsidR="002E10D0">
        <w:rPr>
          <w:rFonts w:asciiTheme="minorHAnsi" w:hAnsiTheme="minorHAnsi" w:cs="Calibri"/>
          <w:color w:val="000000"/>
          <w:sz w:val="22"/>
          <w:szCs w:val="22"/>
          <w14:ligatures w14:val="none"/>
        </w:rPr>
        <w:t>.</w:t>
      </w:r>
      <w:r>
        <w:rPr>
          <w:rFonts w:asciiTheme="minorHAnsi" w:hAnsiTheme="minorHAnsi" w:cs="Calibri"/>
          <w:color w:val="000000"/>
          <w:sz w:val="22"/>
          <w:szCs w:val="22"/>
          <w14:ligatures w14:val="none"/>
        </w:rPr>
        <w:t xml:space="preserve"> </w:t>
      </w:r>
    </w:p>
    <w:p w14:paraId="66D96E7D" w14:textId="4F387906" w:rsidR="00901472" w:rsidRPr="00B17672"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sidRPr="00F86B35">
        <w:rPr>
          <w:rFonts w:asciiTheme="minorHAnsi" w:hAnsiTheme="minorHAnsi"/>
          <w:sz w:val="22"/>
          <w:szCs w:val="22"/>
        </w:rPr>
        <w:t>Ikea India</w:t>
      </w:r>
      <w:r w:rsidR="00FD7A4B">
        <w:rPr>
          <w:rFonts w:asciiTheme="minorHAnsi" w:hAnsiTheme="minorHAnsi"/>
          <w:sz w:val="22"/>
          <w:szCs w:val="22"/>
        </w:rPr>
        <w:t xml:space="preserve"> made a </w:t>
      </w:r>
      <w:r w:rsidRPr="00F86B35">
        <w:rPr>
          <w:rFonts w:asciiTheme="minorHAnsi" w:hAnsiTheme="minorHAnsi"/>
          <w:sz w:val="22"/>
          <w:szCs w:val="22"/>
        </w:rPr>
        <w:t>commitment to employ a 50/5</w:t>
      </w:r>
      <w:r w:rsidR="00FD7A4B">
        <w:rPr>
          <w:rFonts w:asciiTheme="minorHAnsi" w:hAnsiTheme="minorHAnsi"/>
          <w:sz w:val="22"/>
          <w:szCs w:val="22"/>
        </w:rPr>
        <w:t>0</w:t>
      </w:r>
      <w:r w:rsidRPr="00F86B35">
        <w:rPr>
          <w:rFonts w:asciiTheme="minorHAnsi" w:hAnsiTheme="minorHAnsi"/>
          <w:sz w:val="22"/>
          <w:szCs w:val="22"/>
        </w:rPr>
        <w:t xml:space="preserve"> gender balance at all levels and positions (</w:t>
      </w:r>
      <w:hyperlink r:id="rId5" w:history="1">
        <w:r w:rsidR="001629E9" w:rsidRPr="00CA4E79">
          <w:rPr>
            <w:rStyle w:val="Hyperlink"/>
            <w:rFonts w:asciiTheme="minorHAnsi" w:hAnsiTheme="minorHAnsi" w:cs="Calibri"/>
            <w:sz w:val="22"/>
            <w:szCs w:val="22"/>
            <w14:ligatures w14:val="none"/>
          </w:rPr>
          <w:t>www.ikea.com/in/en</w:t>
        </w:r>
      </w:hyperlink>
      <w:r w:rsidR="001629E9">
        <w:rPr>
          <w:rFonts w:asciiTheme="minorHAnsi" w:hAnsiTheme="minorHAnsi" w:cs="Calibri"/>
          <w:color w:val="000000"/>
          <w:sz w:val="22"/>
          <w:szCs w:val="22"/>
          <w14:ligatures w14:val="none"/>
        </w:rPr>
        <w:t xml:space="preserve">). </w:t>
      </w:r>
      <w:r w:rsidRPr="00F86B35">
        <w:rPr>
          <w:rFonts w:asciiTheme="minorHAnsi" w:hAnsiTheme="minorHAnsi" w:cs="Calibri"/>
          <w:color w:val="000000"/>
          <w:sz w:val="22"/>
          <w:szCs w:val="22"/>
          <w14:ligatures w14:val="none"/>
        </w:rPr>
        <w:t xml:space="preserve">An inclusive scheme, but Ikea could struggle to recruit if </w:t>
      </w:r>
      <w:r w:rsidR="00834FD2">
        <w:rPr>
          <w:rFonts w:asciiTheme="minorHAnsi" w:hAnsiTheme="minorHAnsi" w:cs="Calibri"/>
          <w:color w:val="000000"/>
          <w:sz w:val="22"/>
          <w:szCs w:val="22"/>
          <w14:ligatures w14:val="none"/>
        </w:rPr>
        <w:t xml:space="preserve">suitable </w:t>
      </w:r>
      <w:r w:rsidRPr="00F86B35">
        <w:rPr>
          <w:rFonts w:asciiTheme="minorHAnsi" w:hAnsiTheme="minorHAnsi" w:cs="Calibri"/>
          <w:color w:val="000000"/>
          <w:sz w:val="22"/>
          <w:szCs w:val="22"/>
          <w14:ligatures w14:val="none"/>
        </w:rPr>
        <w:t xml:space="preserve">applications are not received. We must question </w:t>
      </w:r>
      <w:r w:rsidR="00AB185B">
        <w:rPr>
          <w:rFonts w:asciiTheme="minorHAnsi" w:hAnsiTheme="minorHAnsi" w:cs="Calibri"/>
          <w:color w:val="000000"/>
          <w:sz w:val="22"/>
          <w:szCs w:val="22"/>
          <w14:ligatures w14:val="none"/>
        </w:rPr>
        <w:t>if</w:t>
      </w:r>
      <w:r w:rsidRPr="00F86B35">
        <w:rPr>
          <w:rFonts w:asciiTheme="minorHAnsi" w:hAnsiTheme="minorHAnsi" w:cs="Calibri"/>
          <w:color w:val="000000"/>
          <w:sz w:val="22"/>
          <w:szCs w:val="22"/>
          <w14:ligatures w14:val="none"/>
        </w:rPr>
        <w:t xml:space="preserve"> this decision </w:t>
      </w:r>
      <w:r w:rsidR="00AB185B">
        <w:rPr>
          <w:rFonts w:asciiTheme="minorHAnsi" w:hAnsiTheme="minorHAnsi" w:cs="Calibri"/>
          <w:color w:val="000000"/>
          <w:sz w:val="22"/>
          <w:szCs w:val="22"/>
          <w14:ligatures w14:val="none"/>
        </w:rPr>
        <w:t xml:space="preserve">was based </w:t>
      </w:r>
      <w:r w:rsidRPr="00F86B35">
        <w:rPr>
          <w:rFonts w:asciiTheme="minorHAnsi" w:hAnsiTheme="minorHAnsi" w:cs="Calibri"/>
          <w:color w:val="000000"/>
          <w:sz w:val="22"/>
          <w:szCs w:val="22"/>
          <w14:ligatures w14:val="none"/>
        </w:rPr>
        <w:t xml:space="preserve">on ethical and inclusive reasoning or included demographics and skills. </w:t>
      </w:r>
      <w:r w:rsidR="00901472">
        <w:rPr>
          <w:rFonts w:asciiTheme="minorHAnsi" w:hAnsiTheme="minorHAnsi" w:cs="Calibri"/>
          <w:color w:val="000000"/>
          <w:sz w:val="22"/>
          <w:szCs w:val="22"/>
          <w14:ligatures w14:val="none"/>
        </w:rPr>
        <w:t>Would it be beneficial</w:t>
      </w:r>
      <w:r w:rsidR="008800A4">
        <w:rPr>
          <w:rFonts w:asciiTheme="minorHAnsi" w:hAnsiTheme="minorHAnsi" w:cs="Calibri"/>
          <w:color w:val="000000"/>
          <w:sz w:val="22"/>
          <w:szCs w:val="22"/>
          <w14:ligatures w14:val="none"/>
        </w:rPr>
        <w:t xml:space="preserve"> in a STEM based organisation (Science, Technology, Engineering and Mathematics) where </w:t>
      </w:r>
      <w:r w:rsidR="00776D76">
        <w:rPr>
          <w:rFonts w:asciiTheme="minorHAnsi" w:hAnsiTheme="minorHAnsi" w:cs="Calibri"/>
          <w:color w:val="000000"/>
          <w:sz w:val="22"/>
          <w:szCs w:val="22"/>
          <w14:ligatures w14:val="none"/>
        </w:rPr>
        <w:t xml:space="preserve">a skills shortage exists with a lack of </w:t>
      </w:r>
      <w:r w:rsidR="00CC478A">
        <w:rPr>
          <w:rFonts w:asciiTheme="minorHAnsi" w:hAnsiTheme="minorHAnsi" w:cs="Calibri"/>
          <w:color w:val="000000"/>
          <w:sz w:val="22"/>
          <w:szCs w:val="22"/>
          <w14:ligatures w14:val="none"/>
        </w:rPr>
        <w:t>diversity (</w:t>
      </w:r>
      <w:hyperlink r:id="rId6" w:history="1">
        <w:r w:rsidR="00CC478A" w:rsidRPr="00CA4E79">
          <w:rPr>
            <w:rStyle w:val="Hyperlink"/>
            <w:rFonts w:asciiTheme="minorHAnsi" w:hAnsiTheme="minorHAnsi" w:cs="Calibri"/>
            <w:sz w:val="22"/>
            <w:szCs w:val="22"/>
            <w14:ligatures w14:val="none"/>
          </w:rPr>
          <w:t>www.britishscienceassosication.org</w:t>
        </w:r>
      </w:hyperlink>
      <w:r w:rsidR="00CC478A">
        <w:rPr>
          <w:rFonts w:asciiTheme="minorHAnsi" w:hAnsiTheme="minorHAnsi" w:cs="Calibri"/>
          <w:color w:val="000000"/>
          <w:sz w:val="22"/>
          <w:szCs w:val="22"/>
          <w14:ligatures w14:val="none"/>
        </w:rPr>
        <w:t xml:space="preserve">) </w:t>
      </w:r>
    </w:p>
    <w:p w14:paraId="0BECF954" w14:textId="206C39C4" w:rsidR="00EF7272" w:rsidRPr="00B17672" w:rsidRDefault="00E57B42" w:rsidP="00EF7272">
      <w:pPr>
        <w:pStyle w:val="NormalWeb"/>
        <w:spacing w:before="240" w:beforeAutospacing="0" w:after="0" w:afterAutospacing="0"/>
        <w:rPr>
          <w:rFonts w:asciiTheme="minorHAnsi" w:hAnsiTheme="minorHAnsi" w:cs="Calibri"/>
          <w:color w:val="000000"/>
          <w:sz w:val="22"/>
          <w:szCs w:val="22"/>
          <w14:ligatures w14:val="none"/>
        </w:rPr>
      </w:pPr>
      <w:r>
        <w:rPr>
          <w:rFonts w:asciiTheme="minorHAnsi" w:hAnsiTheme="minorHAnsi"/>
          <w:sz w:val="22"/>
          <w:szCs w:val="22"/>
        </w:rPr>
        <w:t>Evidence</w:t>
      </w:r>
      <w:r w:rsidR="00EF7272" w:rsidRPr="00B17672">
        <w:rPr>
          <w:rFonts w:asciiTheme="minorHAnsi" w:hAnsiTheme="minorHAnsi"/>
          <w:sz w:val="22"/>
          <w:szCs w:val="22"/>
        </w:rPr>
        <w:t>-based practice relies o</w:t>
      </w:r>
      <w:r w:rsidR="00CC478A">
        <w:rPr>
          <w:rFonts w:asciiTheme="minorHAnsi" w:hAnsiTheme="minorHAnsi"/>
          <w:sz w:val="22"/>
          <w:szCs w:val="22"/>
        </w:rPr>
        <w:t>n</w:t>
      </w:r>
      <w:r w:rsidR="00EF7272" w:rsidRPr="00B17672">
        <w:rPr>
          <w:rFonts w:asciiTheme="minorHAnsi" w:hAnsiTheme="minorHAnsi"/>
          <w:sz w:val="22"/>
          <w:szCs w:val="22"/>
        </w:rPr>
        <w:t xml:space="preserve"> the strengths and depth of the evidence that has been researched, the number of source</w:t>
      </w:r>
      <w:r w:rsidR="00C76FA2">
        <w:rPr>
          <w:rFonts w:asciiTheme="minorHAnsi" w:hAnsiTheme="minorHAnsi"/>
          <w:sz w:val="22"/>
          <w:szCs w:val="22"/>
        </w:rPr>
        <w:t>s</w:t>
      </w:r>
      <w:r w:rsidR="00EF7272" w:rsidRPr="00B17672">
        <w:rPr>
          <w:rFonts w:asciiTheme="minorHAnsi" w:hAnsiTheme="minorHAnsi"/>
          <w:sz w:val="22"/>
          <w:szCs w:val="22"/>
        </w:rPr>
        <w:t xml:space="preserve">, </w:t>
      </w:r>
      <w:r w:rsidR="00C76FA2">
        <w:rPr>
          <w:rFonts w:asciiTheme="minorHAnsi" w:hAnsiTheme="minorHAnsi"/>
          <w:sz w:val="22"/>
          <w:szCs w:val="22"/>
        </w:rPr>
        <w:t>and</w:t>
      </w:r>
      <w:r w:rsidR="00EF7272" w:rsidRPr="00B17672">
        <w:rPr>
          <w:rFonts w:asciiTheme="minorHAnsi" w:hAnsiTheme="minorHAnsi"/>
          <w:sz w:val="22"/>
          <w:szCs w:val="22"/>
        </w:rPr>
        <w:t xml:space="preserve"> consider</w:t>
      </w:r>
      <w:r w:rsidR="00C76FA2">
        <w:rPr>
          <w:rFonts w:asciiTheme="minorHAnsi" w:hAnsiTheme="minorHAnsi"/>
          <w:sz w:val="22"/>
          <w:szCs w:val="22"/>
        </w:rPr>
        <w:t>ation on</w:t>
      </w:r>
      <w:r w:rsidR="00EF7272" w:rsidRPr="00B17672">
        <w:rPr>
          <w:rFonts w:asciiTheme="minorHAnsi" w:hAnsiTheme="minorHAnsi"/>
          <w:sz w:val="22"/>
          <w:szCs w:val="22"/>
        </w:rPr>
        <w:t xml:space="preserve"> who wr</w:t>
      </w:r>
      <w:r w:rsidR="00C76FA2">
        <w:rPr>
          <w:rFonts w:asciiTheme="minorHAnsi" w:hAnsiTheme="minorHAnsi"/>
          <w:sz w:val="22"/>
          <w:szCs w:val="22"/>
        </w:rPr>
        <w:t xml:space="preserve">ote </w:t>
      </w:r>
      <w:r w:rsidR="00EF7272" w:rsidRPr="00B17672">
        <w:rPr>
          <w:rFonts w:asciiTheme="minorHAnsi" w:hAnsiTheme="minorHAnsi"/>
          <w:sz w:val="22"/>
          <w:szCs w:val="22"/>
        </w:rPr>
        <w:t xml:space="preserve">it and their personal bias on the subject. </w:t>
      </w:r>
      <w:r w:rsidR="00EF7272" w:rsidRPr="00B17672">
        <w:rPr>
          <w:rFonts w:asciiTheme="minorHAnsi" w:hAnsiTheme="minorHAnsi" w:cs="Calibri"/>
          <w:color w:val="000000"/>
          <w:sz w:val="22"/>
          <w:szCs w:val="22"/>
          <w14:ligatures w14:val="none"/>
        </w:rPr>
        <w:t xml:space="preserve">Academic research from books and journals (which would be peered reviewed) </w:t>
      </w:r>
      <w:r w:rsidR="00467ADA">
        <w:rPr>
          <w:rFonts w:asciiTheme="minorHAnsi" w:hAnsiTheme="minorHAnsi" w:cs="Calibri"/>
          <w:color w:val="000000"/>
          <w:sz w:val="22"/>
          <w:szCs w:val="22"/>
          <w14:ligatures w14:val="none"/>
        </w:rPr>
        <w:t>along with</w:t>
      </w:r>
      <w:r w:rsidR="00EF7272" w:rsidRPr="00B17672">
        <w:rPr>
          <w:rFonts w:asciiTheme="minorHAnsi" w:hAnsiTheme="minorHAnsi" w:cs="Calibri"/>
          <w:color w:val="000000"/>
          <w:sz w:val="22"/>
          <w:szCs w:val="22"/>
          <w14:ligatures w14:val="none"/>
        </w:rPr>
        <w:t xml:space="preserve"> other sources of data</w:t>
      </w:r>
      <w:r w:rsidR="00467ADA">
        <w:rPr>
          <w:rFonts w:asciiTheme="minorHAnsi" w:hAnsiTheme="minorHAnsi" w:cs="Calibri"/>
          <w:color w:val="000000"/>
          <w:sz w:val="22"/>
          <w:szCs w:val="22"/>
          <w14:ligatures w14:val="none"/>
        </w:rPr>
        <w:t>,</w:t>
      </w:r>
      <w:r w:rsidR="00EF7272" w:rsidRPr="00B17672">
        <w:rPr>
          <w:rFonts w:asciiTheme="minorHAnsi" w:hAnsiTheme="minorHAnsi" w:cs="Calibri"/>
          <w:color w:val="000000"/>
          <w:sz w:val="22"/>
          <w:szCs w:val="22"/>
          <w14:ligatures w14:val="none"/>
        </w:rPr>
        <w:t xml:space="preserve"> provide detailed insights into most aspects of Human Resource Management.</w:t>
      </w:r>
    </w:p>
    <w:p w14:paraId="1D25B1E2" w14:textId="24D0DF61" w:rsidR="00EF7272" w:rsidRPr="001624AB" w:rsidRDefault="00DC640B" w:rsidP="00EF7272">
      <w:pPr>
        <w:pStyle w:val="NormalWeb"/>
        <w:spacing w:before="240" w:beforeAutospacing="0" w:after="0" w:afterAutospacing="0"/>
        <w:rPr>
          <w:rFonts w:asciiTheme="minorHAnsi" w:hAnsiTheme="minorHAnsi"/>
          <w:sz w:val="22"/>
          <w:szCs w:val="22"/>
        </w:rPr>
      </w:pPr>
      <w:r>
        <w:rPr>
          <w:rFonts w:asciiTheme="minorHAnsi" w:hAnsiTheme="minorHAnsi"/>
          <w:sz w:val="22"/>
          <w:szCs w:val="22"/>
        </w:rPr>
        <w:t>According to Taylor and Woodhams (2022)</w:t>
      </w:r>
      <w:r w:rsidR="00882CAE">
        <w:rPr>
          <w:rFonts w:asciiTheme="minorHAnsi" w:hAnsiTheme="minorHAnsi"/>
          <w:sz w:val="22"/>
          <w:szCs w:val="22"/>
        </w:rPr>
        <w:t>,</w:t>
      </w:r>
      <w:r w:rsidR="001624AB">
        <w:rPr>
          <w:rFonts w:asciiTheme="minorHAnsi" w:hAnsiTheme="minorHAnsi"/>
          <w:sz w:val="22"/>
          <w:szCs w:val="22"/>
        </w:rPr>
        <w:t xml:space="preserve"> reference is made to</w:t>
      </w:r>
      <w:r w:rsidR="00EF7272" w:rsidRPr="00B17672">
        <w:rPr>
          <w:rFonts w:asciiTheme="minorHAnsi" w:hAnsiTheme="minorHAnsi" w:cs="Calibri"/>
          <w:color w:val="000000"/>
          <w:sz w:val="22"/>
          <w:szCs w:val="22"/>
          <w14:ligatures w14:val="none"/>
        </w:rPr>
        <w:t xml:space="preserve"> ‘casual benchmarking’, ‘doing what seems to have worked in the past’ and ‘following deeply held unexamined ideologies’ as examples of non-evidenced-based practices, which often produce poor performance</w:t>
      </w:r>
      <w:r w:rsidR="00431B93">
        <w:rPr>
          <w:rFonts w:asciiTheme="minorHAnsi" w:hAnsiTheme="minorHAnsi" w:cs="Calibri"/>
          <w:color w:val="000000"/>
          <w:sz w:val="22"/>
          <w:szCs w:val="22"/>
          <w14:ligatures w14:val="none"/>
        </w:rPr>
        <w:t xml:space="preserve">, </w:t>
      </w:r>
      <w:r w:rsidR="00EF7272" w:rsidRPr="00B17672">
        <w:rPr>
          <w:rFonts w:asciiTheme="minorHAnsi" w:hAnsiTheme="minorHAnsi" w:cs="Calibri"/>
          <w:color w:val="000000"/>
          <w:sz w:val="22"/>
          <w:szCs w:val="22"/>
          <w14:ligatures w14:val="none"/>
        </w:rPr>
        <w:t xml:space="preserve">potentially leading to business failure and job losses. John Adair’s example (Adair, 2016) where a decision to sack all surgeons over the age of 55 due to 5 complaints, illustrates an action based on poor research </w:t>
      </w:r>
      <w:r w:rsidR="00882CAE">
        <w:rPr>
          <w:rFonts w:asciiTheme="minorHAnsi" w:hAnsiTheme="minorHAnsi" w:cs="Calibri"/>
          <w:color w:val="000000"/>
          <w:sz w:val="22"/>
          <w:szCs w:val="22"/>
          <w14:ligatures w14:val="none"/>
        </w:rPr>
        <w:t>or</w:t>
      </w:r>
      <w:r w:rsidR="00EF7272" w:rsidRPr="00B17672">
        <w:rPr>
          <w:rFonts w:asciiTheme="minorHAnsi" w:hAnsiTheme="minorHAnsi" w:cs="Calibri"/>
          <w:color w:val="000000"/>
          <w:sz w:val="22"/>
          <w:szCs w:val="22"/>
          <w14:ligatures w14:val="none"/>
        </w:rPr>
        <w:t xml:space="preserve"> lack of evidence. Removing the skills and experience of an institution because of 5 instances without further investigation. </w:t>
      </w:r>
    </w:p>
    <w:p w14:paraId="624C9186" w14:textId="77777777" w:rsidR="00EF7272" w:rsidRDefault="00EF7272"/>
    <w:p w14:paraId="0B31740D" w14:textId="77777777" w:rsidR="002E10D0" w:rsidRDefault="002E10D0"/>
    <w:p w14:paraId="414204B3" w14:textId="33AEE360" w:rsidR="00EF7272" w:rsidRPr="00C1722A" w:rsidRDefault="00CD4260">
      <w:pPr>
        <w:rPr>
          <w:b/>
          <w:bCs/>
        </w:rPr>
      </w:pPr>
      <w:r>
        <w:rPr>
          <w:b/>
          <w:bCs/>
        </w:rPr>
        <w:lastRenderedPageBreak/>
        <w:t xml:space="preserve">AC </w:t>
      </w:r>
      <w:r w:rsidR="00EF7272" w:rsidRPr="00C1722A">
        <w:rPr>
          <w:b/>
          <w:bCs/>
        </w:rPr>
        <w:t>1.2</w:t>
      </w:r>
    </w:p>
    <w:p w14:paraId="2AD21E1B" w14:textId="7E7FD7C4" w:rsidR="00650C4C" w:rsidRDefault="00650C4C" w:rsidP="00650C4C">
      <w:pPr>
        <w:spacing w:before="240" w:after="0" w:line="240" w:lineRule="auto"/>
      </w:pPr>
      <w:r w:rsidRPr="00B17672">
        <w:t>PESTLE (</w:t>
      </w:r>
      <w:r w:rsidRPr="00B17672">
        <w:rPr>
          <w:rFonts w:cs="Calibri"/>
          <w:color w:val="000000"/>
          <w14:ligatures w14:val="none"/>
        </w:rPr>
        <w:t>Battista, M</w:t>
      </w:r>
      <w:r w:rsidR="00EB1FB2">
        <w:rPr>
          <w:rFonts w:cs="Calibri"/>
          <w:color w:val="000000"/>
          <w14:ligatures w14:val="none"/>
        </w:rPr>
        <w:t>,</w:t>
      </w:r>
      <w:r w:rsidRPr="00B17672">
        <w:rPr>
          <w:rFonts w:cs="Calibri"/>
          <w:color w:val="000000"/>
          <w14:ligatures w14:val="none"/>
        </w:rPr>
        <w:t xml:space="preserve"> 2024</w:t>
      </w:r>
      <w:r w:rsidR="00EA396E">
        <w:rPr>
          <w:rFonts w:cs="Calibri"/>
          <w:color w:val="000000"/>
          <w14:ligatures w14:val="none"/>
        </w:rPr>
        <w:t xml:space="preserve">) </w:t>
      </w:r>
      <w:r w:rsidR="008D4AE9">
        <w:t>is</w:t>
      </w:r>
      <w:r w:rsidRPr="00B17672">
        <w:t xml:space="preserve"> an analytical tool</w:t>
      </w:r>
      <w:r>
        <w:t xml:space="preserve"> covering</w:t>
      </w:r>
      <w:r w:rsidRPr="00B17672">
        <w:t xml:space="preserve"> 6 core factors that can affect an organisation (Political, Economic, Social, Technology, Legal and Environmental).</w:t>
      </w:r>
      <w:r>
        <w:t xml:space="preserve"> PESTLE can be beneficial in strategic business planning, workforce and marketing, product development and organisational change.</w:t>
      </w:r>
    </w:p>
    <w:p w14:paraId="5B33B477" w14:textId="4CE24067" w:rsidR="008D4AE9" w:rsidRPr="00B17672" w:rsidRDefault="008D4AE9" w:rsidP="00650C4C">
      <w:pPr>
        <w:spacing w:before="240" w:after="0" w:line="240" w:lineRule="auto"/>
      </w:pPr>
      <w:r>
        <w:t>By segmenting and reviewing each factor</w:t>
      </w:r>
      <w:r w:rsidR="00676BE9">
        <w:t xml:space="preserve"> we can provide a balanced overview of the external effects on an organisation, uncovering both positive and negative</w:t>
      </w:r>
      <w:r w:rsidR="00693439">
        <w:t xml:space="preserve"> considerations. These factors can influence</w:t>
      </w:r>
      <w:r w:rsidR="007506A7">
        <w:t xml:space="preserve"> changes and allow an organisation to future-proof themselves.</w:t>
      </w:r>
    </w:p>
    <w:p w14:paraId="5BB10061" w14:textId="5C3CCAB1" w:rsidR="00132E14" w:rsidRPr="00C951AD" w:rsidRDefault="00903FCC" w:rsidP="00C951AD">
      <w:pPr>
        <w:pStyle w:val="NormalWeb"/>
        <w:spacing w:before="240" w:beforeAutospacing="0" w:after="0" w:afterAutospacing="0"/>
        <w:rPr>
          <w:rFonts w:asciiTheme="minorHAnsi" w:hAnsiTheme="minorHAnsi"/>
          <w:sz w:val="22"/>
          <w:szCs w:val="22"/>
        </w:rPr>
      </w:pPr>
      <w:r>
        <w:rPr>
          <w:rFonts w:asciiTheme="minorHAnsi" w:hAnsiTheme="minorHAnsi"/>
          <w:sz w:val="22"/>
          <w:szCs w:val="22"/>
        </w:rPr>
        <w:t>PESTLE is a simple framework which enhances external and strategic thinking, aiming to minimise external impacts</w:t>
      </w:r>
      <w:r w:rsidR="00A42A39">
        <w:rPr>
          <w:rFonts w:asciiTheme="minorHAnsi" w:hAnsiTheme="minorHAnsi"/>
          <w:sz w:val="22"/>
          <w:szCs w:val="22"/>
        </w:rPr>
        <w:t xml:space="preserve"> and highlight business opportunities. </w:t>
      </w:r>
      <w:r w:rsidR="00132E14">
        <w:rPr>
          <w:rFonts w:asciiTheme="minorHAnsi" w:hAnsiTheme="minorHAnsi"/>
          <w:sz w:val="22"/>
          <w:szCs w:val="22"/>
        </w:rPr>
        <w:t>However, d</w:t>
      </w:r>
      <w:r w:rsidR="00A42A39">
        <w:rPr>
          <w:rFonts w:asciiTheme="minorHAnsi" w:hAnsiTheme="minorHAnsi"/>
          <w:sz w:val="22"/>
          <w:szCs w:val="22"/>
        </w:rPr>
        <w:t xml:space="preserve">ue to its </w:t>
      </w:r>
      <w:r w:rsidR="00991DFB">
        <w:rPr>
          <w:rFonts w:asciiTheme="minorHAnsi" w:hAnsiTheme="minorHAnsi"/>
          <w:sz w:val="22"/>
          <w:szCs w:val="22"/>
        </w:rPr>
        <w:t>framework</w:t>
      </w:r>
      <w:r w:rsidR="007F28B1">
        <w:rPr>
          <w:rFonts w:asciiTheme="minorHAnsi" w:hAnsiTheme="minorHAnsi"/>
          <w:sz w:val="22"/>
          <w:szCs w:val="22"/>
        </w:rPr>
        <w:t xml:space="preserve">, </w:t>
      </w:r>
      <w:r w:rsidR="00991DFB">
        <w:rPr>
          <w:rFonts w:asciiTheme="minorHAnsi" w:hAnsiTheme="minorHAnsi"/>
          <w:sz w:val="22"/>
          <w:szCs w:val="22"/>
        </w:rPr>
        <w:t xml:space="preserve">the </w:t>
      </w:r>
      <w:r w:rsidR="00DE3B77">
        <w:rPr>
          <w:rFonts w:asciiTheme="minorHAnsi" w:hAnsiTheme="minorHAnsi"/>
          <w:sz w:val="22"/>
          <w:szCs w:val="22"/>
        </w:rPr>
        <w:t xml:space="preserve">model has </w:t>
      </w:r>
      <w:r w:rsidR="00491A9C">
        <w:rPr>
          <w:rFonts w:asciiTheme="minorHAnsi" w:hAnsiTheme="minorHAnsi"/>
          <w:sz w:val="22"/>
          <w:szCs w:val="22"/>
        </w:rPr>
        <w:t>concerns regarding the quality and quantity of its data and could be based on unfounded assumptions</w:t>
      </w:r>
      <w:r w:rsidR="00132E14">
        <w:rPr>
          <w:rFonts w:asciiTheme="minorHAnsi" w:hAnsiTheme="minorHAnsi"/>
          <w:sz w:val="22"/>
          <w:szCs w:val="22"/>
        </w:rPr>
        <w:t>.</w:t>
      </w:r>
    </w:p>
    <w:p w14:paraId="1BF5FCBB" w14:textId="2AE166FA" w:rsidR="00EF7272" w:rsidRPr="00B17672" w:rsidRDefault="00C951AD" w:rsidP="00EF7272">
      <w:pPr>
        <w:spacing w:before="240" w:after="0" w:line="240" w:lineRule="auto"/>
      </w:pPr>
      <w:r>
        <w:t>Gathering</w:t>
      </w:r>
      <w:r w:rsidR="00EF7272" w:rsidRPr="00B17672">
        <w:t xml:space="preserve"> of considerations must be detailed and well-balanced to provide a consistent approach and biased opinions or inaccurate data can impact the overall outcome of the analysis. To determine the significance of each factor and its impact on the organisation, data must be relevant and factually correct.</w:t>
      </w:r>
      <w:r>
        <w:t xml:space="preserve"> A PESTLE analysis must be completed on a regular basis </w:t>
      </w:r>
      <w:r w:rsidR="00D00C47">
        <w:t>to</w:t>
      </w:r>
      <w:r>
        <w:t xml:space="preserve"> be effective.</w:t>
      </w:r>
    </w:p>
    <w:p w14:paraId="46ED52BF" w14:textId="77777777" w:rsidR="00EF7272" w:rsidRPr="00B17672" w:rsidRDefault="00EF7272" w:rsidP="00EF7272">
      <w:pPr>
        <w:spacing w:before="240" w:after="0" w:line="240" w:lineRule="auto"/>
      </w:pPr>
      <w:r w:rsidRPr="00B17672">
        <w:t>The use of People Analytics can be a beneficial method of supporting an organisation in diagnosing challenges within itself. By using data such as EDI reporting an organisation can adjust internal factors, including candidate attraction from minority groups to create a more balanced structure and enhancing the culture of the organisation. EDI reporting can also be beneficial when reviewing the Employee Value Proposition and using the data to establish a work-life balance that is beneficial to all, including looking at how religious holidays are recognised for all employees.</w:t>
      </w:r>
    </w:p>
    <w:p w14:paraId="198C47CD" w14:textId="77777777" w:rsidR="00EF7272" w:rsidRPr="00B17672" w:rsidRDefault="00EF7272" w:rsidP="00EF7272">
      <w:pPr>
        <w:spacing w:before="240" w:after="0" w:line="240" w:lineRule="auto"/>
      </w:pPr>
      <w:r w:rsidRPr="00B17672">
        <w:t>EDI reporting can also acknowledge concerns with Disability awareness within the organisation and provide an opportunity to review the support for disabled employees within the workplace. This can then lead onto external recognition as a Disability Confident Employer, enhancing the brand of the organisation</w:t>
      </w:r>
    </w:p>
    <w:p w14:paraId="35AB31DB" w14:textId="77777777" w:rsidR="00EF7272" w:rsidRDefault="00EF7272" w:rsidP="00EF7272">
      <w:pPr>
        <w:spacing w:before="240" w:after="0" w:line="240" w:lineRule="auto"/>
      </w:pPr>
      <w:r w:rsidRPr="00B17672">
        <w:t>People Analytics can be a useful method of self-analysis, but the data can be heavily affected by an individual’s reluctance to answer honestly and openly. Employee data would need to be gathered annually to review constant changes in the organisation and the analysis and further developments based on this data can be time consuming but worthwhile for the organisation’s future.</w:t>
      </w:r>
    </w:p>
    <w:p w14:paraId="315EBAFE" w14:textId="77777777" w:rsidR="00EF7272" w:rsidRDefault="00EF7272"/>
    <w:p w14:paraId="04EFAB59" w14:textId="4C75F6EB" w:rsidR="00EF7272" w:rsidRPr="00C1722A" w:rsidRDefault="00CD4260">
      <w:pPr>
        <w:rPr>
          <w:b/>
          <w:bCs/>
        </w:rPr>
      </w:pPr>
      <w:r>
        <w:rPr>
          <w:b/>
          <w:bCs/>
        </w:rPr>
        <w:t xml:space="preserve">AC </w:t>
      </w:r>
      <w:r w:rsidR="00EF7272" w:rsidRPr="00C1722A">
        <w:rPr>
          <w:b/>
          <w:bCs/>
        </w:rPr>
        <w:t>1.3</w:t>
      </w:r>
    </w:p>
    <w:p w14:paraId="6FD121EF" w14:textId="12B6C0C6" w:rsidR="00EF7272" w:rsidRDefault="00EF7272" w:rsidP="00EF7272">
      <w:pPr>
        <w:spacing w:before="240" w:after="0" w:line="240" w:lineRule="auto"/>
        <w:rPr>
          <w:rFonts w:cs="Calibri"/>
          <w:color w:val="000000"/>
          <w14:ligatures w14:val="none"/>
        </w:rPr>
      </w:pPr>
      <w:r>
        <w:t>Critical thinking, as discussed by Armstrong and Taylor</w:t>
      </w:r>
      <w:r w:rsidRPr="00EF1136">
        <w:rPr>
          <w:rFonts w:cs="Calibri"/>
          <w:color w:val="000000"/>
          <w14:ligatures w14:val="none"/>
        </w:rPr>
        <w:t xml:space="preserve"> </w:t>
      </w:r>
      <w:r>
        <w:rPr>
          <w:rFonts w:cs="Calibri"/>
          <w:color w:val="000000"/>
          <w14:ligatures w14:val="none"/>
        </w:rPr>
        <w:t>(</w:t>
      </w:r>
      <w:r w:rsidRPr="00EF1136">
        <w:rPr>
          <w:rFonts w:cs="Calibri"/>
          <w:color w:val="000000"/>
          <w14:ligatures w14:val="none"/>
        </w:rPr>
        <w:t>Armstrong, M. and Taylor, S</w:t>
      </w:r>
      <w:r w:rsidR="00B76C74">
        <w:rPr>
          <w:rFonts w:cs="Calibri"/>
          <w:color w:val="000000"/>
          <w14:ligatures w14:val="none"/>
        </w:rPr>
        <w:t>,</w:t>
      </w:r>
      <w:r w:rsidRPr="00EF1136">
        <w:rPr>
          <w:rFonts w:cs="Calibri"/>
          <w:color w:val="000000"/>
          <w14:ligatures w14:val="none"/>
        </w:rPr>
        <w:t xml:space="preserve"> 2023).</w:t>
      </w:r>
      <w:r>
        <w:rPr>
          <w:rFonts w:cs="Calibri"/>
          <w:color w:val="000000"/>
          <w14:ligatures w14:val="none"/>
        </w:rPr>
        <w:t xml:space="preserve"> refers to the analysis and evaluation of ideas, theories and concepts and involves reflection and interpretation of data to draw conclusions. </w:t>
      </w:r>
    </w:p>
    <w:p w14:paraId="450FCB08" w14:textId="4BBA8BC2" w:rsidR="00EF7272" w:rsidRDefault="003D771A" w:rsidP="00EF7272">
      <w:pPr>
        <w:spacing w:before="240" w:after="0" w:line="240" w:lineRule="auto"/>
        <w:rPr>
          <w:rFonts w:cs="Calibri"/>
          <w:color w:val="000000"/>
          <w14:ligatures w14:val="none"/>
        </w:rPr>
      </w:pPr>
      <w:r>
        <w:rPr>
          <w:rFonts w:cs="Calibri"/>
          <w:color w:val="000000"/>
          <w14:ligatures w14:val="none"/>
        </w:rPr>
        <w:t>The</w:t>
      </w:r>
      <w:r w:rsidR="00EF7272">
        <w:rPr>
          <w:rFonts w:cs="Calibri"/>
          <w:color w:val="000000"/>
          <w14:ligatures w14:val="none"/>
        </w:rPr>
        <w:t xml:space="preserve"> four key principles to critical thinking: objective and rational thinking, a well-reasoned argument, questioning and checking the validity of sources and evidence, and finally, the awareness of both conscious and unconscious bias of the individual and others. These principals aim to ensure that evidence is reviewed in detail and not taken at face-value.</w:t>
      </w:r>
    </w:p>
    <w:p w14:paraId="3EBCDCAF" w14:textId="2D192BF9" w:rsidR="003017D8" w:rsidRDefault="003017D8" w:rsidP="00EF7272">
      <w:pPr>
        <w:spacing w:before="240" w:after="0" w:line="240" w:lineRule="auto"/>
        <w:rPr>
          <w:rFonts w:cs="Calibri"/>
          <w:color w:val="000000"/>
          <w14:ligatures w14:val="none"/>
        </w:rPr>
      </w:pPr>
      <w:r>
        <w:rPr>
          <w:rFonts w:cs="Calibri"/>
          <w:color w:val="000000"/>
          <w14:ligatures w14:val="none"/>
        </w:rPr>
        <w:lastRenderedPageBreak/>
        <w:t xml:space="preserve">As discussed </w:t>
      </w:r>
      <w:r w:rsidR="0032619E">
        <w:rPr>
          <w:rFonts w:cs="Calibri"/>
          <w:color w:val="000000"/>
          <w14:ligatures w14:val="none"/>
        </w:rPr>
        <w:t>on a CIPD podcast with</w:t>
      </w:r>
      <w:r>
        <w:rPr>
          <w:rFonts w:cs="Calibri"/>
          <w:color w:val="000000"/>
          <w14:ligatures w14:val="none"/>
        </w:rPr>
        <w:t xml:space="preserve"> Phillipa Lamb (</w:t>
      </w:r>
      <w:r w:rsidR="00822903">
        <w:rPr>
          <w:rFonts w:cs="Calibri"/>
          <w:color w:val="000000"/>
          <w14:ligatures w14:val="none"/>
        </w:rPr>
        <w:t>Lamb, P</w:t>
      </w:r>
      <w:r w:rsidR="00EB1FB2">
        <w:rPr>
          <w:rFonts w:cs="Calibri"/>
          <w:color w:val="000000"/>
          <w14:ligatures w14:val="none"/>
        </w:rPr>
        <w:t xml:space="preserve">, </w:t>
      </w:r>
      <w:r w:rsidR="00822903">
        <w:rPr>
          <w:rFonts w:cs="Calibri"/>
          <w:color w:val="000000"/>
          <w14:ligatures w14:val="none"/>
        </w:rPr>
        <w:t>2020</w:t>
      </w:r>
      <w:r w:rsidR="003B15F3">
        <w:rPr>
          <w:rFonts w:cs="Calibri"/>
          <w:color w:val="000000"/>
          <w14:ligatures w14:val="none"/>
        </w:rPr>
        <w:t>)</w:t>
      </w:r>
      <w:r w:rsidR="0032619E">
        <w:rPr>
          <w:rFonts w:cs="Calibri"/>
          <w:color w:val="000000"/>
          <w14:ligatures w14:val="none"/>
        </w:rPr>
        <w:t>, Critical thinking ensures objective and rational thinking, including where the evidence has come from and the individual perspective of the commentator, alongside considering why they have chosen that point of view we begin to think critically. Through analysis of the evidence, looking at who, what and why, we develop our own opinion on the evidence.</w:t>
      </w:r>
    </w:p>
    <w:p w14:paraId="5993CF9D" w14:textId="6DDC7D39" w:rsidR="00EF7272" w:rsidRDefault="00EF7272" w:rsidP="00EF7272">
      <w:pPr>
        <w:spacing w:before="240" w:after="0" w:line="240" w:lineRule="auto"/>
        <w:rPr>
          <w:rFonts w:cs="Calibri"/>
          <w:color w:val="000000"/>
          <w14:ligatures w14:val="none"/>
        </w:rPr>
      </w:pPr>
      <w:r>
        <w:rPr>
          <w:rFonts w:cs="Calibri"/>
          <w:color w:val="000000"/>
          <w14:ligatures w14:val="none"/>
        </w:rPr>
        <w:t>We begin to deliberate on whether the discussion is well-reasoned</w:t>
      </w:r>
      <w:r w:rsidR="00557455">
        <w:rPr>
          <w:rFonts w:cs="Calibri"/>
          <w:color w:val="000000"/>
          <w14:ligatures w14:val="none"/>
        </w:rPr>
        <w:t xml:space="preserve">, </w:t>
      </w:r>
      <w:r>
        <w:rPr>
          <w:rFonts w:cs="Calibri"/>
          <w:color w:val="000000"/>
          <w14:ligatures w14:val="none"/>
        </w:rPr>
        <w:t>with relevant evidence</w:t>
      </w:r>
      <w:r w:rsidR="00557455">
        <w:rPr>
          <w:rFonts w:cs="Calibri"/>
          <w:color w:val="000000"/>
          <w14:ligatures w14:val="none"/>
        </w:rPr>
        <w:t xml:space="preserve">, </w:t>
      </w:r>
      <w:r>
        <w:rPr>
          <w:rFonts w:cs="Calibri"/>
          <w:color w:val="000000"/>
          <w14:ligatures w14:val="none"/>
        </w:rPr>
        <w:t>question</w:t>
      </w:r>
      <w:r w:rsidR="00557455">
        <w:rPr>
          <w:rFonts w:cs="Calibri"/>
          <w:color w:val="000000"/>
          <w14:ligatures w14:val="none"/>
        </w:rPr>
        <w:t>ing</w:t>
      </w:r>
      <w:r>
        <w:rPr>
          <w:rFonts w:cs="Calibri"/>
          <w:color w:val="000000"/>
          <w14:ligatures w14:val="none"/>
        </w:rPr>
        <w:t xml:space="preserve"> how the evidence was gathered and presented to formulate an opinion. We start to look beyond the basic data of the evidence</w:t>
      </w:r>
      <w:r w:rsidR="00557455">
        <w:rPr>
          <w:rFonts w:cs="Calibri"/>
          <w:color w:val="000000"/>
          <w14:ligatures w14:val="none"/>
        </w:rPr>
        <w:t>,</w:t>
      </w:r>
      <w:r>
        <w:rPr>
          <w:rFonts w:cs="Calibri"/>
          <w:color w:val="000000"/>
          <w14:ligatures w14:val="none"/>
        </w:rPr>
        <w:t xml:space="preserve"> look</w:t>
      </w:r>
      <w:r w:rsidR="00557455">
        <w:rPr>
          <w:rFonts w:cs="Calibri"/>
          <w:color w:val="000000"/>
          <w14:ligatures w14:val="none"/>
        </w:rPr>
        <w:t>ing</w:t>
      </w:r>
      <w:r>
        <w:rPr>
          <w:rFonts w:cs="Calibri"/>
          <w:color w:val="000000"/>
          <w14:ligatures w14:val="none"/>
        </w:rPr>
        <w:t xml:space="preserve"> at how </w:t>
      </w:r>
      <w:r w:rsidR="00557455">
        <w:rPr>
          <w:rFonts w:cs="Calibri"/>
          <w:color w:val="000000"/>
          <w14:ligatures w14:val="none"/>
        </w:rPr>
        <w:t xml:space="preserve">and why </w:t>
      </w:r>
      <w:r>
        <w:rPr>
          <w:rFonts w:cs="Calibri"/>
          <w:color w:val="000000"/>
          <w14:ligatures w14:val="none"/>
        </w:rPr>
        <w:t>the data was created,</w:t>
      </w:r>
      <w:r w:rsidR="00557455">
        <w:rPr>
          <w:rFonts w:cs="Calibri"/>
          <w:color w:val="000000"/>
          <w14:ligatures w14:val="none"/>
        </w:rPr>
        <w:t xml:space="preserve"> </w:t>
      </w:r>
      <w:r>
        <w:rPr>
          <w:rFonts w:cs="Calibri"/>
          <w:color w:val="000000"/>
          <w14:ligatures w14:val="none"/>
        </w:rPr>
        <w:t xml:space="preserve">and whether it </w:t>
      </w:r>
      <w:r w:rsidR="000149B7">
        <w:rPr>
          <w:rFonts w:cs="Calibri"/>
          <w:color w:val="000000"/>
          <w14:ligatures w14:val="none"/>
        </w:rPr>
        <w:t>evidences</w:t>
      </w:r>
      <w:r>
        <w:rPr>
          <w:rFonts w:cs="Calibri"/>
          <w:color w:val="000000"/>
          <w14:ligatures w14:val="none"/>
        </w:rPr>
        <w:t xml:space="preserve"> all elements of the original argument. </w:t>
      </w:r>
    </w:p>
    <w:p w14:paraId="16909B85" w14:textId="57A6A13E" w:rsidR="00EF7272" w:rsidRDefault="00EF7272" w:rsidP="00EF7272">
      <w:pPr>
        <w:spacing w:before="240" w:after="0" w:line="240" w:lineRule="auto"/>
        <w:rPr>
          <w:rFonts w:cs="Calibri"/>
          <w:color w:val="000000"/>
          <w14:ligatures w14:val="none"/>
        </w:rPr>
      </w:pPr>
      <w:r>
        <w:rPr>
          <w:rFonts w:cs="Calibri"/>
          <w:color w:val="000000"/>
          <w14:ligatures w14:val="none"/>
        </w:rPr>
        <w:t xml:space="preserve">We check the validity of the </w:t>
      </w:r>
      <w:r w:rsidR="000149B7">
        <w:rPr>
          <w:rFonts w:cs="Calibri"/>
          <w:color w:val="000000"/>
          <w14:ligatures w14:val="none"/>
        </w:rPr>
        <w:t xml:space="preserve">source </w:t>
      </w:r>
      <w:r>
        <w:rPr>
          <w:rFonts w:cs="Calibri"/>
          <w:color w:val="000000"/>
          <w14:ligatures w14:val="none"/>
        </w:rPr>
        <w:t>data</w:t>
      </w:r>
      <w:r w:rsidR="007E54C1">
        <w:rPr>
          <w:rFonts w:cs="Calibri"/>
          <w:color w:val="000000"/>
          <w14:ligatures w14:val="none"/>
        </w:rPr>
        <w:t xml:space="preserve">, </w:t>
      </w:r>
      <w:r>
        <w:rPr>
          <w:rFonts w:cs="Calibri"/>
          <w:color w:val="000000"/>
          <w14:ligatures w14:val="none"/>
        </w:rPr>
        <w:t xml:space="preserve">for example, </w:t>
      </w:r>
      <w:r w:rsidR="007E54C1">
        <w:rPr>
          <w:rFonts w:cs="Calibri"/>
          <w:color w:val="000000"/>
          <w14:ligatures w14:val="none"/>
        </w:rPr>
        <w:t xml:space="preserve">for </w:t>
      </w:r>
      <w:r>
        <w:rPr>
          <w:rFonts w:cs="Calibri"/>
          <w:color w:val="000000"/>
          <w14:ligatures w14:val="none"/>
        </w:rPr>
        <w:t>a questionnaire, how large was the sample size, were the questions or answers written in such a way to add weight to the original argument? If the questionnaire was weighted in a particular way, does this add bias to the evidence and therefore the argument as a whole?</w:t>
      </w:r>
    </w:p>
    <w:p w14:paraId="44AAFCDB" w14:textId="47AD6932" w:rsidR="00EF7272" w:rsidRDefault="001034D2" w:rsidP="00EF7272">
      <w:pPr>
        <w:spacing w:before="240" w:after="0" w:line="240" w:lineRule="auto"/>
        <w:rPr>
          <w:rFonts w:cs="Calibri"/>
          <w:color w:val="000000"/>
          <w14:ligatures w14:val="none"/>
        </w:rPr>
      </w:pPr>
      <w:r>
        <w:rPr>
          <w:rFonts w:cs="Calibri"/>
          <w:color w:val="000000"/>
          <w14:ligatures w14:val="none"/>
        </w:rPr>
        <w:t>Debates</w:t>
      </w:r>
      <w:r w:rsidR="00EF7272">
        <w:rPr>
          <w:rFonts w:cs="Calibri"/>
          <w:color w:val="000000"/>
          <w14:ligatures w14:val="none"/>
        </w:rPr>
        <w:t xml:space="preserve"> cannot be based on ‘gut instinct’ or emotions</w:t>
      </w:r>
      <w:r>
        <w:rPr>
          <w:rFonts w:cs="Calibri"/>
          <w:color w:val="000000"/>
          <w14:ligatures w14:val="none"/>
        </w:rPr>
        <w:t>,</w:t>
      </w:r>
      <w:r w:rsidR="00EF7272">
        <w:rPr>
          <w:rFonts w:cs="Calibri"/>
          <w:color w:val="000000"/>
          <w14:ligatures w14:val="none"/>
        </w:rPr>
        <w:t xml:space="preserve"> but on sound, factual balanced evidence, which critical thinking directs people to do. </w:t>
      </w:r>
      <w:r>
        <w:rPr>
          <w:rFonts w:cs="Calibri"/>
          <w:color w:val="000000"/>
          <w14:ligatures w14:val="none"/>
        </w:rPr>
        <w:t>W</w:t>
      </w:r>
      <w:r w:rsidR="00EF7272">
        <w:rPr>
          <w:rFonts w:cs="Calibri"/>
          <w:color w:val="000000"/>
          <w14:ligatures w14:val="none"/>
        </w:rPr>
        <w:t>orking through each step in the process we are directed to investigate</w:t>
      </w:r>
      <w:r w:rsidR="00EA5330">
        <w:rPr>
          <w:rFonts w:cs="Calibri"/>
          <w:color w:val="000000"/>
          <w14:ligatures w14:val="none"/>
        </w:rPr>
        <w:t>, do our own research</w:t>
      </w:r>
      <w:r w:rsidR="00EF7272">
        <w:rPr>
          <w:rFonts w:cs="Calibri"/>
          <w:color w:val="000000"/>
          <w14:ligatures w14:val="none"/>
        </w:rPr>
        <w:t xml:space="preserve"> and not take everything at face value</w:t>
      </w:r>
      <w:r w:rsidR="00EA5330">
        <w:rPr>
          <w:rFonts w:cs="Calibri"/>
          <w:color w:val="000000"/>
          <w14:ligatures w14:val="none"/>
        </w:rPr>
        <w:t xml:space="preserve"> to</w:t>
      </w:r>
      <w:r w:rsidR="00EF7272">
        <w:rPr>
          <w:rFonts w:cs="Calibri"/>
          <w:color w:val="000000"/>
          <w14:ligatures w14:val="none"/>
        </w:rPr>
        <w:t xml:space="preserve"> formulat</w:t>
      </w:r>
      <w:r w:rsidR="00EA5330">
        <w:rPr>
          <w:rFonts w:cs="Calibri"/>
          <w:color w:val="000000"/>
          <w14:ligatures w14:val="none"/>
        </w:rPr>
        <w:t>e</w:t>
      </w:r>
      <w:r w:rsidR="00EF7272">
        <w:rPr>
          <w:rFonts w:cs="Calibri"/>
          <w:color w:val="000000"/>
          <w14:ligatures w14:val="none"/>
        </w:rPr>
        <w:t xml:space="preserve"> our own opinion on the matter</w:t>
      </w:r>
      <w:r w:rsidR="00EA5330">
        <w:rPr>
          <w:rFonts w:cs="Calibri"/>
          <w:color w:val="000000"/>
          <w14:ligatures w14:val="none"/>
        </w:rPr>
        <w:t>.</w:t>
      </w:r>
    </w:p>
    <w:p w14:paraId="463B9D0F" w14:textId="0686BE4D" w:rsidR="003C2C12" w:rsidRDefault="003C2C12" w:rsidP="00EF7272">
      <w:pPr>
        <w:spacing w:before="240" w:after="0" w:line="240" w:lineRule="auto"/>
        <w:rPr>
          <w:rFonts w:cs="Calibri"/>
          <w:color w:val="000000"/>
          <w14:ligatures w14:val="none"/>
        </w:rPr>
      </w:pPr>
      <w:r>
        <w:rPr>
          <w:rFonts w:cs="Calibri"/>
          <w:color w:val="000000"/>
          <w14:ligatures w14:val="none"/>
        </w:rPr>
        <w:t>For example</w:t>
      </w:r>
      <w:r w:rsidR="00761C1E">
        <w:rPr>
          <w:rFonts w:cs="Calibri"/>
          <w:color w:val="000000"/>
          <w14:ligatures w14:val="none"/>
        </w:rPr>
        <w:t xml:space="preserve">, </w:t>
      </w:r>
      <w:r w:rsidR="00247FC7">
        <w:rPr>
          <w:rFonts w:cs="Calibri"/>
          <w:color w:val="000000"/>
          <w14:ligatures w14:val="none"/>
        </w:rPr>
        <w:t>a hiring manager holds a belief that because their best performing team</w:t>
      </w:r>
      <w:r w:rsidR="009515F3">
        <w:rPr>
          <w:rFonts w:cs="Calibri"/>
          <w:color w:val="000000"/>
          <w14:ligatures w14:val="none"/>
        </w:rPr>
        <w:t>s</w:t>
      </w:r>
      <w:r w:rsidR="00247FC7">
        <w:rPr>
          <w:rFonts w:cs="Calibri"/>
          <w:color w:val="000000"/>
          <w14:ligatures w14:val="none"/>
        </w:rPr>
        <w:t xml:space="preserve"> </w:t>
      </w:r>
      <w:r w:rsidR="00EB5905">
        <w:rPr>
          <w:rFonts w:cs="Calibri"/>
          <w:color w:val="000000"/>
          <w14:ligatures w14:val="none"/>
        </w:rPr>
        <w:t>are all white males over the age of 35</w:t>
      </w:r>
      <w:r w:rsidR="00F01DB3">
        <w:rPr>
          <w:rFonts w:cs="Calibri"/>
          <w:color w:val="000000"/>
          <w14:ligatures w14:val="none"/>
        </w:rPr>
        <w:t xml:space="preserve">, then the ideal candidate would fit this mould. They </w:t>
      </w:r>
      <w:r w:rsidR="00EF5B01">
        <w:rPr>
          <w:rFonts w:cs="Calibri"/>
          <w:color w:val="000000"/>
          <w14:ligatures w14:val="none"/>
        </w:rPr>
        <w:t>then</w:t>
      </w:r>
      <w:r w:rsidR="00F01DB3">
        <w:rPr>
          <w:rFonts w:cs="Calibri"/>
          <w:color w:val="000000"/>
          <w14:ligatures w14:val="none"/>
        </w:rPr>
        <w:t xml:space="preserve"> discount all</w:t>
      </w:r>
      <w:r w:rsidR="00EF5B01">
        <w:rPr>
          <w:rFonts w:cs="Calibri"/>
          <w:color w:val="000000"/>
          <w14:ligatures w14:val="none"/>
        </w:rPr>
        <w:t xml:space="preserve"> non-male applicants that are under the age of </w:t>
      </w:r>
      <w:r w:rsidR="00B12292">
        <w:rPr>
          <w:rFonts w:cs="Calibri"/>
          <w:color w:val="000000"/>
          <w14:ligatures w14:val="none"/>
        </w:rPr>
        <w:t>35 and</w:t>
      </w:r>
      <w:r w:rsidR="00EF5B01">
        <w:rPr>
          <w:rFonts w:cs="Calibri"/>
          <w:color w:val="000000"/>
          <w14:ligatures w14:val="none"/>
        </w:rPr>
        <w:t xml:space="preserve"> are not white.</w:t>
      </w:r>
      <w:r w:rsidR="00B12292">
        <w:rPr>
          <w:rFonts w:cs="Calibri"/>
          <w:color w:val="000000"/>
          <w14:ligatures w14:val="none"/>
        </w:rPr>
        <w:t xml:space="preserve"> The decision is based on assumption</w:t>
      </w:r>
      <w:r w:rsidR="00CA37DF">
        <w:rPr>
          <w:rFonts w:cs="Calibri"/>
          <w:color w:val="000000"/>
          <w14:ligatures w14:val="none"/>
        </w:rPr>
        <w:t xml:space="preserve"> of </w:t>
      </w:r>
      <w:r w:rsidR="009515F3">
        <w:rPr>
          <w:rFonts w:cs="Calibri"/>
          <w:color w:val="000000"/>
          <w14:ligatures w14:val="none"/>
        </w:rPr>
        <w:t>basic data</w:t>
      </w:r>
      <w:r w:rsidR="00B12292">
        <w:rPr>
          <w:rFonts w:cs="Calibri"/>
          <w:color w:val="000000"/>
          <w14:ligatures w14:val="none"/>
        </w:rPr>
        <w:t xml:space="preserve"> rather than skills and experience</w:t>
      </w:r>
      <w:r w:rsidR="00CA37DF">
        <w:rPr>
          <w:rFonts w:cs="Calibri"/>
          <w:color w:val="000000"/>
          <w14:ligatures w14:val="none"/>
        </w:rPr>
        <w:t>.</w:t>
      </w:r>
    </w:p>
    <w:p w14:paraId="47F1F85C" w14:textId="77777777" w:rsidR="00EF7272" w:rsidRDefault="00EF7272"/>
    <w:p w14:paraId="124BBC88" w14:textId="030DA506" w:rsidR="00EF7272" w:rsidRPr="00C1722A" w:rsidRDefault="00CD4260">
      <w:pPr>
        <w:rPr>
          <w:b/>
          <w:bCs/>
        </w:rPr>
      </w:pPr>
      <w:r>
        <w:rPr>
          <w:b/>
          <w:bCs/>
        </w:rPr>
        <w:t xml:space="preserve">AC </w:t>
      </w:r>
      <w:r w:rsidR="00EF7272" w:rsidRPr="00C1722A">
        <w:rPr>
          <w:b/>
          <w:bCs/>
        </w:rPr>
        <w:t>1.4</w:t>
      </w:r>
    </w:p>
    <w:p w14:paraId="1977858C" w14:textId="764B0689" w:rsidR="00EF7272" w:rsidRPr="00687FAD"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sidRPr="00B17672">
        <w:rPr>
          <w:rFonts w:asciiTheme="minorHAnsi" w:hAnsiTheme="minorHAnsi"/>
          <w:sz w:val="22"/>
          <w:szCs w:val="22"/>
        </w:rPr>
        <w:t xml:space="preserve">Clear decision-making processes can be effective if used well. </w:t>
      </w:r>
      <w:r>
        <w:rPr>
          <w:rFonts w:asciiTheme="minorHAnsi" w:hAnsiTheme="minorHAnsi"/>
          <w:sz w:val="22"/>
          <w:szCs w:val="22"/>
        </w:rPr>
        <w:t xml:space="preserve">Concepts of these processes include </w:t>
      </w:r>
      <w:r w:rsidRPr="004F5F5C">
        <w:rPr>
          <w:rFonts w:asciiTheme="minorHAnsi" w:hAnsiTheme="minorHAnsi" w:cs="Calibri"/>
          <w:color w:val="000000"/>
          <w:sz w:val="22"/>
          <w:szCs w:val="22"/>
          <w14:ligatures w14:val="none"/>
        </w:rPr>
        <w:t xml:space="preserve">Kepner and Tregoe’s model </w:t>
      </w:r>
      <w:r>
        <w:rPr>
          <w:rFonts w:asciiTheme="minorHAnsi" w:hAnsiTheme="minorHAnsi" w:cs="Calibri"/>
          <w:color w:val="000000"/>
          <w:sz w:val="22"/>
          <w:szCs w:val="22"/>
          <w14:ligatures w14:val="none"/>
        </w:rPr>
        <w:t>(</w:t>
      </w:r>
      <w:r w:rsidRPr="004F5F5C">
        <w:rPr>
          <w:rFonts w:asciiTheme="minorHAnsi" w:hAnsiTheme="minorHAnsi" w:cs="Calibri"/>
          <w:color w:val="000000"/>
          <w:sz w:val="22"/>
          <w:szCs w:val="22"/>
          <w14:ligatures w14:val="none"/>
        </w:rPr>
        <w:t>Charles Higgins Kepner and Tregoe, B.B</w:t>
      </w:r>
      <w:r w:rsidR="00BA3DEF">
        <w:rPr>
          <w:rFonts w:asciiTheme="minorHAnsi" w:hAnsiTheme="minorHAnsi" w:cs="Calibri"/>
          <w:color w:val="000000"/>
          <w:sz w:val="22"/>
          <w:szCs w:val="22"/>
          <w14:ligatures w14:val="none"/>
        </w:rPr>
        <w:t xml:space="preserve">, </w:t>
      </w:r>
      <w:r w:rsidRPr="004F5F5C">
        <w:rPr>
          <w:rFonts w:asciiTheme="minorHAnsi" w:hAnsiTheme="minorHAnsi" w:cs="Calibri"/>
          <w:color w:val="000000"/>
          <w:sz w:val="22"/>
          <w:szCs w:val="22"/>
          <w14:ligatures w14:val="none"/>
        </w:rPr>
        <w:t>1965). </w:t>
      </w:r>
    </w:p>
    <w:p w14:paraId="194AF8F8" w14:textId="6B7E625D" w:rsidR="00EF7272" w:rsidRPr="004F5F5C"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Pr>
          <w:rFonts w:asciiTheme="minorHAnsi" w:hAnsiTheme="minorHAnsi" w:cs="Calibri"/>
          <w:color w:val="000000"/>
          <w:sz w:val="22"/>
          <w:szCs w:val="22"/>
          <w14:ligatures w14:val="none"/>
        </w:rPr>
        <w:t xml:space="preserve">The model </w:t>
      </w:r>
      <w:r w:rsidRPr="004F5F5C">
        <w:rPr>
          <w:rFonts w:asciiTheme="minorHAnsi" w:hAnsiTheme="minorHAnsi" w:cs="Calibri"/>
          <w:color w:val="000000"/>
          <w:sz w:val="22"/>
          <w:szCs w:val="22"/>
          <w14:ligatures w14:val="none"/>
        </w:rPr>
        <w:t xml:space="preserve">comprises of four basic steps to decision making. By looking at the appraisal of the situation it is possible to identify concerns leading to problem analysis where the subject is described and evaluated. Decision making being the third step where identification and evaluation of alternatives occur through risk analysis before evaluating the final decision </w:t>
      </w:r>
      <w:r w:rsidR="002A502F">
        <w:rPr>
          <w:rFonts w:asciiTheme="minorHAnsi" w:hAnsiTheme="minorHAnsi" w:cs="Calibri"/>
          <w:color w:val="000000"/>
          <w:sz w:val="22"/>
          <w:szCs w:val="22"/>
          <w14:ligatures w14:val="none"/>
        </w:rPr>
        <w:t>of</w:t>
      </w:r>
      <w:r w:rsidRPr="004F5F5C">
        <w:rPr>
          <w:rFonts w:asciiTheme="minorHAnsi" w:hAnsiTheme="minorHAnsi" w:cs="Calibri"/>
          <w:color w:val="000000"/>
          <w:sz w:val="22"/>
          <w:szCs w:val="22"/>
          <w14:ligatures w14:val="none"/>
        </w:rPr>
        <w:t xml:space="preserve"> </w:t>
      </w:r>
      <w:r w:rsidR="002A502F">
        <w:rPr>
          <w:rFonts w:asciiTheme="minorHAnsi" w:hAnsiTheme="minorHAnsi" w:cs="Calibri"/>
          <w:color w:val="000000"/>
          <w:sz w:val="22"/>
          <w:szCs w:val="22"/>
          <w14:ligatures w14:val="none"/>
        </w:rPr>
        <w:t>identifying</w:t>
      </w:r>
      <w:r w:rsidRPr="004F5F5C">
        <w:rPr>
          <w:rFonts w:asciiTheme="minorHAnsi" w:hAnsiTheme="minorHAnsi" w:cs="Calibri"/>
          <w:color w:val="000000"/>
          <w:sz w:val="22"/>
          <w:szCs w:val="22"/>
          <w14:ligatures w14:val="none"/>
        </w:rPr>
        <w:t xml:space="preserve"> contingencies to minimise risk.</w:t>
      </w:r>
    </w:p>
    <w:p w14:paraId="6C3E02E8" w14:textId="45D6AB3A" w:rsidR="00EF7272" w:rsidRPr="004F5F5C"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sidRPr="004F5F5C">
        <w:rPr>
          <w:rFonts w:asciiTheme="minorHAnsi" w:hAnsiTheme="minorHAnsi" w:cs="Calibri"/>
          <w:color w:val="000000"/>
          <w:sz w:val="22"/>
          <w:szCs w:val="22"/>
          <w14:ligatures w14:val="none"/>
        </w:rPr>
        <w:t xml:space="preserve">The steps </w:t>
      </w:r>
      <w:r>
        <w:rPr>
          <w:rFonts w:asciiTheme="minorHAnsi" w:hAnsiTheme="minorHAnsi" w:cs="Calibri"/>
          <w:color w:val="000000"/>
          <w:sz w:val="22"/>
          <w:szCs w:val="22"/>
          <w14:ligatures w14:val="none"/>
        </w:rPr>
        <w:t>allow for the ranking of decision</w:t>
      </w:r>
      <w:r w:rsidR="00F23160">
        <w:rPr>
          <w:rFonts w:asciiTheme="minorHAnsi" w:hAnsiTheme="minorHAnsi" w:cs="Calibri"/>
          <w:color w:val="000000"/>
          <w:sz w:val="22"/>
          <w:szCs w:val="22"/>
          <w14:ligatures w14:val="none"/>
        </w:rPr>
        <w:t>s</w:t>
      </w:r>
      <w:r>
        <w:rPr>
          <w:rFonts w:asciiTheme="minorHAnsi" w:hAnsiTheme="minorHAnsi" w:cs="Calibri"/>
          <w:color w:val="000000"/>
          <w:sz w:val="22"/>
          <w:szCs w:val="22"/>
          <w14:ligatures w14:val="none"/>
        </w:rPr>
        <w:t xml:space="preserve"> based on benefits and risks to choose the best option. </w:t>
      </w:r>
      <w:r w:rsidR="00F23160">
        <w:rPr>
          <w:rFonts w:asciiTheme="minorHAnsi" w:hAnsiTheme="minorHAnsi" w:cs="Calibri"/>
          <w:color w:val="000000"/>
          <w:sz w:val="22"/>
          <w:szCs w:val="22"/>
          <w14:ligatures w14:val="none"/>
        </w:rPr>
        <w:t>In</w:t>
      </w:r>
      <w:r>
        <w:rPr>
          <w:rFonts w:asciiTheme="minorHAnsi" w:hAnsiTheme="minorHAnsi" w:cs="Calibri"/>
          <w:color w:val="000000"/>
          <w:sz w:val="22"/>
          <w:szCs w:val="22"/>
          <w14:ligatures w14:val="none"/>
        </w:rPr>
        <w:t xml:space="preserve"> comparison to other decision-making processes the model could be seen </w:t>
      </w:r>
      <w:r w:rsidR="00950AB6">
        <w:rPr>
          <w:rFonts w:asciiTheme="minorHAnsi" w:hAnsiTheme="minorHAnsi" w:cs="Calibri"/>
          <w:color w:val="000000"/>
          <w:sz w:val="22"/>
          <w:szCs w:val="22"/>
          <w14:ligatures w14:val="none"/>
        </w:rPr>
        <w:t>as</w:t>
      </w:r>
      <w:r>
        <w:rPr>
          <w:rFonts w:asciiTheme="minorHAnsi" w:hAnsiTheme="minorHAnsi" w:cs="Calibri"/>
          <w:color w:val="000000"/>
          <w:sz w:val="22"/>
          <w:szCs w:val="22"/>
          <w14:ligatures w14:val="none"/>
        </w:rPr>
        <w:t xml:space="preserve"> less structured</w:t>
      </w:r>
      <w:r w:rsidR="00950AB6">
        <w:rPr>
          <w:rFonts w:asciiTheme="minorHAnsi" w:hAnsiTheme="minorHAnsi" w:cs="Calibri"/>
          <w:color w:val="000000"/>
          <w:sz w:val="22"/>
          <w:szCs w:val="22"/>
          <w14:ligatures w14:val="none"/>
        </w:rPr>
        <w:t>,</w:t>
      </w:r>
      <w:r>
        <w:rPr>
          <w:rFonts w:asciiTheme="minorHAnsi" w:hAnsiTheme="minorHAnsi" w:cs="Calibri"/>
          <w:color w:val="000000"/>
          <w:sz w:val="22"/>
          <w:szCs w:val="22"/>
          <w14:ligatures w14:val="none"/>
        </w:rPr>
        <w:t xml:space="preserve"> requiring increased level</w:t>
      </w:r>
      <w:r w:rsidR="00950AB6">
        <w:rPr>
          <w:rFonts w:asciiTheme="minorHAnsi" w:hAnsiTheme="minorHAnsi" w:cs="Calibri"/>
          <w:color w:val="000000"/>
          <w:sz w:val="22"/>
          <w:szCs w:val="22"/>
          <w14:ligatures w14:val="none"/>
        </w:rPr>
        <w:t>s</w:t>
      </w:r>
      <w:r>
        <w:rPr>
          <w:rFonts w:asciiTheme="minorHAnsi" w:hAnsiTheme="minorHAnsi" w:cs="Calibri"/>
          <w:color w:val="000000"/>
          <w:sz w:val="22"/>
          <w:szCs w:val="22"/>
          <w14:ligatures w14:val="none"/>
        </w:rPr>
        <w:t xml:space="preserve"> of patience and commitment to make an unbiased decision.</w:t>
      </w:r>
    </w:p>
    <w:p w14:paraId="694B9FE9" w14:textId="675DC5E9" w:rsidR="006425CB"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sidRPr="00350574">
        <w:rPr>
          <w:rFonts w:asciiTheme="minorHAnsi" w:hAnsiTheme="minorHAnsi" w:cs="Calibri"/>
          <w:color w:val="000000"/>
          <w:sz w:val="22"/>
          <w:szCs w:val="22"/>
          <w14:ligatures w14:val="none"/>
        </w:rPr>
        <w:t>De Bono formulated the Six Thinking Hats Theory (Edward De Bono</w:t>
      </w:r>
      <w:r w:rsidR="00BA3DEF">
        <w:rPr>
          <w:rFonts w:asciiTheme="minorHAnsi" w:hAnsiTheme="minorHAnsi" w:cs="Calibri"/>
          <w:color w:val="000000"/>
          <w:sz w:val="22"/>
          <w:szCs w:val="22"/>
          <w14:ligatures w14:val="none"/>
        </w:rPr>
        <w:t xml:space="preserve">, </w:t>
      </w:r>
      <w:r w:rsidRPr="00350574">
        <w:rPr>
          <w:rFonts w:asciiTheme="minorHAnsi" w:hAnsiTheme="minorHAnsi" w:cs="Calibri"/>
          <w:color w:val="000000"/>
          <w:sz w:val="22"/>
          <w:szCs w:val="22"/>
          <w14:ligatures w14:val="none"/>
        </w:rPr>
        <w:t>1999)</w:t>
      </w:r>
      <w:r w:rsidR="00BA3DEF">
        <w:rPr>
          <w:rFonts w:asciiTheme="minorHAnsi" w:hAnsiTheme="minorHAnsi" w:cs="Calibri"/>
          <w:color w:val="000000"/>
          <w:sz w:val="22"/>
          <w:szCs w:val="22"/>
          <w14:ligatures w14:val="none"/>
        </w:rPr>
        <w:t>,</w:t>
      </w:r>
      <w:r w:rsidRPr="00350574">
        <w:rPr>
          <w:rFonts w:asciiTheme="minorHAnsi" w:hAnsiTheme="minorHAnsi" w:cs="Calibri"/>
          <w:color w:val="000000"/>
          <w:sz w:val="22"/>
          <w:szCs w:val="22"/>
          <w14:ligatures w14:val="none"/>
        </w:rPr>
        <w:t xml:space="preserve"> to demonstrate the thought process behind effective decision-making</w:t>
      </w:r>
      <w:r w:rsidR="00950AB6">
        <w:rPr>
          <w:rFonts w:asciiTheme="minorHAnsi" w:hAnsiTheme="minorHAnsi" w:cs="Calibri"/>
          <w:color w:val="000000"/>
          <w:sz w:val="22"/>
          <w:szCs w:val="22"/>
          <w14:ligatures w14:val="none"/>
        </w:rPr>
        <w:t xml:space="preserve">, ensuring </w:t>
      </w:r>
      <w:r w:rsidRPr="00350574">
        <w:rPr>
          <w:rFonts w:asciiTheme="minorHAnsi" w:hAnsiTheme="minorHAnsi" w:cs="Calibri"/>
          <w:color w:val="000000"/>
          <w:sz w:val="22"/>
          <w:szCs w:val="22"/>
          <w14:ligatures w14:val="none"/>
        </w:rPr>
        <w:t xml:space="preserve">all elements were researched and reviewed to establish </w:t>
      </w:r>
      <w:r>
        <w:rPr>
          <w:rFonts w:asciiTheme="minorHAnsi" w:hAnsiTheme="minorHAnsi" w:cs="Calibri"/>
          <w:color w:val="000000"/>
          <w:sz w:val="22"/>
          <w:szCs w:val="22"/>
          <w14:ligatures w14:val="none"/>
        </w:rPr>
        <w:t xml:space="preserve">with </w:t>
      </w:r>
      <w:r w:rsidRPr="00350574">
        <w:rPr>
          <w:rFonts w:asciiTheme="minorHAnsi" w:hAnsiTheme="minorHAnsi" w:cs="Calibri"/>
          <w:color w:val="000000"/>
          <w:sz w:val="22"/>
          <w:szCs w:val="22"/>
          <w14:ligatures w14:val="none"/>
        </w:rPr>
        <w:t>a well thought-out</w:t>
      </w:r>
      <w:r w:rsidR="00950AB6">
        <w:rPr>
          <w:rFonts w:asciiTheme="minorHAnsi" w:hAnsiTheme="minorHAnsi" w:cs="Calibri"/>
          <w:color w:val="000000"/>
          <w:sz w:val="22"/>
          <w:szCs w:val="22"/>
          <w14:ligatures w14:val="none"/>
        </w:rPr>
        <w:t>,</w:t>
      </w:r>
      <w:r w:rsidRPr="00350574">
        <w:rPr>
          <w:rFonts w:asciiTheme="minorHAnsi" w:hAnsiTheme="minorHAnsi" w:cs="Calibri"/>
          <w:color w:val="000000"/>
          <w:sz w:val="22"/>
          <w:szCs w:val="22"/>
          <w14:ligatures w14:val="none"/>
        </w:rPr>
        <w:t xml:space="preserve"> balanced outcome</w:t>
      </w:r>
      <w:r w:rsidR="00CA7367">
        <w:rPr>
          <w:rFonts w:asciiTheme="minorHAnsi" w:hAnsiTheme="minorHAnsi" w:cs="Calibri"/>
          <w:color w:val="000000"/>
          <w:sz w:val="22"/>
          <w:szCs w:val="22"/>
          <w14:ligatures w14:val="none"/>
        </w:rPr>
        <w:t xml:space="preserve"> and relies on the volume and detail of the research undertaken for each factor</w:t>
      </w:r>
    </w:p>
    <w:p w14:paraId="5CF44DE3" w14:textId="6E75A4C9" w:rsidR="001C070F" w:rsidRDefault="00077A53" w:rsidP="00EF7272">
      <w:pPr>
        <w:pStyle w:val="NormalWeb"/>
        <w:spacing w:before="240" w:beforeAutospacing="0" w:after="0" w:afterAutospacing="0"/>
        <w:rPr>
          <w:rFonts w:asciiTheme="minorHAnsi" w:hAnsiTheme="minorHAnsi" w:cs="Calibri"/>
          <w:color w:val="000000"/>
          <w:sz w:val="22"/>
          <w:szCs w:val="22"/>
          <w14:ligatures w14:val="none"/>
        </w:rPr>
      </w:pPr>
      <w:r>
        <w:rPr>
          <w:rFonts w:asciiTheme="minorHAnsi" w:hAnsiTheme="minorHAnsi" w:cs="Calibri"/>
          <w:color w:val="000000"/>
          <w:sz w:val="22"/>
          <w:szCs w:val="22"/>
          <w14:ligatures w14:val="none"/>
        </w:rPr>
        <w:t>The Six Hats cover Organisation and planning (blue), Creative (green)</w:t>
      </w:r>
      <w:r w:rsidR="00375404">
        <w:rPr>
          <w:rFonts w:asciiTheme="minorHAnsi" w:hAnsiTheme="minorHAnsi" w:cs="Calibri"/>
          <w:color w:val="000000"/>
          <w:sz w:val="22"/>
          <w:szCs w:val="22"/>
          <w14:ligatures w14:val="none"/>
        </w:rPr>
        <w:t>, Emotion (Red), Benefits (yellow)</w:t>
      </w:r>
      <w:r w:rsidR="00A30A57">
        <w:rPr>
          <w:rFonts w:asciiTheme="minorHAnsi" w:hAnsiTheme="minorHAnsi" w:cs="Calibri"/>
          <w:color w:val="000000"/>
          <w:sz w:val="22"/>
          <w:szCs w:val="22"/>
          <w14:ligatures w14:val="none"/>
        </w:rPr>
        <w:t xml:space="preserve">, Risk (black) and Information Gathering (white). </w:t>
      </w:r>
      <w:r w:rsidR="001C070F">
        <w:rPr>
          <w:rFonts w:asciiTheme="minorHAnsi" w:hAnsiTheme="minorHAnsi" w:cs="Calibri"/>
          <w:color w:val="000000"/>
          <w:sz w:val="22"/>
          <w:szCs w:val="22"/>
          <w14:ligatures w14:val="none"/>
        </w:rPr>
        <w:t>Assigning a thought process on each colour</w:t>
      </w:r>
      <w:r w:rsidR="009F43AF">
        <w:rPr>
          <w:rFonts w:asciiTheme="minorHAnsi" w:hAnsiTheme="minorHAnsi" w:cs="Calibri"/>
          <w:color w:val="000000"/>
          <w:sz w:val="22"/>
          <w:szCs w:val="22"/>
          <w14:ligatures w14:val="none"/>
        </w:rPr>
        <w:t xml:space="preserve"> allows the individual to focus on how each element has an effect that must be considered.</w:t>
      </w:r>
    </w:p>
    <w:p w14:paraId="4F5B7402" w14:textId="75033201" w:rsidR="009F43AF" w:rsidRDefault="009F43AF" w:rsidP="00EF7272">
      <w:pPr>
        <w:pStyle w:val="NormalWeb"/>
        <w:spacing w:before="240" w:beforeAutospacing="0" w:after="0" w:afterAutospacing="0"/>
        <w:rPr>
          <w:rFonts w:asciiTheme="minorHAnsi" w:hAnsiTheme="minorHAnsi" w:cs="Calibri"/>
          <w:color w:val="000000"/>
          <w:sz w:val="22"/>
          <w:szCs w:val="22"/>
          <w14:ligatures w14:val="none"/>
        </w:rPr>
      </w:pPr>
      <w:r>
        <w:rPr>
          <w:rFonts w:asciiTheme="minorHAnsi" w:hAnsiTheme="minorHAnsi" w:cs="Calibri"/>
          <w:color w:val="000000"/>
          <w:sz w:val="22"/>
          <w:szCs w:val="22"/>
          <w14:ligatures w14:val="none"/>
        </w:rPr>
        <w:lastRenderedPageBreak/>
        <w:t xml:space="preserve">By focusing on the </w:t>
      </w:r>
      <w:r w:rsidR="00622009">
        <w:rPr>
          <w:rFonts w:asciiTheme="minorHAnsi" w:hAnsiTheme="minorHAnsi" w:cs="Calibri"/>
          <w:color w:val="000000"/>
          <w:sz w:val="22"/>
          <w:szCs w:val="22"/>
          <w14:ligatures w14:val="none"/>
        </w:rPr>
        <w:t>blue hat, we review what is being considered and can allocate tasks and actions</w:t>
      </w:r>
      <w:r w:rsidR="00AA451E">
        <w:rPr>
          <w:rFonts w:asciiTheme="minorHAnsi" w:hAnsiTheme="minorHAnsi" w:cs="Calibri"/>
          <w:color w:val="000000"/>
          <w:sz w:val="22"/>
          <w:szCs w:val="22"/>
          <w14:ligatures w14:val="none"/>
        </w:rPr>
        <w:t xml:space="preserve">. The green hat looks at generating ideas around the subject whereas the red hat focuses on how the </w:t>
      </w:r>
      <w:r w:rsidR="001A693D">
        <w:rPr>
          <w:rFonts w:asciiTheme="minorHAnsi" w:hAnsiTheme="minorHAnsi" w:cs="Calibri"/>
          <w:color w:val="000000"/>
          <w:sz w:val="22"/>
          <w:szCs w:val="22"/>
          <w14:ligatures w14:val="none"/>
        </w:rPr>
        <w:t xml:space="preserve">discussion will affect people’s emotions and the affect any change will have on them. The yellow hat allows for a discussion </w:t>
      </w:r>
      <w:r w:rsidR="009C64AD">
        <w:rPr>
          <w:rFonts w:asciiTheme="minorHAnsi" w:hAnsiTheme="minorHAnsi" w:cs="Calibri"/>
          <w:color w:val="000000"/>
          <w:sz w:val="22"/>
          <w:szCs w:val="22"/>
          <w14:ligatures w14:val="none"/>
        </w:rPr>
        <w:t>on the positive outcomes of any decision</w:t>
      </w:r>
      <w:r w:rsidR="007E2708">
        <w:rPr>
          <w:rFonts w:asciiTheme="minorHAnsi" w:hAnsiTheme="minorHAnsi" w:cs="Calibri"/>
          <w:color w:val="000000"/>
          <w:sz w:val="22"/>
          <w:szCs w:val="22"/>
          <w14:ligatures w14:val="none"/>
        </w:rPr>
        <w:t>, with the black hat reviewing the negatives. Finally, the white hate ensures that</w:t>
      </w:r>
      <w:r w:rsidR="00400915">
        <w:rPr>
          <w:rFonts w:asciiTheme="minorHAnsi" w:hAnsiTheme="minorHAnsi" w:cs="Calibri"/>
          <w:color w:val="000000"/>
          <w:sz w:val="22"/>
          <w:szCs w:val="22"/>
          <w14:ligatures w14:val="none"/>
        </w:rPr>
        <w:t xml:space="preserve"> information is gathered, providing details and facts.</w:t>
      </w:r>
    </w:p>
    <w:p w14:paraId="65A2DB8B" w14:textId="2808F2C8" w:rsidR="00EF7272"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sidRPr="00FA7667">
        <w:rPr>
          <w:rFonts w:asciiTheme="minorHAnsi" w:hAnsiTheme="minorHAnsi" w:cs="Calibri"/>
          <w:color w:val="000000"/>
          <w:sz w:val="22"/>
          <w:szCs w:val="22"/>
          <w14:ligatures w14:val="none"/>
        </w:rPr>
        <w:t>‌</w:t>
      </w:r>
      <w:r w:rsidRPr="00350574">
        <w:rPr>
          <w:rFonts w:asciiTheme="minorHAnsi" w:hAnsiTheme="minorHAnsi" w:cs="Calibri"/>
          <w:color w:val="000000"/>
          <w:sz w:val="22"/>
          <w:szCs w:val="22"/>
          <w14:ligatures w14:val="none"/>
        </w:rPr>
        <w:t>Tannenbaum and Schmidt’s Leadership Continuum theory (Tannenbaum, R. and Schmidt, W.H</w:t>
      </w:r>
      <w:r w:rsidR="00EE5F81">
        <w:rPr>
          <w:rFonts w:asciiTheme="minorHAnsi" w:hAnsiTheme="minorHAnsi" w:cs="Calibri"/>
          <w:color w:val="000000"/>
          <w:sz w:val="22"/>
          <w:szCs w:val="22"/>
          <w14:ligatures w14:val="none"/>
        </w:rPr>
        <w:t>, 1</w:t>
      </w:r>
      <w:r w:rsidRPr="00350574">
        <w:rPr>
          <w:rFonts w:asciiTheme="minorHAnsi" w:hAnsiTheme="minorHAnsi" w:cs="Calibri"/>
          <w:color w:val="000000"/>
          <w:sz w:val="22"/>
          <w:szCs w:val="22"/>
          <w14:ligatures w14:val="none"/>
        </w:rPr>
        <w:t>973</w:t>
      </w:r>
      <w:r w:rsidR="00B95201">
        <w:rPr>
          <w:rFonts w:asciiTheme="minorHAnsi" w:hAnsiTheme="minorHAnsi" w:cs="Calibri"/>
          <w:color w:val="000000"/>
          <w:sz w:val="22"/>
          <w:szCs w:val="22"/>
          <w14:ligatures w14:val="none"/>
        </w:rPr>
        <w:t xml:space="preserve">) </w:t>
      </w:r>
      <w:r w:rsidRPr="00350574">
        <w:rPr>
          <w:rFonts w:asciiTheme="minorHAnsi" w:hAnsiTheme="minorHAnsi" w:cs="Calibri"/>
          <w:color w:val="000000"/>
          <w:sz w:val="22"/>
          <w:szCs w:val="22"/>
          <w14:ligatures w14:val="none"/>
        </w:rPr>
        <w:t>proposes the concept of a diverse range of leadership styles</w:t>
      </w:r>
      <w:r w:rsidR="009624E3">
        <w:rPr>
          <w:rFonts w:asciiTheme="minorHAnsi" w:hAnsiTheme="minorHAnsi" w:cs="Calibri"/>
          <w:color w:val="000000"/>
          <w:sz w:val="22"/>
          <w:szCs w:val="22"/>
          <w14:ligatures w14:val="none"/>
        </w:rPr>
        <w:t xml:space="preserve">, </w:t>
      </w:r>
      <w:r w:rsidRPr="00350574">
        <w:rPr>
          <w:rFonts w:asciiTheme="minorHAnsi" w:hAnsiTheme="minorHAnsi" w:cs="Calibri"/>
          <w:color w:val="000000"/>
          <w:sz w:val="22"/>
          <w:szCs w:val="22"/>
          <w14:ligatures w14:val="none"/>
        </w:rPr>
        <w:t>demonstrat</w:t>
      </w:r>
      <w:r w:rsidR="009624E3">
        <w:rPr>
          <w:rFonts w:asciiTheme="minorHAnsi" w:hAnsiTheme="minorHAnsi" w:cs="Calibri"/>
          <w:color w:val="000000"/>
          <w:sz w:val="22"/>
          <w:szCs w:val="22"/>
          <w14:ligatures w14:val="none"/>
        </w:rPr>
        <w:t>ing</w:t>
      </w:r>
      <w:r w:rsidRPr="00350574">
        <w:rPr>
          <w:rFonts w:asciiTheme="minorHAnsi" w:hAnsiTheme="minorHAnsi" w:cs="Calibri"/>
          <w:color w:val="000000"/>
          <w:sz w:val="22"/>
          <w:szCs w:val="22"/>
          <w14:ligatures w14:val="none"/>
        </w:rPr>
        <w:t xml:space="preserve"> the level of freedom a manager chooses to give a team and the level of authority used by the manager. The belief suggests that as a team gains freedom, the managers authority decreases</w:t>
      </w:r>
      <w:r w:rsidR="00155FE0">
        <w:rPr>
          <w:rFonts w:asciiTheme="minorHAnsi" w:hAnsiTheme="minorHAnsi" w:cs="Calibri"/>
          <w:color w:val="000000"/>
          <w:sz w:val="22"/>
          <w:szCs w:val="22"/>
          <w14:ligatures w14:val="none"/>
        </w:rPr>
        <w:t xml:space="preserve">, providing </w:t>
      </w:r>
      <w:r w:rsidRPr="00350574">
        <w:rPr>
          <w:rFonts w:asciiTheme="minorHAnsi" w:hAnsiTheme="minorHAnsi" w:cs="Calibri"/>
          <w:color w:val="000000"/>
          <w:sz w:val="22"/>
          <w:szCs w:val="22"/>
          <w14:ligatures w14:val="none"/>
        </w:rPr>
        <w:t>a positive way for both the team and manager to develop. The model moves towards independence of thought and increase</w:t>
      </w:r>
      <w:r w:rsidR="00155FE0">
        <w:rPr>
          <w:rFonts w:asciiTheme="minorHAnsi" w:hAnsiTheme="minorHAnsi" w:cs="Calibri"/>
          <w:color w:val="000000"/>
          <w:sz w:val="22"/>
          <w:szCs w:val="22"/>
          <w14:ligatures w14:val="none"/>
        </w:rPr>
        <w:t>s</w:t>
      </w:r>
      <w:r w:rsidRPr="00350574">
        <w:rPr>
          <w:rFonts w:asciiTheme="minorHAnsi" w:hAnsiTheme="minorHAnsi" w:cs="Calibri"/>
          <w:color w:val="000000"/>
          <w:sz w:val="22"/>
          <w:szCs w:val="22"/>
          <w14:ligatures w14:val="none"/>
        </w:rPr>
        <w:t xml:space="preserve"> group involvement</w:t>
      </w:r>
      <w:r>
        <w:rPr>
          <w:rFonts w:asciiTheme="minorHAnsi" w:hAnsiTheme="minorHAnsi" w:cs="Calibri"/>
          <w:color w:val="000000"/>
          <w:sz w:val="22"/>
          <w:szCs w:val="22"/>
          <w14:ligatures w14:val="none"/>
        </w:rPr>
        <w:t>.</w:t>
      </w:r>
    </w:p>
    <w:p w14:paraId="33CD4893" w14:textId="1A6CDFA3" w:rsidR="00EF7272" w:rsidRDefault="00155FE0" w:rsidP="00EF7272">
      <w:pPr>
        <w:pStyle w:val="NormalWeb"/>
        <w:spacing w:before="240" w:beforeAutospacing="0" w:after="0" w:afterAutospacing="0"/>
        <w:rPr>
          <w:rFonts w:asciiTheme="minorHAnsi" w:hAnsiTheme="minorHAnsi" w:cs="Calibri"/>
          <w:color w:val="000000"/>
          <w:sz w:val="22"/>
          <w:szCs w:val="22"/>
          <w14:ligatures w14:val="none"/>
        </w:rPr>
      </w:pPr>
      <w:r>
        <w:rPr>
          <w:rFonts w:asciiTheme="minorHAnsi" w:hAnsiTheme="minorHAnsi" w:cs="Calibri"/>
          <w:color w:val="000000"/>
          <w:sz w:val="22"/>
          <w:szCs w:val="22"/>
          <w14:ligatures w14:val="none"/>
        </w:rPr>
        <w:t>The</w:t>
      </w:r>
      <w:r w:rsidR="00EF7272">
        <w:rPr>
          <w:rFonts w:asciiTheme="minorHAnsi" w:hAnsiTheme="minorHAnsi" w:cs="Calibri"/>
          <w:color w:val="000000"/>
          <w:sz w:val="22"/>
          <w:szCs w:val="22"/>
          <w14:ligatures w14:val="none"/>
        </w:rPr>
        <w:t xml:space="preserve"> success of the Leadership Continuum relies primarily on the manager to relinquish control before we consider the strength and willingness of the team to take on the responsibility. This process can be time consuming to achieve especially when</w:t>
      </w:r>
      <w:r w:rsidR="000604AB">
        <w:rPr>
          <w:rFonts w:asciiTheme="minorHAnsi" w:hAnsiTheme="minorHAnsi" w:cs="Calibri"/>
          <w:color w:val="000000"/>
          <w:sz w:val="22"/>
          <w:szCs w:val="22"/>
          <w14:ligatures w14:val="none"/>
        </w:rPr>
        <w:t xml:space="preserve"> there are changes in the team structure.</w:t>
      </w:r>
      <w:r w:rsidR="00EF7272">
        <w:rPr>
          <w:rFonts w:asciiTheme="minorHAnsi" w:hAnsiTheme="minorHAnsi" w:cs="Calibri"/>
          <w:color w:val="000000"/>
          <w:sz w:val="22"/>
          <w:szCs w:val="22"/>
          <w14:ligatures w14:val="none"/>
        </w:rPr>
        <w:t xml:space="preserve"> </w:t>
      </w:r>
    </w:p>
    <w:p w14:paraId="468F2D42" w14:textId="77777777" w:rsidR="00EF7272" w:rsidRDefault="00EF7272"/>
    <w:p w14:paraId="008A7CD1" w14:textId="3BA3C07C" w:rsidR="00EF7272" w:rsidRPr="00C1722A" w:rsidRDefault="00CD4260">
      <w:pPr>
        <w:rPr>
          <w:b/>
          <w:bCs/>
        </w:rPr>
      </w:pPr>
      <w:r>
        <w:rPr>
          <w:b/>
          <w:bCs/>
        </w:rPr>
        <w:t xml:space="preserve">AC </w:t>
      </w:r>
      <w:r w:rsidR="00EF7272" w:rsidRPr="00C1722A">
        <w:rPr>
          <w:b/>
          <w:bCs/>
        </w:rPr>
        <w:t>1.5</w:t>
      </w:r>
    </w:p>
    <w:p w14:paraId="3755411F" w14:textId="7E357DD6" w:rsidR="00EF7272" w:rsidRPr="00B17672" w:rsidRDefault="003C1E6F" w:rsidP="00EF7272">
      <w:pPr>
        <w:pStyle w:val="NormalWeb"/>
        <w:spacing w:before="240" w:beforeAutospacing="0" w:after="0" w:afterAutospacing="0"/>
        <w:rPr>
          <w:rFonts w:asciiTheme="minorHAnsi" w:hAnsiTheme="minorHAnsi" w:cs="Calibri"/>
          <w:color w:val="000000"/>
          <w:sz w:val="22"/>
          <w:szCs w:val="22"/>
          <w14:ligatures w14:val="none"/>
        </w:rPr>
      </w:pPr>
      <w:r>
        <w:rPr>
          <w:rFonts w:asciiTheme="minorHAnsi" w:hAnsiTheme="minorHAnsi"/>
          <w:sz w:val="22"/>
          <w:szCs w:val="22"/>
        </w:rPr>
        <w:t>Ethical</w:t>
      </w:r>
      <w:r w:rsidR="00EF7272" w:rsidRPr="00350574">
        <w:rPr>
          <w:rFonts w:asciiTheme="minorHAnsi" w:hAnsiTheme="minorHAnsi"/>
          <w:sz w:val="22"/>
          <w:szCs w:val="22"/>
        </w:rPr>
        <w:t xml:space="preserve"> perspectives can be beneficial when making moral decisions that can affect the workplace. </w:t>
      </w:r>
      <w:r w:rsidR="00EF7272" w:rsidRPr="00B17672">
        <w:rPr>
          <w:rFonts w:asciiTheme="minorHAnsi" w:hAnsiTheme="minorHAnsi" w:cs="Calibri"/>
          <w:color w:val="000000"/>
          <w:sz w:val="22"/>
          <w:szCs w:val="22"/>
          <w14:ligatures w14:val="none"/>
        </w:rPr>
        <w:t xml:space="preserve">The CIPD Code of Conduct covers five key virtues of positive impact, civic virtue, good character, professional service and personal responsibility, </w:t>
      </w:r>
      <w:r w:rsidR="00EF7272" w:rsidRPr="00B17672">
        <w:rPr>
          <w:rFonts w:asciiTheme="minorHAnsi" w:hAnsiTheme="minorHAnsi"/>
          <w:sz w:val="22"/>
          <w:szCs w:val="22"/>
        </w:rPr>
        <w:t>(</w:t>
      </w:r>
      <w:r w:rsidR="00EF7272" w:rsidRPr="00B17672">
        <w:rPr>
          <w:rFonts w:asciiTheme="minorHAnsi" w:hAnsiTheme="minorHAnsi" w:cs="Calibri"/>
          <w:color w:val="000000"/>
          <w:sz w:val="22"/>
          <w:szCs w:val="22"/>
          <w14:ligatures w14:val="none"/>
        </w:rPr>
        <w:t>CIPD</w:t>
      </w:r>
      <w:r w:rsidR="00EE5F81">
        <w:rPr>
          <w:rFonts w:asciiTheme="minorHAnsi" w:hAnsiTheme="minorHAnsi" w:cs="Calibri"/>
          <w:color w:val="000000"/>
          <w:sz w:val="22"/>
          <w:szCs w:val="22"/>
          <w14:ligatures w14:val="none"/>
        </w:rPr>
        <w:t xml:space="preserve">, </w:t>
      </w:r>
      <w:r w:rsidR="00EF7272" w:rsidRPr="00B17672">
        <w:rPr>
          <w:rFonts w:asciiTheme="minorHAnsi" w:hAnsiTheme="minorHAnsi" w:cs="Calibri"/>
          <w:color w:val="000000"/>
          <w:sz w:val="22"/>
          <w:szCs w:val="22"/>
          <w14:ligatures w14:val="none"/>
        </w:rPr>
        <w:t>2023). </w:t>
      </w:r>
      <w:r w:rsidR="00A55E78">
        <w:rPr>
          <w:rFonts w:asciiTheme="minorHAnsi" w:hAnsiTheme="minorHAnsi" w:cs="Calibri"/>
          <w:color w:val="000000"/>
          <w:sz w:val="22"/>
          <w:szCs w:val="22"/>
          <w14:ligatures w14:val="none"/>
        </w:rPr>
        <w:t xml:space="preserve"> B</w:t>
      </w:r>
      <w:r w:rsidR="00EF7272" w:rsidRPr="00B17672">
        <w:rPr>
          <w:rFonts w:asciiTheme="minorHAnsi" w:hAnsiTheme="minorHAnsi" w:cs="Calibri"/>
          <w:color w:val="000000"/>
          <w:sz w:val="22"/>
          <w:szCs w:val="22"/>
          <w14:ligatures w14:val="none"/>
        </w:rPr>
        <w:t>y utilising these values</w:t>
      </w:r>
      <w:r w:rsidR="00A55E78">
        <w:rPr>
          <w:rFonts w:asciiTheme="minorHAnsi" w:hAnsiTheme="minorHAnsi" w:cs="Calibri"/>
          <w:color w:val="000000"/>
          <w:sz w:val="22"/>
          <w:szCs w:val="22"/>
          <w14:ligatures w14:val="none"/>
        </w:rPr>
        <w:t>,</w:t>
      </w:r>
      <w:r w:rsidR="00EF7272" w:rsidRPr="00B17672">
        <w:rPr>
          <w:rFonts w:asciiTheme="minorHAnsi" w:hAnsiTheme="minorHAnsi" w:cs="Calibri"/>
          <w:color w:val="000000"/>
          <w:sz w:val="22"/>
          <w:szCs w:val="22"/>
          <w14:ligatures w14:val="none"/>
        </w:rPr>
        <w:t xml:space="preserve"> individuals and organisations can be guided into making sound</w:t>
      </w:r>
      <w:r w:rsidR="00A55E78">
        <w:rPr>
          <w:rFonts w:asciiTheme="minorHAnsi" w:hAnsiTheme="minorHAnsi" w:cs="Calibri"/>
          <w:color w:val="000000"/>
          <w:sz w:val="22"/>
          <w:szCs w:val="22"/>
          <w14:ligatures w14:val="none"/>
        </w:rPr>
        <w:t xml:space="preserve">, </w:t>
      </w:r>
      <w:r w:rsidR="00EF7272" w:rsidRPr="00B17672">
        <w:rPr>
          <w:rFonts w:asciiTheme="minorHAnsi" w:hAnsiTheme="minorHAnsi" w:cs="Calibri"/>
          <w:color w:val="000000"/>
          <w:sz w:val="22"/>
          <w:szCs w:val="22"/>
          <w14:ligatures w14:val="none"/>
        </w:rPr>
        <w:t>moral decisions. The CIPD delves further into ethics by looking at the Eight Ethical Lenses (CIPD, 2015) which highlight Fairness, Merit, Markets, Democracy, Well-Being, Rights and Duties, Character and Handing Down.</w:t>
      </w:r>
    </w:p>
    <w:p w14:paraId="5CB01967" w14:textId="5DB02521" w:rsidR="00EF7272" w:rsidRPr="00B17672"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sidRPr="00B17672">
        <w:rPr>
          <w:rFonts w:asciiTheme="minorHAnsi" w:hAnsiTheme="minorHAnsi" w:cs="Calibri"/>
          <w:color w:val="000000"/>
          <w:sz w:val="22"/>
          <w:szCs w:val="22"/>
          <w14:ligatures w14:val="none"/>
        </w:rPr>
        <w:t>Using each virtue or lens as a stepping stone to assess decision-making process</w:t>
      </w:r>
      <w:r w:rsidR="00A55E78">
        <w:rPr>
          <w:rFonts w:asciiTheme="minorHAnsi" w:hAnsiTheme="minorHAnsi" w:cs="Calibri"/>
          <w:color w:val="000000"/>
          <w:sz w:val="22"/>
          <w:szCs w:val="22"/>
          <w14:ligatures w14:val="none"/>
        </w:rPr>
        <w:t>es</w:t>
      </w:r>
      <w:r w:rsidRPr="00B17672">
        <w:rPr>
          <w:rFonts w:asciiTheme="minorHAnsi" w:hAnsiTheme="minorHAnsi" w:cs="Calibri"/>
          <w:color w:val="000000"/>
          <w:sz w:val="22"/>
          <w:szCs w:val="22"/>
          <w14:ligatures w14:val="none"/>
        </w:rPr>
        <w:t xml:space="preserve">, it is possible to make an ethical decision which can be support by evidenced-based research. </w:t>
      </w:r>
      <w:r w:rsidR="00A55E78">
        <w:rPr>
          <w:rFonts w:asciiTheme="minorHAnsi" w:hAnsiTheme="minorHAnsi" w:cs="Calibri"/>
          <w:color w:val="000000"/>
          <w:sz w:val="22"/>
          <w:szCs w:val="22"/>
          <w14:ligatures w14:val="none"/>
        </w:rPr>
        <w:t>L</w:t>
      </w:r>
      <w:r w:rsidRPr="00B17672">
        <w:rPr>
          <w:rFonts w:asciiTheme="minorHAnsi" w:hAnsiTheme="minorHAnsi" w:cs="Calibri"/>
          <w:color w:val="000000"/>
          <w:sz w:val="22"/>
          <w:szCs w:val="22"/>
          <w14:ligatures w14:val="none"/>
        </w:rPr>
        <w:t>imitations arise when detailed research is not undertaken from an ethical standpoint and continues to engage with a bias though</w:t>
      </w:r>
      <w:r w:rsidR="00B06C02">
        <w:rPr>
          <w:rFonts w:asciiTheme="minorHAnsi" w:hAnsiTheme="minorHAnsi" w:cs="Calibri"/>
          <w:color w:val="000000"/>
          <w:sz w:val="22"/>
          <w:szCs w:val="22"/>
          <w14:ligatures w14:val="none"/>
        </w:rPr>
        <w:t>t</w:t>
      </w:r>
      <w:r w:rsidRPr="00B17672">
        <w:rPr>
          <w:rFonts w:asciiTheme="minorHAnsi" w:hAnsiTheme="minorHAnsi" w:cs="Calibri"/>
          <w:color w:val="000000"/>
          <w:sz w:val="22"/>
          <w:szCs w:val="22"/>
          <w14:ligatures w14:val="none"/>
        </w:rPr>
        <w:t xml:space="preserve"> process.</w:t>
      </w:r>
    </w:p>
    <w:p w14:paraId="6ACB67C5" w14:textId="77777777" w:rsidR="00EF7272" w:rsidRPr="00B17672"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sidRPr="00B17672">
        <w:rPr>
          <w:rFonts w:asciiTheme="minorHAnsi" w:hAnsiTheme="minorHAnsi" w:cs="Calibri"/>
          <w:color w:val="000000"/>
          <w:sz w:val="22"/>
          <w:szCs w:val="22"/>
          <w14:ligatures w14:val="none"/>
        </w:rPr>
        <w:t xml:space="preserve">The Equity Theory, first developed by J. Stacy Adams in the 1960’s, suggests that an employee’s motivation to work is driven largely by their sense of fairness and focuses on whether the distribution of resources is fair. Employees create a mental ledger of the inputs and outcomes of their job and use this ledger to compare the ratio of their inputs and outcomes of others. </w:t>
      </w:r>
    </w:p>
    <w:p w14:paraId="1858EB3A" w14:textId="77777777" w:rsidR="00EF7272" w:rsidRPr="00B17672"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sidRPr="00B17672">
        <w:rPr>
          <w:rFonts w:asciiTheme="minorHAnsi" w:hAnsiTheme="minorHAnsi" w:cs="Calibri"/>
          <w:color w:val="000000"/>
          <w:sz w:val="22"/>
          <w:szCs w:val="22"/>
          <w14:ligatures w14:val="none"/>
        </w:rPr>
        <w:t>Criticism of the theory is based on the lack of consideration of procedure and that it overestimates how important fairness is in social interactions. The theory has been labelled simple and that demography and psychological variables affect people’s perceptions of fairness and interaction.</w:t>
      </w:r>
    </w:p>
    <w:p w14:paraId="2644D0E3" w14:textId="359A1471" w:rsidR="00EF7272" w:rsidRPr="00B17672" w:rsidRDefault="009A60FB" w:rsidP="00EF7272">
      <w:pPr>
        <w:pStyle w:val="NormalWeb"/>
        <w:spacing w:before="240" w:beforeAutospacing="0" w:after="0" w:afterAutospacing="0"/>
        <w:rPr>
          <w:rFonts w:asciiTheme="minorHAnsi" w:hAnsiTheme="minorHAnsi" w:cs="Calibri"/>
          <w:color w:val="000000"/>
          <w:sz w:val="22"/>
          <w:szCs w:val="22"/>
          <w14:ligatures w14:val="none"/>
        </w:rPr>
      </w:pPr>
      <w:r>
        <w:rPr>
          <w:rFonts w:asciiTheme="minorHAnsi" w:hAnsiTheme="minorHAnsi" w:cs="Calibri"/>
          <w:color w:val="000000"/>
          <w:sz w:val="22"/>
          <w:szCs w:val="22"/>
          <w14:ligatures w14:val="none"/>
        </w:rPr>
        <w:t>According to Robert</w:t>
      </w:r>
      <w:r w:rsidR="0072335C">
        <w:rPr>
          <w:rFonts w:asciiTheme="minorHAnsi" w:hAnsiTheme="minorHAnsi" w:cs="Calibri"/>
          <w:color w:val="000000"/>
          <w:sz w:val="22"/>
          <w:szCs w:val="22"/>
          <w14:ligatures w14:val="none"/>
        </w:rPr>
        <w:t xml:space="preserve"> E Goodin (1995) </w:t>
      </w:r>
      <w:r w:rsidR="00EF7272" w:rsidRPr="00B17672">
        <w:rPr>
          <w:rFonts w:asciiTheme="minorHAnsi" w:hAnsiTheme="minorHAnsi" w:cs="Calibri"/>
          <w:color w:val="000000"/>
          <w:sz w:val="22"/>
          <w:szCs w:val="22"/>
          <w14:ligatures w14:val="none"/>
        </w:rPr>
        <w:t>The Utilitarianism Theory is an ethical theory that determines right from wrong by focusing on outcomes and is a form of consequentialism. The theory holds that the most ethical choice is the one that will provide the greatest good for the greatest number. The theory is that morality creates happiness or pleasure</w:t>
      </w:r>
      <w:r w:rsidR="00890B0B">
        <w:rPr>
          <w:rFonts w:asciiTheme="minorHAnsi" w:hAnsiTheme="minorHAnsi" w:cs="Calibri"/>
          <w:color w:val="000000"/>
          <w:sz w:val="22"/>
          <w:szCs w:val="22"/>
          <w14:ligatures w14:val="none"/>
        </w:rPr>
        <w:t xml:space="preserve">, working </w:t>
      </w:r>
      <w:r w:rsidR="00EF7272" w:rsidRPr="00B17672">
        <w:rPr>
          <w:rFonts w:asciiTheme="minorHAnsi" w:hAnsiTheme="minorHAnsi" w:cs="Calibri"/>
          <w:color w:val="000000"/>
          <w:sz w:val="22"/>
          <w:szCs w:val="22"/>
          <w14:ligatures w14:val="none"/>
        </w:rPr>
        <w:t>against actions that create unhappiness or harm.</w:t>
      </w:r>
    </w:p>
    <w:p w14:paraId="2B23B68B" w14:textId="77777777" w:rsidR="007F3923" w:rsidRDefault="007F3923" w:rsidP="00EF7272">
      <w:pPr>
        <w:pStyle w:val="NormalWeb"/>
        <w:spacing w:before="240" w:beforeAutospacing="0" w:after="0" w:afterAutospacing="0"/>
        <w:rPr>
          <w:rFonts w:asciiTheme="minorHAnsi" w:hAnsiTheme="minorHAnsi" w:cs="Calibri"/>
          <w:color w:val="000000"/>
          <w:sz w:val="22"/>
          <w:szCs w:val="22"/>
          <w14:ligatures w14:val="none"/>
        </w:rPr>
      </w:pPr>
    </w:p>
    <w:p w14:paraId="5B9FC9CA" w14:textId="69406F0B" w:rsidR="007F3923" w:rsidRDefault="0028064D" w:rsidP="00EF7272">
      <w:pPr>
        <w:pStyle w:val="NormalWeb"/>
        <w:spacing w:before="240" w:beforeAutospacing="0" w:after="0" w:afterAutospacing="0"/>
        <w:rPr>
          <w:rFonts w:asciiTheme="minorHAnsi" w:hAnsiTheme="minorHAnsi" w:cs="Calibri"/>
          <w:color w:val="000000"/>
          <w:sz w:val="22"/>
          <w:szCs w:val="22"/>
          <w14:ligatures w14:val="none"/>
        </w:rPr>
      </w:pPr>
      <w:r>
        <w:rPr>
          <w:rFonts w:asciiTheme="minorHAnsi" w:hAnsiTheme="minorHAnsi" w:cs="Calibri"/>
          <w:color w:val="000000"/>
          <w:sz w:val="22"/>
          <w:szCs w:val="22"/>
          <w14:ligatures w14:val="none"/>
        </w:rPr>
        <w:lastRenderedPageBreak/>
        <w:t>An alternative theory,</w:t>
      </w:r>
      <w:r w:rsidR="00B07752">
        <w:rPr>
          <w:rFonts w:asciiTheme="minorHAnsi" w:hAnsiTheme="minorHAnsi" w:cs="Calibri"/>
          <w:color w:val="000000"/>
          <w:sz w:val="22"/>
          <w:szCs w:val="22"/>
          <w14:ligatures w14:val="none"/>
        </w:rPr>
        <w:t xml:space="preserve"> as outlined by Piers Rawling (Rawling, P, </w:t>
      </w:r>
      <w:r w:rsidR="00D536D4">
        <w:rPr>
          <w:rFonts w:asciiTheme="minorHAnsi" w:hAnsiTheme="minorHAnsi" w:cs="Calibri"/>
          <w:color w:val="000000"/>
          <w:sz w:val="22"/>
          <w:szCs w:val="22"/>
          <w14:ligatures w14:val="none"/>
        </w:rPr>
        <w:t>2023)</w:t>
      </w:r>
      <w:r w:rsidR="001A065B">
        <w:rPr>
          <w:rFonts w:asciiTheme="minorHAnsi" w:hAnsiTheme="minorHAnsi" w:cs="Calibri"/>
          <w:color w:val="000000"/>
          <w:sz w:val="22"/>
          <w:szCs w:val="22"/>
          <w14:ligatures w14:val="none"/>
        </w:rPr>
        <w:t xml:space="preserve">, </w:t>
      </w:r>
      <w:r w:rsidR="002649EE">
        <w:rPr>
          <w:rFonts w:asciiTheme="minorHAnsi" w:hAnsiTheme="minorHAnsi" w:cs="Calibri"/>
          <w:color w:val="000000"/>
          <w:sz w:val="22"/>
          <w:szCs w:val="22"/>
          <w14:ligatures w14:val="none"/>
        </w:rPr>
        <w:t xml:space="preserve">is a </w:t>
      </w:r>
      <w:r>
        <w:rPr>
          <w:rFonts w:asciiTheme="minorHAnsi" w:hAnsiTheme="minorHAnsi" w:cs="Calibri"/>
          <w:color w:val="000000"/>
          <w:sz w:val="22"/>
          <w:szCs w:val="22"/>
          <w14:ligatures w14:val="none"/>
        </w:rPr>
        <w:t>Deontolog</w:t>
      </w:r>
      <w:r w:rsidR="004F2BA6">
        <w:rPr>
          <w:rFonts w:asciiTheme="minorHAnsi" w:hAnsiTheme="minorHAnsi" w:cs="Calibri"/>
          <w:color w:val="000000"/>
          <w:sz w:val="22"/>
          <w:szCs w:val="22"/>
          <w14:ligatures w14:val="none"/>
        </w:rPr>
        <w:t>y which discusses how</w:t>
      </w:r>
      <w:r w:rsidR="002649EE">
        <w:rPr>
          <w:rFonts w:asciiTheme="minorHAnsi" w:hAnsiTheme="minorHAnsi" w:cs="Calibri"/>
          <w:color w:val="000000"/>
          <w:sz w:val="22"/>
          <w:szCs w:val="22"/>
          <w14:ligatures w14:val="none"/>
        </w:rPr>
        <w:t xml:space="preserve"> we should act morally</w:t>
      </w:r>
      <w:r w:rsidR="00E5509D">
        <w:rPr>
          <w:rFonts w:asciiTheme="minorHAnsi" w:hAnsiTheme="minorHAnsi" w:cs="Calibri"/>
          <w:color w:val="000000"/>
          <w:sz w:val="22"/>
          <w:szCs w:val="22"/>
          <w14:ligatures w14:val="none"/>
        </w:rPr>
        <w:t xml:space="preserve"> and resembles a ‘common-sense morality. In its simplest form</w:t>
      </w:r>
      <w:r w:rsidR="00E42DFA">
        <w:rPr>
          <w:rFonts w:asciiTheme="minorHAnsi" w:hAnsiTheme="minorHAnsi" w:cs="Calibri"/>
          <w:color w:val="000000"/>
          <w:sz w:val="22"/>
          <w:szCs w:val="22"/>
          <w14:ligatures w14:val="none"/>
        </w:rPr>
        <w:t>, it discusses how we should act to maximise impersonal value by bringing about the best consequences</w:t>
      </w:r>
    </w:p>
    <w:p w14:paraId="390E4C83" w14:textId="395DF909" w:rsidR="00EF7272" w:rsidRPr="00B17672"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sidRPr="00B17672">
        <w:rPr>
          <w:rFonts w:asciiTheme="minorHAnsi" w:hAnsiTheme="minorHAnsi" w:cs="Calibri"/>
          <w:color w:val="000000"/>
          <w:sz w:val="22"/>
          <w:szCs w:val="22"/>
          <w14:ligatures w14:val="none"/>
        </w:rPr>
        <w:t>Ethical guidelines exist to provide a framework for professional behaviour. In Recruitment, there has been discussion on anonymous CVs (removing personal data</w:t>
      </w:r>
      <w:r w:rsidR="00890B0B">
        <w:rPr>
          <w:rFonts w:asciiTheme="minorHAnsi" w:hAnsiTheme="minorHAnsi" w:cs="Calibri"/>
          <w:color w:val="000000"/>
          <w:sz w:val="22"/>
          <w:szCs w:val="22"/>
          <w14:ligatures w14:val="none"/>
        </w:rPr>
        <w:t xml:space="preserve">). </w:t>
      </w:r>
      <w:r w:rsidRPr="00B17672">
        <w:rPr>
          <w:rFonts w:asciiTheme="minorHAnsi" w:hAnsiTheme="minorHAnsi" w:cs="Calibri"/>
          <w:color w:val="000000"/>
          <w:sz w:val="22"/>
          <w:szCs w:val="22"/>
          <w14:ligatures w14:val="none"/>
        </w:rPr>
        <w:t>The aim would be to erode unconscious bias at the selection stage of the process. However, unconscious bias is harder to remove at the interview stag</w:t>
      </w:r>
      <w:r w:rsidR="00890B0B">
        <w:rPr>
          <w:rFonts w:asciiTheme="minorHAnsi" w:hAnsiTheme="minorHAnsi" w:cs="Calibri"/>
          <w:color w:val="000000"/>
          <w:sz w:val="22"/>
          <w:szCs w:val="22"/>
          <w14:ligatures w14:val="none"/>
        </w:rPr>
        <w:t>e,</w:t>
      </w:r>
      <w:r w:rsidRPr="00B17672">
        <w:rPr>
          <w:rFonts w:asciiTheme="minorHAnsi" w:hAnsiTheme="minorHAnsi" w:cs="Calibri"/>
          <w:color w:val="000000"/>
          <w:sz w:val="22"/>
          <w:szCs w:val="22"/>
          <w14:ligatures w14:val="none"/>
        </w:rPr>
        <w:t xml:space="preserve"> rel</w:t>
      </w:r>
      <w:r w:rsidR="00890B0B">
        <w:rPr>
          <w:rFonts w:asciiTheme="minorHAnsi" w:hAnsiTheme="minorHAnsi" w:cs="Calibri"/>
          <w:color w:val="000000"/>
          <w:sz w:val="22"/>
          <w:szCs w:val="22"/>
          <w14:ligatures w14:val="none"/>
        </w:rPr>
        <w:t>ying</w:t>
      </w:r>
      <w:r w:rsidRPr="00B17672">
        <w:rPr>
          <w:rFonts w:asciiTheme="minorHAnsi" w:hAnsiTheme="minorHAnsi" w:cs="Calibri"/>
          <w:color w:val="000000"/>
          <w:sz w:val="22"/>
          <w:szCs w:val="22"/>
          <w14:ligatures w14:val="none"/>
        </w:rPr>
        <w:t xml:space="preserve"> on a personal ethical mindset.</w:t>
      </w:r>
    </w:p>
    <w:p w14:paraId="749A1255" w14:textId="77777777" w:rsidR="00EF7272" w:rsidRPr="00B17672" w:rsidRDefault="00EF7272" w:rsidP="00EF7272">
      <w:pPr>
        <w:pStyle w:val="NormalWeb"/>
        <w:spacing w:before="240" w:beforeAutospacing="0" w:after="0" w:afterAutospacing="0"/>
        <w:rPr>
          <w:rFonts w:asciiTheme="minorHAnsi" w:hAnsiTheme="minorHAnsi" w:cs="Calibri"/>
          <w:color w:val="000000"/>
          <w:sz w:val="22"/>
          <w:szCs w:val="22"/>
          <w14:ligatures w14:val="none"/>
        </w:rPr>
      </w:pPr>
      <w:r w:rsidRPr="00B17672">
        <w:rPr>
          <w:rFonts w:asciiTheme="minorHAnsi" w:hAnsiTheme="minorHAnsi" w:cs="Calibri"/>
          <w:color w:val="000000"/>
          <w:sz w:val="22"/>
          <w:szCs w:val="22"/>
          <w14:ligatures w14:val="none"/>
        </w:rPr>
        <w:t>Ethical theories are only as resilient as those that use and understand them. Without a personal moral code, their use and output are limited, and unconscious bias prevails.</w:t>
      </w:r>
    </w:p>
    <w:p w14:paraId="60225057" w14:textId="77777777" w:rsidR="00EF7272" w:rsidRDefault="00EF7272"/>
    <w:p w14:paraId="4E5A2A01" w14:textId="3471E00D" w:rsidR="00EF7272" w:rsidRPr="00C1722A" w:rsidRDefault="00312436">
      <w:pPr>
        <w:rPr>
          <w:b/>
          <w:bCs/>
        </w:rPr>
      </w:pPr>
      <w:r>
        <w:rPr>
          <w:b/>
          <w:bCs/>
        </w:rPr>
        <w:t xml:space="preserve">AC </w:t>
      </w:r>
      <w:r w:rsidR="00EF7272" w:rsidRPr="00C1722A">
        <w:rPr>
          <w:b/>
          <w:bCs/>
        </w:rPr>
        <w:t>3.1</w:t>
      </w:r>
    </w:p>
    <w:p w14:paraId="51D03231" w14:textId="7FE7D69B" w:rsidR="00D656AF" w:rsidRDefault="003A723E" w:rsidP="00EF7272">
      <w:pPr>
        <w:spacing w:before="240" w:after="0" w:line="240" w:lineRule="auto"/>
      </w:pPr>
      <w:r>
        <w:t xml:space="preserve">As discussed </w:t>
      </w:r>
      <w:r w:rsidR="00331F15">
        <w:t>by Taylor and Wilkinson (Taylor, S</w:t>
      </w:r>
      <w:r w:rsidR="001B279E">
        <w:t>. and Wilkinson, K</w:t>
      </w:r>
      <w:r w:rsidR="00EE5F81">
        <w:t xml:space="preserve">, </w:t>
      </w:r>
      <w:r w:rsidR="008E5FC7">
        <w:t>2002) organisations are split into different sectors</w:t>
      </w:r>
      <w:r w:rsidR="00976F53">
        <w:t xml:space="preserve"> each with their own methods of </w:t>
      </w:r>
      <w:r w:rsidR="003B6C34">
        <w:t xml:space="preserve">measuring financial and </w:t>
      </w:r>
      <w:r w:rsidR="00D656AF">
        <w:t>non-financial performance.</w:t>
      </w:r>
    </w:p>
    <w:p w14:paraId="36D12DDC" w14:textId="37AC21DD" w:rsidR="00EF7272" w:rsidRPr="00B17672" w:rsidRDefault="00EF7272" w:rsidP="00EF7272">
      <w:pPr>
        <w:spacing w:before="240" w:after="0" w:line="240" w:lineRule="auto"/>
      </w:pPr>
      <w:r w:rsidRPr="00B17672">
        <w:t>The Private sector focus</w:t>
      </w:r>
      <w:r>
        <w:t>es</w:t>
      </w:r>
      <w:r w:rsidRPr="00B17672">
        <w:t xml:space="preserve"> on results referred to as Key Performance Indicators or KPIs. These include financial results, profitability and productivity. KPI’s are quantifiable measurements used to demonstrate a company’s performance</w:t>
      </w:r>
      <w:r>
        <w:t xml:space="preserve"> and</w:t>
      </w:r>
      <w:r w:rsidRPr="00B17672">
        <w:t xml:space="preserve"> can help determine a company’s strategic, financial and operational achievements which can be benchmarked or compared to others.</w:t>
      </w:r>
    </w:p>
    <w:p w14:paraId="11D91C74" w14:textId="08CD2676" w:rsidR="00EF7272" w:rsidRPr="00B17672" w:rsidRDefault="00EF7272" w:rsidP="00EF7272">
      <w:pPr>
        <w:spacing w:before="240" w:after="0" w:line="240" w:lineRule="auto"/>
      </w:pPr>
      <w:r w:rsidRPr="00B17672">
        <w:t xml:space="preserve">Private sector businesses are mostly commercial and will draw success from </w:t>
      </w:r>
      <w:r w:rsidR="00245D6F" w:rsidRPr="00B17672">
        <w:t>profitabi</w:t>
      </w:r>
      <w:r w:rsidR="00245D6F">
        <w:t>lity</w:t>
      </w:r>
      <w:r w:rsidRPr="00B17672">
        <w:t xml:space="preserve"> during the financial year to report to their shareholders. A profitable year can result in financial bonuses for individuals or shareholders. Financial statements are prepared and reported on and allows businesses to spot trends, allow comparisons with other businesses and give a clear financial overview of the business. </w:t>
      </w:r>
      <w:r w:rsidR="00245D6F">
        <w:t>T</w:t>
      </w:r>
      <w:r w:rsidRPr="00B17672">
        <w:t>hey can also be very time consuming to prepare and can make it difficult to hide key financial information from competitors or potential investors.</w:t>
      </w:r>
    </w:p>
    <w:p w14:paraId="51254536" w14:textId="4222CDE0" w:rsidR="00EF7272" w:rsidRDefault="00EF7272" w:rsidP="00EF7272">
      <w:pPr>
        <w:spacing w:before="240" w:after="0" w:line="240" w:lineRule="auto"/>
      </w:pPr>
      <w:r w:rsidRPr="00B17672">
        <w:t>Financial results can determine whether a business is able to invest in its growth and development, whether that is new sites or equipment</w:t>
      </w:r>
      <w:r w:rsidR="001B19C5">
        <w:t>,</w:t>
      </w:r>
      <w:r w:rsidRPr="00B17672">
        <w:t xml:space="preserve"> and can have a major effect on its investment in its people either </w:t>
      </w:r>
      <w:r w:rsidR="001B19C5">
        <w:t xml:space="preserve">in </w:t>
      </w:r>
      <w:r w:rsidRPr="00B17672">
        <w:t>recruitment</w:t>
      </w:r>
      <w:r>
        <w:t>,</w:t>
      </w:r>
      <w:r w:rsidRPr="00B17672">
        <w:t xml:space="preserve"> training and development </w:t>
      </w:r>
      <w:r>
        <w:t>or salar</w:t>
      </w:r>
      <w:r w:rsidR="001B19C5">
        <w:t>ies</w:t>
      </w:r>
      <w:r w:rsidRPr="00B17672">
        <w:t>.</w:t>
      </w:r>
      <w:r>
        <w:t xml:space="preserve"> </w:t>
      </w:r>
    </w:p>
    <w:p w14:paraId="1DDD15DD" w14:textId="77777777" w:rsidR="00EF7272" w:rsidRPr="00B17672" w:rsidRDefault="00EF7272" w:rsidP="00EF7272">
      <w:pPr>
        <w:spacing w:before="240" w:after="0" w:line="240" w:lineRule="auto"/>
      </w:pPr>
      <w:r>
        <w:t>An organisation will review its total income against its outgoing to assess their financial success and will include all elements of a financial nature including property, employment costs, and production costs and offset this against the product they have created (physical or intellectual).</w:t>
      </w:r>
    </w:p>
    <w:p w14:paraId="43628D3D" w14:textId="7C5CF0EF" w:rsidR="00EF7272" w:rsidRDefault="00EF7272" w:rsidP="001B19C5">
      <w:pPr>
        <w:spacing w:after="0" w:line="240" w:lineRule="auto"/>
      </w:pPr>
      <w:r w:rsidRPr="00B17672">
        <w:t>Public sector organisations focus primarily on financial targets, greater efficiency or efficiency savings or public management reforms.</w:t>
      </w:r>
      <w:r w:rsidR="005613EC">
        <w:t xml:space="preserve"> These are often reported publicly </w:t>
      </w:r>
    </w:p>
    <w:p w14:paraId="0DB8D2B4" w14:textId="77777777" w:rsidR="001B19C5" w:rsidRDefault="001B19C5" w:rsidP="001B19C5">
      <w:pPr>
        <w:spacing w:after="0" w:line="240" w:lineRule="auto"/>
      </w:pPr>
    </w:p>
    <w:p w14:paraId="31347D6B" w14:textId="52D9DE94" w:rsidR="00EF7272" w:rsidRDefault="00CC2F6C" w:rsidP="001B19C5">
      <w:r>
        <w:t>Customer satisfaction surveys provide a</w:t>
      </w:r>
      <w:r w:rsidR="00213D59">
        <w:t xml:space="preserve"> n</w:t>
      </w:r>
      <w:r w:rsidR="00770709">
        <w:t xml:space="preserve">on-financial method of measuring the impact of </w:t>
      </w:r>
      <w:r>
        <w:t>people practises within an organisation. These may occur as a one off (such as during the recruitment and onboarding process) or annually</w:t>
      </w:r>
      <w:r w:rsidR="009B18A5">
        <w:t>, to enable an organisation to work towards enhancing its brand and culture.</w:t>
      </w:r>
    </w:p>
    <w:p w14:paraId="2D5ABE0D" w14:textId="04425C98" w:rsidR="009B18A5" w:rsidRDefault="00A75F1C">
      <w:r>
        <w:t>Employee engagement surveys may be sent out to</w:t>
      </w:r>
      <w:r w:rsidR="00AF7AF6">
        <w:t xml:space="preserve"> identify what attracted an individual to the organisation and the role the</w:t>
      </w:r>
      <w:r w:rsidR="0052074A">
        <w:t>y applied for, as well as discussing what ensures that the individual remains with the organisation. Initial attraction may be salary based</w:t>
      </w:r>
      <w:r w:rsidR="0016614F">
        <w:t xml:space="preserve">, or </w:t>
      </w:r>
      <w:r w:rsidR="00B62511">
        <w:t xml:space="preserve">skills fit, but retention may be based on commitment to values and culture or </w:t>
      </w:r>
      <w:r w:rsidR="00015DD5">
        <w:t>ongoing training and development.</w:t>
      </w:r>
    </w:p>
    <w:p w14:paraId="32C02845" w14:textId="0E7C4943" w:rsidR="00015DD5" w:rsidRDefault="00015DD5">
      <w:r>
        <w:lastRenderedPageBreak/>
        <w:t xml:space="preserve">The cost of </w:t>
      </w:r>
      <w:r w:rsidR="00241052">
        <w:t>a survey can be</w:t>
      </w:r>
      <w:r w:rsidR="00EA5730">
        <w:t xml:space="preserve"> small, but the value limitless</w:t>
      </w:r>
      <w:r w:rsidR="000A147E">
        <w:t xml:space="preserve"> when attempting to create an employee value proposition and discussing </w:t>
      </w:r>
      <w:r w:rsidR="00514E9F">
        <w:t xml:space="preserve">new and ongoing </w:t>
      </w:r>
      <w:r w:rsidR="000A147E">
        <w:t>benefits and training</w:t>
      </w:r>
      <w:r w:rsidR="00514E9F">
        <w:t>. Issues arise when engagement is low, and employees are concerned about anonymity</w:t>
      </w:r>
      <w:r w:rsidR="00C563EF">
        <w:t xml:space="preserve"> if they are asked to highlight an </w:t>
      </w:r>
      <w:proofErr w:type="gramStart"/>
      <w:r w:rsidR="00E11DF3">
        <w:t>organisations</w:t>
      </w:r>
      <w:proofErr w:type="gramEnd"/>
      <w:r w:rsidR="00E11DF3">
        <w:t xml:space="preserve"> failing</w:t>
      </w:r>
      <w:r w:rsidR="00C563EF">
        <w:t>.</w:t>
      </w:r>
    </w:p>
    <w:p w14:paraId="7610A7C7" w14:textId="77777777" w:rsidR="0052074A" w:rsidRDefault="0052074A"/>
    <w:p w14:paraId="6263E5CA" w14:textId="78ACD4E7" w:rsidR="00EF7272" w:rsidRPr="00312436" w:rsidRDefault="00312436">
      <w:pPr>
        <w:rPr>
          <w:b/>
          <w:bCs/>
        </w:rPr>
      </w:pPr>
      <w:r w:rsidRPr="00312436">
        <w:rPr>
          <w:b/>
          <w:bCs/>
        </w:rPr>
        <w:t>AC 3.2</w:t>
      </w:r>
    </w:p>
    <w:p w14:paraId="2CF385AA" w14:textId="44B4BB49" w:rsidR="007B691A" w:rsidRPr="00EF1136" w:rsidRDefault="007B691A" w:rsidP="007B691A">
      <w:pPr>
        <w:pStyle w:val="NormalWeb"/>
        <w:spacing w:before="240" w:beforeAutospacing="0" w:after="0" w:afterAutospacing="0"/>
        <w:rPr>
          <w:rFonts w:asciiTheme="minorHAnsi" w:hAnsiTheme="minorHAnsi" w:cs="Calibri"/>
          <w:color w:val="000000"/>
          <w:sz w:val="22"/>
          <w:szCs w:val="22"/>
          <w14:ligatures w14:val="none"/>
        </w:rPr>
      </w:pPr>
      <w:r w:rsidRPr="00EF1136">
        <w:rPr>
          <w:rFonts w:asciiTheme="minorHAnsi" w:hAnsiTheme="minorHAnsi"/>
          <w:sz w:val="22"/>
          <w:szCs w:val="22"/>
        </w:rPr>
        <w:t xml:space="preserve">People practices add significant value to an organisation </w:t>
      </w:r>
      <w:r>
        <w:rPr>
          <w:rFonts w:asciiTheme="minorHAnsi" w:hAnsiTheme="minorHAnsi"/>
          <w:sz w:val="22"/>
          <w:szCs w:val="22"/>
        </w:rPr>
        <w:t>through</w:t>
      </w:r>
      <w:r w:rsidRPr="00EF1136">
        <w:rPr>
          <w:rFonts w:asciiTheme="minorHAnsi" w:hAnsiTheme="minorHAnsi"/>
          <w:sz w:val="22"/>
          <w:szCs w:val="22"/>
        </w:rPr>
        <w:t xml:space="preserve"> Maintenance</w:t>
      </w:r>
      <w:r>
        <w:rPr>
          <w:rFonts w:asciiTheme="minorHAnsi" w:hAnsiTheme="minorHAnsi"/>
          <w:sz w:val="22"/>
          <w:szCs w:val="22"/>
        </w:rPr>
        <w:t>,</w:t>
      </w:r>
      <w:r w:rsidRPr="00EF1136">
        <w:rPr>
          <w:rFonts w:asciiTheme="minorHAnsi" w:hAnsiTheme="minorHAnsi"/>
          <w:sz w:val="22"/>
          <w:szCs w:val="22"/>
        </w:rPr>
        <w:t xml:space="preserve"> Crisis Preventio</w:t>
      </w:r>
      <w:r>
        <w:rPr>
          <w:rFonts w:asciiTheme="minorHAnsi" w:hAnsiTheme="minorHAnsi"/>
          <w:sz w:val="22"/>
          <w:szCs w:val="22"/>
        </w:rPr>
        <w:t xml:space="preserve">n, </w:t>
      </w:r>
      <w:r w:rsidRPr="00EF1136">
        <w:rPr>
          <w:rFonts w:asciiTheme="minorHAnsi" w:hAnsiTheme="minorHAnsi"/>
          <w:sz w:val="22"/>
          <w:szCs w:val="22"/>
        </w:rPr>
        <w:t xml:space="preserve">Continuous Improvement </w:t>
      </w:r>
      <w:r>
        <w:rPr>
          <w:rFonts w:asciiTheme="minorHAnsi" w:hAnsiTheme="minorHAnsi"/>
          <w:sz w:val="22"/>
          <w:szCs w:val="22"/>
        </w:rPr>
        <w:t xml:space="preserve">and </w:t>
      </w:r>
      <w:r w:rsidRPr="00EF1136">
        <w:rPr>
          <w:rFonts w:asciiTheme="minorHAnsi" w:hAnsiTheme="minorHAnsi"/>
          <w:sz w:val="22"/>
          <w:szCs w:val="22"/>
        </w:rPr>
        <w:t>Change Management Activities. According to Armstrong and Taylor</w:t>
      </w:r>
      <w:r w:rsidR="00654444">
        <w:rPr>
          <w:rFonts w:asciiTheme="minorHAnsi" w:hAnsiTheme="minorHAnsi"/>
          <w:sz w:val="22"/>
          <w:szCs w:val="22"/>
        </w:rPr>
        <w:t xml:space="preserve"> </w:t>
      </w:r>
      <w:r w:rsidRPr="00EF1136">
        <w:rPr>
          <w:rFonts w:asciiTheme="minorHAnsi" w:hAnsiTheme="minorHAnsi"/>
          <w:sz w:val="22"/>
          <w:szCs w:val="22"/>
        </w:rPr>
        <w:t>(</w:t>
      </w:r>
      <w:r w:rsidRPr="00EF1136">
        <w:rPr>
          <w:rFonts w:asciiTheme="minorHAnsi" w:hAnsiTheme="minorHAnsi" w:cs="Calibri"/>
          <w:color w:val="000000"/>
          <w:sz w:val="22"/>
          <w:szCs w:val="22"/>
          <w14:ligatures w14:val="none"/>
        </w:rPr>
        <w:t>Armstrong, M. and Taylor, S</w:t>
      </w:r>
      <w:r w:rsidR="00E11DF3">
        <w:rPr>
          <w:rFonts w:asciiTheme="minorHAnsi" w:hAnsiTheme="minorHAnsi" w:cs="Calibri"/>
          <w:color w:val="000000"/>
          <w:sz w:val="22"/>
          <w:szCs w:val="22"/>
          <w14:ligatures w14:val="none"/>
        </w:rPr>
        <w:t xml:space="preserve">, </w:t>
      </w:r>
      <w:r w:rsidRPr="00EF1136">
        <w:rPr>
          <w:rFonts w:asciiTheme="minorHAnsi" w:hAnsiTheme="minorHAnsi" w:cs="Calibri"/>
          <w:color w:val="000000"/>
          <w:sz w:val="22"/>
          <w:szCs w:val="22"/>
          <w14:ligatures w14:val="none"/>
        </w:rPr>
        <w:t>2023)</w:t>
      </w:r>
      <w:r w:rsidRPr="00EF1136">
        <w:rPr>
          <w:rFonts w:asciiTheme="minorHAnsi" w:hAnsiTheme="minorHAnsi"/>
          <w:sz w:val="22"/>
          <w:szCs w:val="22"/>
        </w:rPr>
        <w:t xml:space="preserve"> there are three main areas they can contribute to</w:t>
      </w:r>
      <w:r>
        <w:rPr>
          <w:rFonts w:asciiTheme="minorHAnsi" w:hAnsiTheme="minorHAnsi"/>
          <w:sz w:val="22"/>
          <w:szCs w:val="22"/>
        </w:rPr>
        <w:t xml:space="preserve"> strategic integration</w:t>
      </w:r>
      <w:r w:rsidR="00556A91">
        <w:rPr>
          <w:rFonts w:asciiTheme="minorHAnsi" w:hAnsiTheme="minorHAnsi"/>
          <w:sz w:val="22"/>
          <w:szCs w:val="22"/>
        </w:rPr>
        <w:t>:</w:t>
      </w:r>
      <w:r>
        <w:rPr>
          <w:rFonts w:asciiTheme="minorHAnsi" w:hAnsiTheme="minorHAnsi"/>
          <w:sz w:val="22"/>
          <w:szCs w:val="22"/>
        </w:rPr>
        <w:t xml:space="preserve"> a sense of direction regarding the needs of the business and its people with policies and practices and finally, business strategy to ensure the advantages and opportunities provided are optimised.</w:t>
      </w:r>
    </w:p>
    <w:p w14:paraId="155B905E" w14:textId="77777777" w:rsidR="007B691A" w:rsidRPr="00EF1136" w:rsidRDefault="007B691A" w:rsidP="007B691A">
      <w:pPr>
        <w:spacing w:before="240" w:after="0" w:line="240" w:lineRule="auto"/>
      </w:pPr>
      <w:r w:rsidRPr="00EF1136">
        <w:t>An organisation will utilise a range of processes to effectively manage its employees, but as time passes, processes can become outdated and ineffectual. People practices can be utilised to manage these changes and possibly pre-empt changes before they become a concern.</w:t>
      </w:r>
    </w:p>
    <w:p w14:paraId="26385A5B" w14:textId="55CCBB74" w:rsidR="00B530E5" w:rsidRDefault="005632A7" w:rsidP="007B691A">
      <w:pPr>
        <w:spacing w:before="240" w:after="0" w:line="240" w:lineRule="auto"/>
      </w:pPr>
      <w:r>
        <w:t xml:space="preserve">As discussed by </w:t>
      </w:r>
      <w:r w:rsidR="003205F7">
        <w:t xml:space="preserve">Bridget </w:t>
      </w:r>
      <w:r>
        <w:t>Miller (</w:t>
      </w:r>
      <w:r w:rsidRPr="005632A7">
        <w:rPr>
          <w:rFonts w:eastAsia="Times New Roman" w:cs="Calibri"/>
          <w:color w:val="000000"/>
          <w:kern w:val="0"/>
          <w:lang w:eastAsia="en-GB"/>
          <w14:ligatures w14:val="none"/>
        </w:rPr>
        <w:t>Miller, B</w:t>
      </w:r>
      <w:r>
        <w:rPr>
          <w:rFonts w:eastAsia="Times New Roman" w:cs="Calibri"/>
          <w:color w:val="000000"/>
          <w:kern w:val="0"/>
          <w:lang w:eastAsia="en-GB"/>
          <w14:ligatures w14:val="none"/>
        </w:rPr>
        <w:t xml:space="preserve">, </w:t>
      </w:r>
      <w:r w:rsidRPr="005632A7">
        <w:rPr>
          <w:rFonts w:eastAsia="Times New Roman" w:cs="Calibri"/>
          <w:color w:val="000000"/>
          <w:kern w:val="0"/>
          <w:lang w:eastAsia="en-GB"/>
          <w14:ligatures w14:val="none"/>
        </w:rPr>
        <w:t>2018). </w:t>
      </w:r>
      <w:r w:rsidR="007B691A">
        <w:t>The use of Employee Engagement Surveys</w:t>
      </w:r>
      <w:r w:rsidR="0094133F">
        <w:t xml:space="preserve"> </w:t>
      </w:r>
      <w:r w:rsidR="00B530E5">
        <w:t>is</w:t>
      </w:r>
      <w:r w:rsidR="0094133F">
        <w:t xml:space="preserve"> a </w:t>
      </w:r>
      <w:r w:rsidR="003D1F56">
        <w:t>cost-effective</w:t>
      </w:r>
      <w:r w:rsidR="0094133F">
        <w:t xml:space="preserve"> feedback portal</w:t>
      </w:r>
      <w:r w:rsidR="00B530E5">
        <w:t xml:space="preserve"> and allows the opportunity for follow-up or discussion.</w:t>
      </w:r>
    </w:p>
    <w:p w14:paraId="40310F86" w14:textId="6D4B887E" w:rsidR="007B691A" w:rsidRDefault="00B530E5" w:rsidP="007B691A">
      <w:pPr>
        <w:spacing w:before="240" w:after="0" w:line="240" w:lineRule="auto"/>
      </w:pPr>
      <w:r>
        <w:t>For example, m</w:t>
      </w:r>
      <w:r w:rsidR="007B691A">
        <w:t xml:space="preserve">onthly or quarterly engagement surveys on the recruitment process </w:t>
      </w:r>
      <w:r>
        <w:t xml:space="preserve">provide </w:t>
      </w:r>
      <w:r w:rsidR="00326F61">
        <w:t xml:space="preserve">analytical data to allow the recommendations to be made to the business on </w:t>
      </w:r>
      <w:r w:rsidR="007B691A">
        <w:t>how the process can adapt and learn. This could include reviewing the sources of applicants, recognising the path with which they applied, and potentially reallocating budgets to those sources with the strongest applicants.</w:t>
      </w:r>
      <w:r w:rsidR="00326F61">
        <w:t xml:space="preserve"> They may also provide vital information</w:t>
      </w:r>
      <w:r w:rsidR="003D1F56">
        <w:t xml:space="preserve"> as to the overall satisfaction of the new employee.</w:t>
      </w:r>
    </w:p>
    <w:p w14:paraId="352D63EB" w14:textId="77777777" w:rsidR="007B691A" w:rsidRDefault="007B691A" w:rsidP="007B691A">
      <w:pPr>
        <w:spacing w:before="240" w:line="240" w:lineRule="auto"/>
      </w:pPr>
      <w:r>
        <w:t>Through successful management of policies and procedures, the People Practice function can ensure that the organisation remains legal. Utilising HRM skills to follow amongst other factors, employment law updates ensures that the organisation and its employees are protected. Through Employee Relations, a positive working relationship can be established between the organisation and its people. An important part of this relationship is culture and how the organisation seeks to be resolution focused.</w:t>
      </w:r>
    </w:p>
    <w:p w14:paraId="295EF8DA" w14:textId="4C571638" w:rsidR="007B691A" w:rsidRPr="00202CFA" w:rsidRDefault="007B691A" w:rsidP="007B691A">
      <w:pPr>
        <w:spacing w:before="240" w:line="240" w:lineRule="auto"/>
      </w:pPr>
      <w:r>
        <w:t xml:space="preserve">The success or failure of Employee Relations can be seen in the annual turnover and retention of employees and the number of complaints an organisation receives, either directly from employees or via whistle-blowing schemes. By working with employees on these matters, issues can hopefully be resolved in a timely manner and improvements can be made to both the culture of the organisation and </w:t>
      </w:r>
      <w:r w:rsidR="00654444">
        <w:t>its</w:t>
      </w:r>
      <w:r>
        <w:t xml:space="preserve"> </w:t>
      </w:r>
      <w:r w:rsidR="00654444">
        <w:t>policies</w:t>
      </w:r>
      <w:r>
        <w:t xml:space="preserve"> and procedures.</w:t>
      </w:r>
    </w:p>
    <w:p w14:paraId="10E13B1B" w14:textId="77777777" w:rsidR="00EF7272" w:rsidRDefault="00EF7272"/>
    <w:p w14:paraId="43ABAA30" w14:textId="77777777" w:rsidR="00293236" w:rsidRDefault="00293236"/>
    <w:p w14:paraId="1C609018" w14:textId="77777777" w:rsidR="00293236" w:rsidRDefault="00293236"/>
    <w:p w14:paraId="5CF04144" w14:textId="77777777" w:rsidR="00293236" w:rsidRDefault="00293236"/>
    <w:p w14:paraId="387C3010" w14:textId="77777777" w:rsidR="00293236" w:rsidRDefault="00293236"/>
    <w:p w14:paraId="36714410" w14:textId="33638F1B" w:rsidR="00EF7272" w:rsidRDefault="00EF7272"/>
    <w:p w14:paraId="6B9CD5A3" w14:textId="49FAC713" w:rsidR="00EF7272" w:rsidRPr="00C1722A" w:rsidRDefault="00EF7272">
      <w:pPr>
        <w:rPr>
          <w:b/>
          <w:bCs/>
        </w:rPr>
      </w:pPr>
      <w:r w:rsidRPr="00C1722A">
        <w:rPr>
          <w:b/>
          <w:bCs/>
        </w:rPr>
        <w:lastRenderedPageBreak/>
        <w:t>Section 2</w:t>
      </w:r>
    </w:p>
    <w:p w14:paraId="0BD7E3C1" w14:textId="209B33E2" w:rsidR="000358F1" w:rsidRPr="00C1722A" w:rsidRDefault="00C1722A">
      <w:pPr>
        <w:rPr>
          <w:b/>
          <w:bCs/>
        </w:rPr>
      </w:pPr>
      <w:r w:rsidRPr="00C1722A">
        <w:rPr>
          <w:b/>
          <w:bCs/>
        </w:rPr>
        <w:t>TABLE 2</w:t>
      </w:r>
    </w:p>
    <w:p w14:paraId="07DBD287" w14:textId="6A4416A7" w:rsidR="000358F1" w:rsidRPr="00C1722A" w:rsidRDefault="000358F1" w:rsidP="00C1722A">
      <w:pPr>
        <w:pStyle w:val="ListParagraph"/>
        <w:numPr>
          <w:ilvl w:val="0"/>
          <w:numId w:val="3"/>
        </w:numPr>
        <w:spacing w:before="240" w:after="0" w:line="240" w:lineRule="auto"/>
        <w:ind w:left="567" w:hanging="567"/>
        <w:rPr>
          <w:b/>
          <w:bCs/>
        </w:rPr>
      </w:pPr>
      <w:r w:rsidRPr="00C1722A">
        <w:rPr>
          <w:b/>
          <w:bCs/>
        </w:rPr>
        <w:t>Percentage of each gender type</w:t>
      </w:r>
    </w:p>
    <w:p w14:paraId="172836F3" w14:textId="77777777" w:rsidR="000358F1" w:rsidRPr="00B17672" w:rsidRDefault="000358F1" w:rsidP="000358F1">
      <w:pPr>
        <w:spacing w:before="240" w:after="0" w:line="240" w:lineRule="auto"/>
        <w:jc w:val="center"/>
      </w:pPr>
      <w:r w:rsidRPr="00B17672">
        <w:rPr>
          <w:noProof/>
        </w:rPr>
        <w:drawing>
          <wp:inline distT="0" distB="0" distL="0" distR="0" wp14:anchorId="427AA9F1" wp14:editId="76D64B9A">
            <wp:extent cx="4029075" cy="2352675"/>
            <wp:effectExtent l="0" t="0" r="0" b="0"/>
            <wp:docPr id="1935973612" name="Chart 1">
              <a:extLst xmlns:a="http://schemas.openxmlformats.org/drawingml/2006/main">
                <a:ext uri="{FF2B5EF4-FFF2-40B4-BE49-F238E27FC236}">
                  <a16:creationId xmlns:a16="http://schemas.microsoft.com/office/drawing/2014/main" id="{7C920EC5-04A5-7FBD-BEF7-B7F284DA4C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CD0BAB3" w14:textId="77777777" w:rsidR="000358F1" w:rsidRDefault="000358F1" w:rsidP="000358F1">
      <w:pPr>
        <w:spacing w:before="240" w:after="0" w:line="240" w:lineRule="auto"/>
      </w:pPr>
    </w:p>
    <w:p w14:paraId="6E976E98" w14:textId="531867FD" w:rsidR="000358F1" w:rsidRPr="00B17672" w:rsidRDefault="000358F1" w:rsidP="000358F1">
      <w:pPr>
        <w:spacing w:before="240" w:after="0" w:line="240" w:lineRule="auto"/>
      </w:pPr>
      <w:r w:rsidRPr="00B17672">
        <w:t>The organisation has of 260 employees</w:t>
      </w:r>
      <w:r w:rsidR="009E68E4">
        <w:t>, consisting</w:t>
      </w:r>
      <w:r w:rsidRPr="00B17672">
        <w:t xml:space="preserve"> of 140 male employees, 118 Female employees and 2 non-binary employees. The data</w:t>
      </w:r>
      <w:r w:rsidR="009E68E4">
        <w:t xml:space="preserve"> only</w:t>
      </w:r>
      <w:r w:rsidRPr="00B17672">
        <w:t xml:space="preserve"> recognises three gender</w:t>
      </w:r>
      <w:r w:rsidR="009E68E4">
        <w:t>s, i</w:t>
      </w:r>
      <w:r w:rsidRPr="00B17672">
        <w:t xml:space="preserve">t should be argued that gender includes multiple descriptors including transgender. These results </w:t>
      </w:r>
      <w:r w:rsidR="009E68E4">
        <w:t>could</w:t>
      </w:r>
      <w:r w:rsidRPr="00B17672">
        <w:t xml:space="preserve"> </w:t>
      </w:r>
      <w:r w:rsidR="004E40EB">
        <w:t xml:space="preserve">be </w:t>
      </w:r>
      <w:r w:rsidRPr="00B17672">
        <w:t>flawed</w:t>
      </w:r>
      <w:r w:rsidR="009E68E4">
        <w:t>, providing insufficient options, relying</w:t>
      </w:r>
      <w:r w:rsidRPr="00B17672">
        <w:t xml:space="preserve"> on employees to select either their assigned gender at birth, or non-binary. The results may also be affected by an individual’s desire to not ‘out’ themselves as non-binary.</w:t>
      </w:r>
    </w:p>
    <w:p w14:paraId="33FCE4A1" w14:textId="77777777" w:rsidR="000358F1" w:rsidRDefault="000358F1"/>
    <w:p w14:paraId="115763AE" w14:textId="7A1F104C" w:rsidR="00F3642A" w:rsidRPr="00C1722A" w:rsidRDefault="00F3642A" w:rsidP="00C1722A">
      <w:pPr>
        <w:pStyle w:val="ListParagraph"/>
        <w:numPr>
          <w:ilvl w:val="0"/>
          <w:numId w:val="3"/>
        </w:numPr>
        <w:spacing w:before="240" w:after="0" w:line="240" w:lineRule="auto"/>
        <w:ind w:left="567" w:hanging="567"/>
        <w:rPr>
          <w:b/>
          <w:bCs/>
        </w:rPr>
      </w:pPr>
      <w:r w:rsidRPr="00C1722A">
        <w:rPr>
          <w:b/>
          <w:bCs/>
        </w:rPr>
        <w:t>Ethnicity as a percentage per team</w:t>
      </w:r>
    </w:p>
    <w:p w14:paraId="697A3BDC" w14:textId="77777777" w:rsidR="00F3642A" w:rsidRDefault="00F3642A"/>
    <w:p w14:paraId="30328511" w14:textId="1DA43EC5" w:rsidR="0040049B" w:rsidRDefault="001675C7">
      <w:r>
        <w:rPr>
          <w:noProof/>
        </w:rPr>
        <w:drawing>
          <wp:inline distT="0" distB="0" distL="0" distR="0" wp14:anchorId="4108D6B8" wp14:editId="77DBA1DF">
            <wp:extent cx="5924550" cy="2743200"/>
            <wp:effectExtent l="0" t="0" r="0" b="0"/>
            <wp:docPr id="101634337" name="Chart 1">
              <a:extLst xmlns:a="http://schemas.openxmlformats.org/drawingml/2006/main">
                <a:ext uri="{FF2B5EF4-FFF2-40B4-BE49-F238E27FC236}">
                  <a16:creationId xmlns:a16="http://schemas.microsoft.com/office/drawing/2014/main" id="{DF5CE295-4BA5-D44B-AB77-9C1B48D133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8CDCF52" w14:textId="77777777" w:rsidR="00B902D5" w:rsidRDefault="0040049B" w:rsidP="0040049B">
      <w:pPr>
        <w:spacing w:before="240" w:after="0" w:line="240" w:lineRule="auto"/>
      </w:pPr>
      <w:r w:rsidRPr="00B17672">
        <w:t xml:space="preserve">The organisation has a range of ethnicity. Of the 260 Employees, 23 (8.8%) class themselves as non-white British. With the additional white Irish and White other, this number drops to 16 </w:t>
      </w:r>
      <w:r w:rsidRPr="00B17672">
        <w:lastRenderedPageBreak/>
        <w:t xml:space="preserve">(6.15%).  There are four teams (Facilities, Lettings, Marketing and Regeneration) which are entirely made up of employees who classify themselves as White (British/Irish/Other). These four teams account for 21 employees. </w:t>
      </w:r>
    </w:p>
    <w:p w14:paraId="78D754BF" w14:textId="54631948" w:rsidR="0040049B" w:rsidRPr="00B17672" w:rsidRDefault="0040049B" w:rsidP="0040049B">
      <w:pPr>
        <w:spacing w:before="240" w:after="0" w:line="240" w:lineRule="auto"/>
      </w:pPr>
      <w:r w:rsidRPr="00B17672">
        <w:t>The Community Engagement and Partnerships team has the highest percentage of diversity (it could be argued that this is specific to the role within the team to create a public facing level of diversity).</w:t>
      </w:r>
    </w:p>
    <w:p w14:paraId="77DB2695" w14:textId="05E1149C" w:rsidR="0040049B" w:rsidRPr="00B17672" w:rsidRDefault="00071CBB" w:rsidP="0040049B">
      <w:pPr>
        <w:spacing w:before="240" w:after="0" w:line="240" w:lineRule="auto"/>
      </w:pPr>
      <w:r>
        <w:t>No</w:t>
      </w:r>
      <w:r w:rsidR="0040049B" w:rsidRPr="00B17672">
        <w:t xml:space="preserve"> single team stand</w:t>
      </w:r>
      <w:r>
        <w:t>s</w:t>
      </w:r>
      <w:r w:rsidR="0040049B" w:rsidRPr="00B17672">
        <w:t xml:space="preserve"> out as ethnically diverse. The largest ethnic group (discounting White British, Irish and Other) is Indian, accounting for only 4 employees over 4 teams.</w:t>
      </w:r>
    </w:p>
    <w:p w14:paraId="37AFF569" w14:textId="68251D6F" w:rsidR="00506A51" w:rsidRDefault="00506A51" w:rsidP="0040049B">
      <w:pPr>
        <w:spacing w:before="240" w:after="0" w:line="240" w:lineRule="auto"/>
      </w:pPr>
      <w:r>
        <w:t>Diversity within an organisation is influenced by the demography (if not remote</w:t>
      </w:r>
      <w:r w:rsidR="000444B4">
        <w:t>) and the skills applicable to the role</w:t>
      </w:r>
      <w:r w:rsidR="00732777">
        <w:t>,</w:t>
      </w:r>
      <w:r w:rsidR="000444B4">
        <w:t xml:space="preserve"> within the local</w:t>
      </w:r>
      <w:r w:rsidR="00732777">
        <w:t xml:space="preserve"> community</w:t>
      </w:r>
      <w:r w:rsidR="00986EC9">
        <w:t>.</w:t>
      </w:r>
    </w:p>
    <w:p w14:paraId="32E831F3" w14:textId="2DDED04D" w:rsidR="00F73800" w:rsidRDefault="00F73800" w:rsidP="0040049B">
      <w:pPr>
        <w:spacing w:before="240" w:after="0" w:line="240" w:lineRule="auto"/>
      </w:pPr>
      <w:r>
        <w:t>To support ethnic diversity</w:t>
      </w:r>
      <w:r w:rsidR="00B600CF">
        <w:t xml:space="preserve">, recruitment could be aimed towards specific jobs boards </w:t>
      </w:r>
      <w:r w:rsidR="00C87309">
        <w:t>including</w:t>
      </w:r>
      <w:r w:rsidR="00B600CF">
        <w:t xml:space="preserve"> </w:t>
      </w:r>
      <w:hyperlink r:id="rId9" w:history="1">
        <w:r w:rsidR="00C87309" w:rsidRPr="00CA4E79">
          <w:rPr>
            <w:rStyle w:val="Hyperlink"/>
          </w:rPr>
          <w:t>www.BMEjobs.co.uk</w:t>
        </w:r>
      </w:hyperlink>
      <w:r w:rsidR="00C87309">
        <w:t xml:space="preserve"> </w:t>
      </w:r>
      <w:r w:rsidR="00B600CF">
        <w:t xml:space="preserve">and </w:t>
      </w:r>
      <w:hyperlink r:id="rId10" w:history="1">
        <w:r w:rsidR="001C7E92" w:rsidRPr="00CA4E79">
          <w:rPr>
            <w:rStyle w:val="Hyperlink"/>
          </w:rPr>
          <w:t>www.ethcnicjobsite.co.uk</w:t>
        </w:r>
      </w:hyperlink>
      <w:r w:rsidR="001C7E92">
        <w:t>.</w:t>
      </w:r>
      <w:r w:rsidR="00E705DD">
        <w:t xml:space="preserve"> T</w:t>
      </w:r>
      <w:r w:rsidR="00212227">
        <w:t>his could have additional advertising costs, with budget pulled from regular sources. However</w:t>
      </w:r>
      <w:r w:rsidR="001E31F0">
        <w:t>, focusing recruitment here could delay recruitment as a whole and cost the organisation as a result</w:t>
      </w:r>
      <w:r w:rsidR="00965E81">
        <w:t xml:space="preserve"> if there are no suitable applicants but would support an attempt at additional diversity</w:t>
      </w:r>
      <w:r w:rsidR="001E31F0">
        <w:t>.</w:t>
      </w:r>
      <w:r w:rsidR="003356ED">
        <w:t xml:space="preserve"> </w:t>
      </w:r>
    </w:p>
    <w:p w14:paraId="23C99315" w14:textId="76459BE6" w:rsidR="00B91AB1" w:rsidRPr="00B17672" w:rsidRDefault="00B91AB1" w:rsidP="0040049B">
      <w:pPr>
        <w:spacing w:before="240" w:after="0" w:line="240" w:lineRule="auto"/>
      </w:pPr>
      <w:r>
        <w:t>Overall, the organisation lack diversity</w:t>
      </w:r>
      <w:r w:rsidR="00B148DA">
        <w:t xml:space="preserve"> and fails to benefit from a diverse culture.</w:t>
      </w:r>
    </w:p>
    <w:p w14:paraId="0ED0FA18" w14:textId="5213F1E9" w:rsidR="006D44A0" w:rsidRPr="00C1722A" w:rsidRDefault="006D44A0" w:rsidP="00C1722A">
      <w:pPr>
        <w:spacing w:before="240" w:after="0" w:line="240" w:lineRule="auto"/>
        <w:ind w:left="567" w:hanging="567"/>
        <w:rPr>
          <w:b/>
          <w:bCs/>
        </w:rPr>
      </w:pPr>
      <w:r w:rsidRPr="00C1722A">
        <w:rPr>
          <w:b/>
          <w:bCs/>
        </w:rPr>
        <w:t xml:space="preserve">C) </w:t>
      </w:r>
      <w:r w:rsidR="00C1722A">
        <w:rPr>
          <w:b/>
          <w:bCs/>
        </w:rPr>
        <w:tab/>
      </w:r>
      <w:r w:rsidRPr="00C1722A">
        <w:rPr>
          <w:b/>
          <w:bCs/>
        </w:rPr>
        <w:t>Disability percentage as an organisational whole and by teams</w:t>
      </w:r>
    </w:p>
    <w:p w14:paraId="7FCDA21C" w14:textId="77777777" w:rsidR="006D44A0" w:rsidRDefault="006D44A0"/>
    <w:p w14:paraId="085A7F52" w14:textId="12D33194" w:rsidR="00BC614F" w:rsidRDefault="00BC614F">
      <w:r w:rsidRPr="00B17672">
        <w:rPr>
          <w:noProof/>
        </w:rPr>
        <w:drawing>
          <wp:inline distT="0" distB="0" distL="0" distR="0" wp14:anchorId="4B21A480" wp14:editId="6E10B138">
            <wp:extent cx="5731510" cy="2493467"/>
            <wp:effectExtent l="0" t="0" r="2540" b="2540"/>
            <wp:docPr id="620756130" name="Chart 1">
              <a:extLst xmlns:a="http://schemas.openxmlformats.org/drawingml/2006/main">
                <a:ext uri="{FF2B5EF4-FFF2-40B4-BE49-F238E27FC236}">
                  <a16:creationId xmlns:a16="http://schemas.microsoft.com/office/drawing/2014/main" id="{B6EC5CD8-4065-2D64-68D7-A5D70F0FC0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79EE6A3" w14:textId="6FC0AB9C" w:rsidR="00B70DFD" w:rsidRPr="00B17672" w:rsidRDefault="00B70DFD" w:rsidP="00B70DFD">
      <w:pPr>
        <w:spacing w:before="240" w:after="0" w:line="240" w:lineRule="auto"/>
      </w:pPr>
      <w:r w:rsidRPr="00B17672">
        <w:t xml:space="preserve">The organisation has 21 employees who consider themselves disabled. Of these 21 employees, </w:t>
      </w:r>
      <w:r w:rsidR="0059023C">
        <w:t xml:space="preserve">the greatest </w:t>
      </w:r>
      <w:r w:rsidR="00053781">
        <w:t>number</w:t>
      </w:r>
      <w:r w:rsidRPr="00B17672">
        <w:t xml:space="preserve"> work within the Property team (99 employees) with 5 employees, providing only 5% of the team. </w:t>
      </w:r>
      <w:r w:rsidR="009932FC">
        <w:t xml:space="preserve">Disabled employees are absent from seven </w:t>
      </w:r>
      <w:r w:rsidRPr="00B17672">
        <w:t>emphasising a lack of diversity within these sectors.</w:t>
      </w:r>
    </w:p>
    <w:p w14:paraId="5602FAAB" w14:textId="3E674D48" w:rsidR="00B70DFD" w:rsidRPr="00B17672" w:rsidRDefault="00B70DFD" w:rsidP="00B70DFD">
      <w:pPr>
        <w:spacing w:before="240" w:after="0" w:line="240" w:lineRule="auto"/>
      </w:pPr>
      <w:r w:rsidRPr="00B17672">
        <w:t>The greatest percentage of disabled employees reside within the IT team with 22.22%.</w:t>
      </w:r>
      <w:r w:rsidR="00D07AE0">
        <w:t xml:space="preserve"> The</w:t>
      </w:r>
      <w:r w:rsidRPr="00B17672">
        <w:t xml:space="preserve"> IT team consists of 9 employees, two of which are disabled. </w:t>
      </w:r>
    </w:p>
    <w:p w14:paraId="4B574AD6" w14:textId="670F1C76" w:rsidR="00B70DFD" w:rsidRPr="00E9763A" w:rsidRDefault="00D07AE0" w:rsidP="00B70DFD">
      <w:pPr>
        <w:pStyle w:val="NormalWeb"/>
        <w:spacing w:before="240" w:beforeAutospacing="0" w:after="0" w:afterAutospacing="0"/>
        <w:rPr>
          <w:rFonts w:asciiTheme="minorHAnsi" w:hAnsiTheme="minorHAnsi"/>
          <w:color w:val="000000"/>
          <w:sz w:val="22"/>
          <w:szCs w:val="22"/>
        </w:rPr>
      </w:pPr>
      <w:r>
        <w:rPr>
          <w:rFonts w:asciiTheme="minorHAnsi" w:hAnsiTheme="minorHAnsi"/>
          <w:sz w:val="22"/>
          <w:szCs w:val="22"/>
        </w:rPr>
        <w:t>W</w:t>
      </w:r>
      <w:r w:rsidR="00B70DFD" w:rsidRPr="00B17672">
        <w:rPr>
          <w:rFonts w:asciiTheme="minorHAnsi" w:hAnsiTheme="minorHAnsi"/>
          <w:sz w:val="22"/>
          <w:szCs w:val="22"/>
        </w:rPr>
        <w:t xml:space="preserve">ith diversity factors, we must consider the talent pool from which the organisation recruits from and acknowledge that employees may prefer to keep their disability private or may not be aware that their disability is classed as such, examples of this according to </w:t>
      </w:r>
      <w:r w:rsidR="00B70DFD" w:rsidRPr="00B17672">
        <w:rPr>
          <w:rFonts w:asciiTheme="minorHAnsi" w:hAnsiTheme="minorHAnsi"/>
          <w:color w:val="000000"/>
          <w:sz w:val="22"/>
          <w:szCs w:val="22"/>
        </w:rPr>
        <w:t>ACAS (n.d.). </w:t>
      </w:r>
      <w:r w:rsidR="00B70DFD" w:rsidRPr="00B17672">
        <w:rPr>
          <w:rFonts w:asciiTheme="minorHAnsi" w:hAnsiTheme="minorHAnsi"/>
          <w:i/>
          <w:iCs/>
          <w:color w:val="000000"/>
          <w:sz w:val="22"/>
          <w:szCs w:val="22"/>
        </w:rPr>
        <w:t>Disability and the Equality Act 2010: What disability means by law</w:t>
      </w:r>
      <w:r w:rsidR="00B70DFD" w:rsidRPr="00B17672">
        <w:rPr>
          <w:rFonts w:asciiTheme="minorHAnsi" w:hAnsiTheme="minorHAnsi"/>
          <w:color w:val="000000"/>
          <w:sz w:val="22"/>
          <w:szCs w:val="22"/>
        </w:rPr>
        <w:t xml:space="preserve">. [online] </w:t>
      </w:r>
      <w:proofErr w:type="spellStart"/>
      <w:r w:rsidR="00B70DFD" w:rsidRPr="00B17672">
        <w:rPr>
          <w:rFonts w:asciiTheme="minorHAnsi" w:hAnsiTheme="minorHAnsi"/>
          <w:color w:val="000000"/>
          <w:sz w:val="22"/>
          <w:szCs w:val="22"/>
        </w:rPr>
        <w:t>Acas</w:t>
      </w:r>
      <w:proofErr w:type="spellEnd"/>
      <w:r w:rsidR="00B70DFD" w:rsidRPr="00B17672">
        <w:rPr>
          <w:rFonts w:asciiTheme="minorHAnsi" w:hAnsiTheme="minorHAnsi"/>
          <w:color w:val="000000"/>
          <w:sz w:val="22"/>
          <w:szCs w:val="22"/>
        </w:rPr>
        <w:t xml:space="preserve">. </w:t>
      </w:r>
      <w:r w:rsidR="00B70DFD" w:rsidRPr="00B17672">
        <w:rPr>
          <w:rFonts w:asciiTheme="minorHAnsi" w:hAnsiTheme="minorHAnsi"/>
          <w:color w:val="000000"/>
          <w:sz w:val="22"/>
          <w:szCs w:val="22"/>
        </w:rPr>
        <w:lastRenderedPageBreak/>
        <w:t xml:space="preserve">Available at: </w:t>
      </w:r>
      <w:hyperlink r:id="rId12" w:history="1">
        <w:r w:rsidR="00B70DFD" w:rsidRPr="00B17672">
          <w:rPr>
            <w:rStyle w:val="Hyperlink"/>
            <w:rFonts w:asciiTheme="minorHAnsi" w:hAnsiTheme="minorHAnsi"/>
            <w:sz w:val="22"/>
            <w:szCs w:val="22"/>
          </w:rPr>
          <w:t>https://www.acas.org.uk/what-disability-means-by-law</w:t>
        </w:r>
      </w:hyperlink>
      <w:r w:rsidR="00B70DFD" w:rsidRPr="00B17672">
        <w:rPr>
          <w:rFonts w:asciiTheme="minorHAnsi" w:hAnsiTheme="minorHAnsi"/>
          <w:color w:val="000000"/>
          <w:sz w:val="22"/>
          <w:szCs w:val="22"/>
        </w:rPr>
        <w:t xml:space="preserve">. - </w:t>
      </w:r>
      <w:r w:rsidR="00B70DFD" w:rsidRPr="00B17672">
        <w:rPr>
          <w:rFonts w:asciiTheme="minorHAnsi" w:hAnsiTheme="minorHAnsi"/>
          <w:sz w:val="22"/>
          <w:szCs w:val="22"/>
        </w:rPr>
        <w:t>can include disfigurement, long covid and menopause as well as neurodiversity including ADHD, autism, dyslexia and dyspraxia.</w:t>
      </w:r>
    </w:p>
    <w:p w14:paraId="0A387CDE" w14:textId="77777777" w:rsidR="00293236" w:rsidRDefault="00293236"/>
    <w:p w14:paraId="1C781DEB" w14:textId="3F731324" w:rsidR="006E0153" w:rsidRPr="00C1722A" w:rsidRDefault="006E0153" w:rsidP="006E0153">
      <w:pPr>
        <w:spacing w:before="240" w:after="0" w:line="240" w:lineRule="auto"/>
        <w:rPr>
          <w:b/>
          <w:bCs/>
        </w:rPr>
      </w:pPr>
      <w:r w:rsidRPr="00C1722A">
        <w:rPr>
          <w:b/>
          <w:bCs/>
        </w:rPr>
        <w:t>D)</w:t>
      </w:r>
      <w:r w:rsidR="00C1722A">
        <w:rPr>
          <w:b/>
          <w:bCs/>
        </w:rPr>
        <w:tab/>
        <w:t>S</w:t>
      </w:r>
      <w:r w:rsidRPr="00C1722A">
        <w:rPr>
          <w:b/>
          <w:bCs/>
        </w:rPr>
        <w:t>alary difference across genders</w:t>
      </w:r>
    </w:p>
    <w:p w14:paraId="6E6B1100" w14:textId="77777777" w:rsidR="006E0153" w:rsidRDefault="006E0153"/>
    <w:p w14:paraId="60C8E92A" w14:textId="77777777" w:rsidR="009E04DA" w:rsidRPr="00B17672" w:rsidRDefault="009E04DA" w:rsidP="009E04DA">
      <w:pPr>
        <w:spacing w:before="240" w:after="0" w:line="240" w:lineRule="auto"/>
        <w:jc w:val="center"/>
      </w:pPr>
      <w:r w:rsidRPr="00B17672">
        <w:rPr>
          <w:noProof/>
        </w:rPr>
        <w:drawing>
          <wp:inline distT="0" distB="0" distL="0" distR="0" wp14:anchorId="31BD86BE" wp14:editId="4EE7074E">
            <wp:extent cx="4333875" cy="2381250"/>
            <wp:effectExtent l="0" t="0" r="0" b="0"/>
            <wp:docPr id="1908142850" name="Chart 1">
              <a:extLst xmlns:a="http://schemas.openxmlformats.org/drawingml/2006/main">
                <a:ext uri="{FF2B5EF4-FFF2-40B4-BE49-F238E27FC236}">
                  <a16:creationId xmlns:a16="http://schemas.microsoft.com/office/drawing/2014/main" id="{B201F27A-C5A6-6E07-E7F2-0DED0A14A4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6A5E91F" w14:textId="274F04C4" w:rsidR="009E04DA" w:rsidRPr="00B17672" w:rsidRDefault="009E04DA" w:rsidP="009E04DA">
      <w:pPr>
        <w:spacing w:before="240" w:after="0" w:line="240" w:lineRule="auto"/>
      </w:pPr>
      <w:r w:rsidRPr="00B17672">
        <w:t xml:space="preserve">The average salary across female and male employees </w:t>
      </w:r>
      <w:r w:rsidR="00F47578">
        <w:t>is</w:t>
      </w:r>
      <w:r w:rsidRPr="00B17672">
        <w:t xml:space="preserve"> balanced</w:t>
      </w:r>
      <w:r w:rsidR="00E157BB">
        <w:t xml:space="preserve"> (a difference of only £88.12)</w:t>
      </w:r>
      <w:r w:rsidRPr="00B17672">
        <w:t xml:space="preserve">. </w:t>
      </w:r>
      <w:r w:rsidR="00F47578">
        <w:t>However, an</w:t>
      </w:r>
      <w:r w:rsidRPr="00B17672">
        <w:t xml:space="preserve"> average pay disparity </w:t>
      </w:r>
      <w:r w:rsidR="00D07AE0">
        <w:t xml:space="preserve">exists </w:t>
      </w:r>
      <w:r w:rsidRPr="00B17672">
        <w:t>with non-</w:t>
      </w:r>
      <w:r w:rsidR="00A86A86" w:rsidRPr="00B17672">
        <w:t xml:space="preserve">binary </w:t>
      </w:r>
      <w:r w:rsidR="00A86A86">
        <w:t>employees</w:t>
      </w:r>
      <w:r w:rsidRPr="00B17672">
        <w:t xml:space="preserve">. </w:t>
      </w:r>
      <w:r w:rsidR="00E33156">
        <w:t>The</w:t>
      </w:r>
      <w:r w:rsidRPr="00B17672">
        <w:t xml:space="preserve"> results do not </w:t>
      </w:r>
      <w:r w:rsidR="00153203">
        <w:t>reflect</w:t>
      </w:r>
      <w:r w:rsidRPr="00B17672">
        <w:t xml:space="preserve"> the structure which would need to be considered to give a true representation of any Gender Pay Gap. </w:t>
      </w:r>
    </w:p>
    <w:p w14:paraId="75ECFD36" w14:textId="2481CA98" w:rsidR="009E04DA" w:rsidRPr="00B17672" w:rsidRDefault="00A86A86" w:rsidP="009E04DA">
      <w:pPr>
        <w:spacing w:before="240" w:after="0" w:line="240" w:lineRule="auto"/>
      </w:pPr>
      <w:r>
        <w:t>Investigation</w:t>
      </w:r>
      <w:r w:rsidR="005E4E21">
        <w:t xml:space="preserve"> is required w</w:t>
      </w:r>
      <w:r w:rsidR="000F5FC8">
        <w:t>hen</w:t>
      </w:r>
      <w:r w:rsidR="009E04DA" w:rsidRPr="00B17672">
        <w:t xml:space="preserve"> reviewing the </w:t>
      </w:r>
      <w:r w:rsidR="000F5FC8">
        <w:t>non-binary</w:t>
      </w:r>
      <w:r w:rsidR="009E04DA" w:rsidRPr="00B17672">
        <w:t xml:space="preserve"> average salary in comparison to the that of male and female employees. </w:t>
      </w:r>
      <w:r w:rsidR="00153203">
        <w:t>The</w:t>
      </w:r>
      <w:r w:rsidR="009E04DA" w:rsidRPr="00B17672">
        <w:t xml:space="preserve"> 2 non-binary employees</w:t>
      </w:r>
      <w:r w:rsidR="00153203">
        <w:t xml:space="preserve"> a</w:t>
      </w:r>
      <w:r w:rsidR="00B21B70">
        <w:t>re</w:t>
      </w:r>
      <w:r w:rsidR="009E04DA" w:rsidRPr="00B17672">
        <w:t xml:space="preserve"> both in low level roles </w:t>
      </w:r>
      <w:r w:rsidR="003D3FC5">
        <w:t>(</w:t>
      </w:r>
      <w:r w:rsidR="009E04DA" w:rsidRPr="00B17672">
        <w:t>Administrator and Trades Apprentice</w:t>
      </w:r>
      <w:r w:rsidR="003D3FC5">
        <w:t>)</w:t>
      </w:r>
      <w:r w:rsidR="009E04DA" w:rsidRPr="00B17672">
        <w:t xml:space="preserve">. </w:t>
      </w:r>
      <w:r w:rsidR="004B0500">
        <w:t>To align salaries</w:t>
      </w:r>
      <w:r w:rsidR="00ED69CE">
        <w:t xml:space="preserve">, </w:t>
      </w:r>
      <w:r w:rsidR="0055154F">
        <w:t>additional</w:t>
      </w:r>
      <w:r w:rsidR="00ED69CE">
        <w:t xml:space="preserve"> training and development must be provided to non-binary employees to ‘fast track’</w:t>
      </w:r>
      <w:r w:rsidR="0055154F">
        <w:t xml:space="preserve"> their </w:t>
      </w:r>
      <w:r w:rsidR="00B21B70">
        <w:t>progression and</w:t>
      </w:r>
      <w:r w:rsidR="0055154F">
        <w:t xml:space="preserve"> increas</w:t>
      </w:r>
      <w:r w:rsidR="00B21B70">
        <w:t>ing</w:t>
      </w:r>
      <w:r w:rsidR="0055154F">
        <w:t xml:space="preserve"> salaries</w:t>
      </w:r>
      <w:r w:rsidR="000E5340">
        <w:t>. This would result in additional costs to the business</w:t>
      </w:r>
      <w:r w:rsidR="000F5FC8">
        <w:t xml:space="preserve"> </w:t>
      </w:r>
      <w:r w:rsidR="003D3FC5">
        <w:t>but could negatively impact others in the organisation and could be seen as preferential treatment</w:t>
      </w:r>
      <w:r w:rsidR="00E157BB">
        <w:t>.</w:t>
      </w:r>
    </w:p>
    <w:p w14:paraId="61526A1B" w14:textId="3C30D214" w:rsidR="009E04DA" w:rsidRPr="00B17672" w:rsidRDefault="00552370" w:rsidP="009E04DA">
      <w:pPr>
        <w:spacing w:before="240" w:after="0" w:line="240" w:lineRule="auto"/>
      </w:pPr>
      <w:r>
        <w:t>A</w:t>
      </w:r>
      <w:r w:rsidR="009E04DA" w:rsidRPr="00B17672">
        <w:t xml:space="preserve"> true representation of </w:t>
      </w:r>
      <w:r>
        <w:t>a</w:t>
      </w:r>
      <w:r w:rsidR="009E04DA" w:rsidRPr="00B17672">
        <w:t xml:space="preserve"> gender pay gap</w:t>
      </w:r>
      <w:r>
        <w:t xml:space="preserve"> must </w:t>
      </w:r>
      <w:r w:rsidR="009E04DA" w:rsidRPr="00B17672">
        <w:t xml:space="preserve">compare job roles </w:t>
      </w:r>
      <w:r w:rsidR="00D028CC">
        <w:t xml:space="preserve">with </w:t>
      </w:r>
      <w:r w:rsidR="009E04DA" w:rsidRPr="00B17672">
        <w:t>employees performing the same role with the same skills set should be paid the same, regardless of gender.</w:t>
      </w:r>
    </w:p>
    <w:p w14:paraId="4DD789A9" w14:textId="77777777" w:rsidR="009E04DA" w:rsidRDefault="009E04DA"/>
    <w:p w14:paraId="718D371B" w14:textId="77777777" w:rsidR="009D5041" w:rsidRPr="00C1722A" w:rsidRDefault="009D5041" w:rsidP="00C1722A">
      <w:pPr>
        <w:pStyle w:val="ListParagraph"/>
        <w:numPr>
          <w:ilvl w:val="0"/>
          <w:numId w:val="2"/>
        </w:numPr>
        <w:spacing w:before="240" w:after="0" w:line="240" w:lineRule="auto"/>
        <w:ind w:left="567" w:hanging="567"/>
        <w:rPr>
          <w:b/>
          <w:bCs/>
        </w:rPr>
      </w:pPr>
      <w:r w:rsidRPr="00C1722A">
        <w:rPr>
          <w:b/>
          <w:bCs/>
        </w:rPr>
        <w:t>Overall average salary paid by the organisation</w:t>
      </w:r>
    </w:p>
    <w:p w14:paraId="5187F195" w14:textId="0A456FCA" w:rsidR="009D5041" w:rsidRPr="00B17672" w:rsidRDefault="009D5041" w:rsidP="009D5041">
      <w:pPr>
        <w:spacing w:before="240" w:after="0" w:line="240" w:lineRule="auto"/>
      </w:pPr>
      <w:r w:rsidRPr="00B17672">
        <w:t>The organisation is made up of 260 employees with a total annual salary of £8,256,940.00. As shown in the previous graph, the average salary for the organisation is £31, 757.46</w:t>
      </w:r>
      <w:r w:rsidR="002E53C2">
        <w:t>.</w:t>
      </w:r>
    </w:p>
    <w:p w14:paraId="1C93E288" w14:textId="77777777" w:rsidR="00293236" w:rsidRDefault="00293236"/>
    <w:p w14:paraId="393AEB59" w14:textId="77777777" w:rsidR="00C03C65" w:rsidRDefault="00C03C65">
      <w:pPr>
        <w:rPr>
          <w:b/>
          <w:bCs/>
        </w:rPr>
      </w:pPr>
    </w:p>
    <w:p w14:paraId="1A1C60CC" w14:textId="77777777" w:rsidR="00C03C65" w:rsidRDefault="00C03C65">
      <w:pPr>
        <w:rPr>
          <w:b/>
          <w:bCs/>
        </w:rPr>
      </w:pPr>
    </w:p>
    <w:p w14:paraId="7BB360F8" w14:textId="77777777" w:rsidR="00C03C65" w:rsidRDefault="00C03C65">
      <w:pPr>
        <w:rPr>
          <w:b/>
          <w:bCs/>
        </w:rPr>
      </w:pPr>
    </w:p>
    <w:p w14:paraId="19CB73CF" w14:textId="77777777" w:rsidR="00C03C65" w:rsidRDefault="00C03C65">
      <w:pPr>
        <w:rPr>
          <w:b/>
          <w:bCs/>
        </w:rPr>
      </w:pPr>
    </w:p>
    <w:p w14:paraId="3D9A4C5E" w14:textId="77777777" w:rsidR="00C03C65" w:rsidRDefault="00C03C65">
      <w:pPr>
        <w:rPr>
          <w:b/>
          <w:bCs/>
        </w:rPr>
      </w:pPr>
    </w:p>
    <w:p w14:paraId="5CCAD2D4" w14:textId="2D269E79" w:rsidR="00C1722A" w:rsidRPr="00C1722A" w:rsidRDefault="00C1722A">
      <w:pPr>
        <w:rPr>
          <w:b/>
          <w:bCs/>
        </w:rPr>
      </w:pPr>
      <w:r w:rsidRPr="00C1722A">
        <w:rPr>
          <w:b/>
          <w:bCs/>
        </w:rPr>
        <w:lastRenderedPageBreak/>
        <w:t>TABLE 2</w:t>
      </w:r>
    </w:p>
    <w:p w14:paraId="75686C06" w14:textId="640064C2" w:rsidR="0038722D" w:rsidRPr="00B17672" w:rsidRDefault="0038722D" w:rsidP="0038722D">
      <w:pPr>
        <w:spacing w:before="240" w:after="0" w:line="240" w:lineRule="auto"/>
      </w:pPr>
      <w:r w:rsidRPr="00B17672">
        <w:t xml:space="preserve">The hybrid working survey results show that 56% of those surveyed embrace being able to work from home some days of the week with 37% disagreeing. </w:t>
      </w:r>
      <w:r w:rsidR="00B148DA">
        <w:t xml:space="preserve">However, </w:t>
      </w:r>
      <w:r w:rsidRPr="00B17672">
        <w:t>82% state that hybrid working supports an improved work-life balance. This suggest</w:t>
      </w:r>
      <w:r w:rsidR="00B148DA">
        <w:t>s</w:t>
      </w:r>
      <w:r w:rsidRPr="00B17672">
        <w:t xml:space="preserve"> that of the 37% in disagreement </w:t>
      </w:r>
      <w:r w:rsidR="00B148DA">
        <w:t xml:space="preserve">some </w:t>
      </w:r>
      <w:r w:rsidRPr="00B17672">
        <w:t>could be in favour of full remote working as an alternative</w:t>
      </w:r>
      <w:r w:rsidR="00B148DA">
        <w:t>.</w:t>
      </w:r>
    </w:p>
    <w:p w14:paraId="42051B6A" w14:textId="2531D95D" w:rsidR="0038722D" w:rsidRPr="00B17672" w:rsidRDefault="0038722D" w:rsidP="0038722D">
      <w:pPr>
        <w:spacing w:before="240" w:after="0" w:line="240" w:lineRule="auto"/>
      </w:pPr>
      <w:r w:rsidRPr="00B17672">
        <w:t>Engagement</w:t>
      </w:r>
      <w:r w:rsidR="00B148DA">
        <w:t xml:space="preserve"> (</w:t>
      </w:r>
      <w:r w:rsidRPr="00B17672">
        <w:t>personal or business</w:t>
      </w:r>
      <w:r w:rsidR="00B148DA">
        <w:t>)</w:t>
      </w:r>
      <w:r w:rsidRPr="00B17672">
        <w:t xml:space="preserve"> provides mixed results with </w:t>
      </w:r>
      <w:r w:rsidR="002032C7">
        <w:t>17% missing colleague engagement</w:t>
      </w:r>
      <w:r w:rsidR="007B5DE5">
        <w:t xml:space="preserve"> with only 20% feeling supported when at home. A third of the organisation</w:t>
      </w:r>
      <w:r w:rsidR="00B57436">
        <w:t xml:space="preserve"> are </w:t>
      </w:r>
      <w:r w:rsidRPr="00B17672">
        <w:t>unsure of whether working from home is a challenge or not. 62% feel that they are now closer to the company culture with hybrid working</w:t>
      </w:r>
      <w:r w:rsidR="00B57436">
        <w:t>, raising</w:t>
      </w:r>
      <w:r w:rsidRPr="00B17672">
        <w:t xml:space="preserve"> questions as to what the company culture is when employees feel unsupported, but would rather feel unsupported at home, without colleagues around them.</w:t>
      </w:r>
    </w:p>
    <w:p w14:paraId="58F98773" w14:textId="2CEBB75C" w:rsidR="0038722D" w:rsidRPr="00B17672" w:rsidRDefault="0038722D" w:rsidP="0038722D">
      <w:pPr>
        <w:spacing w:before="240" w:after="0" w:line="240" w:lineRule="auto"/>
      </w:pPr>
      <w:r w:rsidRPr="00B17672">
        <w:t>Almost 60% believe that cross functional communication and collaboration suffers, with two thirds struggling to meet targets</w:t>
      </w:r>
      <w:r w:rsidR="00B57436">
        <w:t>, raising</w:t>
      </w:r>
      <w:r w:rsidRPr="00B17672">
        <w:t xml:space="preserve"> questions about the standard of management engagement and communication from a business perspective.</w:t>
      </w:r>
    </w:p>
    <w:p w14:paraId="77CE2DBA" w14:textId="06198FCB" w:rsidR="0038722D" w:rsidRPr="00B17672" w:rsidRDefault="00C37AA1" w:rsidP="0038722D">
      <w:pPr>
        <w:spacing w:before="240" w:after="0" w:line="240" w:lineRule="auto"/>
      </w:pPr>
      <w:r>
        <w:t>With</w:t>
      </w:r>
      <w:r w:rsidR="0038722D" w:rsidRPr="00B17672">
        <w:t xml:space="preserve"> 59% </w:t>
      </w:r>
      <w:r>
        <w:t>stating</w:t>
      </w:r>
      <w:r w:rsidR="0038722D" w:rsidRPr="00B17672">
        <w:t xml:space="preserve"> home working removes conflict, concerns should be raised </w:t>
      </w:r>
      <w:r w:rsidR="004C7611">
        <w:t>regarding</w:t>
      </w:r>
      <w:r w:rsidR="0038722D" w:rsidRPr="00B17672">
        <w:t xml:space="preserve"> the conflict that exists within the organisation. 85% stat</w:t>
      </w:r>
      <w:r w:rsidR="004C7611">
        <w:t>e</w:t>
      </w:r>
      <w:r w:rsidR="0038722D" w:rsidRPr="00B17672">
        <w:t xml:space="preserve"> that they feel stressed when home working, </w:t>
      </w:r>
      <w:r w:rsidR="00A300E4">
        <w:t>but</w:t>
      </w:r>
      <w:r w:rsidR="0038722D" w:rsidRPr="00B17672">
        <w:t xml:space="preserve"> 56% embrac</w:t>
      </w:r>
      <w:r w:rsidR="00A300E4">
        <w:t>e</w:t>
      </w:r>
      <w:r w:rsidR="0038722D" w:rsidRPr="00B17672">
        <w:t xml:space="preserve"> flexibility, </w:t>
      </w:r>
      <w:r w:rsidR="00A300E4">
        <w:t xml:space="preserve">leading to questions as to </w:t>
      </w:r>
      <w:r w:rsidR="0038722D" w:rsidRPr="00B17672">
        <w:t xml:space="preserve">why employees prefer to work from home, </w:t>
      </w:r>
      <w:r w:rsidR="00A300E4">
        <w:t>feeling</w:t>
      </w:r>
      <w:r w:rsidR="0038722D" w:rsidRPr="00B17672">
        <w:t xml:space="preserve"> stressed and less support</w:t>
      </w:r>
      <w:r w:rsidR="00A300E4">
        <w:t>ed</w:t>
      </w:r>
      <w:r w:rsidR="0038722D" w:rsidRPr="00B17672">
        <w:t>.</w:t>
      </w:r>
    </w:p>
    <w:p w14:paraId="3BBD2870" w14:textId="02FA6B45" w:rsidR="0038722D" w:rsidRPr="00B17672" w:rsidRDefault="00D14381" w:rsidP="0038722D">
      <w:pPr>
        <w:spacing w:before="240" w:after="0" w:line="240" w:lineRule="auto"/>
      </w:pPr>
      <w:r>
        <w:t>The</w:t>
      </w:r>
      <w:r w:rsidR="0038722D" w:rsidRPr="00B17672">
        <w:t xml:space="preserve"> survey focuses on the employees’ perceived benefits and disadvantages of hybrid working without delving into the reasoning behind these beliefs. With</w:t>
      </w:r>
      <w:r w:rsidR="006F201E">
        <w:t>out including</w:t>
      </w:r>
      <w:r w:rsidR="0038722D" w:rsidRPr="00B17672">
        <w:t xml:space="preserve"> remote working or full return to the office </w:t>
      </w:r>
      <w:r w:rsidR="006F201E">
        <w:t>there is no</w:t>
      </w:r>
      <w:r w:rsidR="0038722D" w:rsidRPr="00B17672">
        <w:t xml:space="preserve"> clear preference, </w:t>
      </w:r>
      <w:r w:rsidR="006F201E">
        <w:t>or why</w:t>
      </w:r>
      <w:r w:rsidR="0038722D" w:rsidRPr="00B17672">
        <w:t>. Additional question</w:t>
      </w:r>
      <w:r w:rsidR="00A05283">
        <w:t>s</w:t>
      </w:r>
      <w:r w:rsidR="0038722D" w:rsidRPr="00B17672">
        <w:t xml:space="preserve"> on the survey </w:t>
      </w:r>
      <w:r w:rsidR="00A05283">
        <w:t>on the</w:t>
      </w:r>
      <w:r w:rsidR="0038722D" w:rsidRPr="00B17672">
        <w:t xml:space="preserve"> preference of </w:t>
      </w:r>
      <w:r w:rsidR="00A05283">
        <w:t xml:space="preserve">a working model </w:t>
      </w:r>
      <w:r w:rsidR="0038722D" w:rsidRPr="00B17672">
        <w:t>(Office/hybrid/remote) would have been beneficial.</w:t>
      </w:r>
    </w:p>
    <w:p w14:paraId="3300D07D" w14:textId="77777777" w:rsidR="00DE6CC2" w:rsidRDefault="00A05283" w:rsidP="0038722D">
      <w:pPr>
        <w:spacing w:before="240" w:after="0" w:line="240" w:lineRule="auto"/>
      </w:pPr>
      <w:r>
        <w:t xml:space="preserve">The results imply a lack of culture and understanding of the workforce and individual </w:t>
      </w:r>
      <w:r w:rsidR="00B37EB8">
        <w:t xml:space="preserve">needs. The offer of hybrid working is beneficial to some, with others </w:t>
      </w:r>
      <w:r w:rsidR="00181E36">
        <w:t>preferring</w:t>
      </w:r>
      <w:r w:rsidR="00B37EB8">
        <w:t xml:space="preserve"> office or remote working. </w:t>
      </w:r>
      <w:r w:rsidR="00181E36">
        <w:t>Ensuring all team members are in the office at the same time wou</w:t>
      </w:r>
      <w:r w:rsidR="009824ED">
        <w:t>ld be supportive</w:t>
      </w:r>
      <w:r w:rsidR="00484E29">
        <w:t>.</w:t>
      </w:r>
    </w:p>
    <w:p w14:paraId="69DB93B4" w14:textId="56016182" w:rsidR="00A05283" w:rsidRDefault="006B31FE" w:rsidP="0038722D">
      <w:pPr>
        <w:spacing w:before="240" w:after="0" w:line="240" w:lineRule="auto"/>
      </w:pPr>
      <w:r>
        <w:t>It would be</w:t>
      </w:r>
      <w:r w:rsidR="00DE6CC2">
        <w:t xml:space="preserve"> bene</w:t>
      </w:r>
      <w:r w:rsidR="00B74257">
        <w:t xml:space="preserve">ficial for all employees to attend work on the same days to enhance the culture and sense of belonging. This would allow </w:t>
      </w:r>
      <w:r>
        <w:t xml:space="preserve">face to face meetings and increased co-operation along with </w:t>
      </w:r>
      <w:r w:rsidR="00C03C65">
        <w:t xml:space="preserve">the opportunity for managers to work with their teams and increase communication and productivity. </w:t>
      </w:r>
      <w:r w:rsidR="006645AD">
        <w:t xml:space="preserve">Successfully managing </w:t>
      </w:r>
      <w:r w:rsidR="004E40EB">
        <w:t>employees’</w:t>
      </w:r>
      <w:r w:rsidR="00015339">
        <w:t xml:space="preserve"> expectations would </w:t>
      </w:r>
      <w:r w:rsidR="00C03C65">
        <w:t xml:space="preserve">also </w:t>
      </w:r>
      <w:r w:rsidR="00015339">
        <w:t>ensure less turnover and increase efficiency</w:t>
      </w:r>
      <w:r w:rsidR="00E818AE">
        <w:t xml:space="preserve"> but must also ensure the success of the organisation.</w:t>
      </w:r>
    </w:p>
    <w:p w14:paraId="4BB22E3B" w14:textId="77777777" w:rsidR="00A05283" w:rsidRDefault="00A05283" w:rsidP="0038722D">
      <w:pPr>
        <w:spacing w:before="240" w:after="0" w:line="240" w:lineRule="auto"/>
      </w:pPr>
    </w:p>
    <w:p w14:paraId="45A566E0" w14:textId="77777777" w:rsidR="0038722D" w:rsidRDefault="0038722D"/>
    <w:p w14:paraId="6E0F705E" w14:textId="77777777" w:rsidR="00A614A1" w:rsidRDefault="00A614A1"/>
    <w:p w14:paraId="56833935" w14:textId="77777777" w:rsidR="00A614A1" w:rsidRDefault="00A614A1"/>
    <w:p w14:paraId="1ED03B5B" w14:textId="77777777" w:rsidR="00293236" w:rsidRDefault="00293236" w:rsidP="00A614A1">
      <w:pPr>
        <w:spacing w:before="240" w:after="0" w:line="240" w:lineRule="auto"/>
        <w:rPr>
          <w:b/>
          <w:bCs/>
        </w:rPr>
      </w:pPr>
    </w:p>
    <w:p w14:paraId="52DF3843" w14:textId="77777777" w:rsidR="00293236" w:rsidRDefault="00293236" w:rsidP="00A614A1">
      <w:pPr>
        <w:spacing w:before="240" w:after="0" w:line="240" w:lineRule="auto"/>
        <w:rPr>
          <w:b/>
          <w:bCs/>
        </w:rPr>
      </w:pPr>
    </w:p>
    <w:p w14:paraId="4B2367D8" w14:textId="77777777" w:rsidR="00C03C65" w:rsidRDefault="00C03C65" w:rsidP="00A614A1">
      <w:pPr>
        <w:spacing w:before="240" w:after="0" w:line="240" w:lineRule="auto"/>
        <w:rPr>
          <w:b/>
          <w:bCs/>
        </w:rPr>
      </w:pPr>
    </w:p>
    <w:p w14:paraId="2E19C370" w14:textId="77777777" w:rsidR="00C03C65" w:rsidRDefault="00C03C65" w:rsidP="00A614A1">
      <w:pPr>
        <w:spacing w:before="240" w:after="0" w:line="240" w:lineRule="auto"/>
        <w:rPr>
          <w:b/>
          <w:bCs/>
        </w:rPr>
      </w:pPr>
    </w:p>
    <w:p w14:paraId="241ED8E5" w14:textId="2853B37E" w:rsidR="00A614A1" w:rsidRPr="005D6E20" w:rsidRDefault="00A614A1" w:rsidP="00A614A1">
      <w:pPr>
        <w:spacing w:before="240" w:after="0" w:line="240" w:lineRule="auto"/>
        <w:rPr>
          <w:b/>
          <w:bCs/>
        </w:rPr>
      </w:pPr>
      <w:r w:rsidRPr="005D6E20">
        <w:rPr>
          <w:b/>
          <w:bCs/>
        </w:rPr>
        <w:lastRenderedPageBreak/>
        <w:t>REFERENCES</w:t>
      </w:r>
    </w:p>
    <w:p w14:paraId="4E737D31" w14:textId="77777777" w:rsidR="00A614A1" w:rsidRDefault="00A614A1" w:rsidP="00A614A1">
      <w:pPr>
        <w:spacing w:before="240" w:after="0" w:line="240" w:lineRule="auto"/>
        <w:rPr>
          <w:rFonts w:cs="Calibri"/>
          <w:b/>
          <w:bCs/>
          <w:color w:val="000000"/>
          <w14:ligatures w14:val="none"/>
        </w:rPr>
      </w:pPr>
      <w:r w:rsidRPr="005D6E20">
        <w:rPr>
          <w:rFonts w:cs="Calibri"/>
          <w:b/>
          <w:bCs/>
          <w:color w:val="000000"/>
          <w14:ligatures w14:val="none"/>
        </w:rPr>
        <w:t>Section 1</w:t>
      </w:r>
    </w:p>
    <w:p w14:paraId="32753E99" w14:textId="77777777" w:rsidR="00F57002" w:rsidRPr="005D6E20" w:rsidRDefault="00F57002" w:rsidP="00A614A1">
      <w:pPr>
        <w:spacing w:before="240" w:after="0" w:line="240" w:lineRule="auto"/>
        <w:rPr>
          <w:rFonts w:cs="Calibri"/>
          <w:b/>
          <w:bCs/>
          <w:color w:val="000000"/>
          <w14:ligatures w14:val="none"/>
        </w:rPr>
      </w:pPr>
    </w:p>
    <w:p w14:paraId="31D6DE5F" w14:textId="56748565" w:rsidR="00E86D58" w:rsidRPr="00221AEF" w:rsidRDefault="00E86D58" w:rsidP="00E86D58">
      <w:pPr>
        <w:spacing w:after="0" w:line="360" w:lineRule="atLeast"/>
        <w:rPr>
          <w:rFonts w:eastAsia="Times New Roman" w:cs="Calibri"/>
          <w:color w:val="000000"/>
          <w:kern w:val="0"/>
          <w:lang w:eastAsia="en-GB"/>
          <w14:ligatures w14:val="none"/>
        </w:rPr>
      </w:pPr>
      <w:r w:rsidRPr="00221AEF">
        <w:rPr>
          <w:rFonts w:eastAsia="Times New Roman" w:cs="Calibri"/>
          <w:color w:val="000000"/>
          <w:kern w:val="0"/>
          <w:lang w:eastAsia="en-GB"/>
          <w14:ligatures w14:val="none"/>
        </w:rPr>
        <w:t>Young, J. (2023). </w:t>
      </w:r>
      <w:r w:rsidRPr="00221AEF">
        <w:rPr>
          <w:rFonts w:eastAsia="Times New Roman" w:cs="Calibri"/>
          <w:i/>
          <w:iCs/>
          <w:color w:val="000000"/>
          <w:kern w:val="0"/>
          <w:lang w:eastAsia="en-GB"/>
          <w14:ligatures w14:val="none"/>
        </w:rPr>
        <w:t>CIPD | Evidence-based practice for effective decision-making | Factsheets</w:t>
      </w:r>
      <w:r w:rsidRPr="00221AEF">
        <w:rPr>
          <w:rFonts w:eastAsia="Times New Roman" w:cs="Calibri"/>
          <w:color w:val="000000"/>
          <w:kern w:val="0"/>
          <w:lang w:eastAsia="en-GB"/>
          <w14:ligatures w14:val="none"/>
        </w:rPr>
        <w:t xml:space="preserve">. [online] CIPD. Available at: </w:t>
      </w:r>
      <w:hyperlink r:id="rId14" w:history="1">
        <w:r w:rsidRPr="00221AEF">
          <w:rPr>
            <w:rStyle w:val="Hyperlink"/>
            <w:rFonts w:eastAsia="Times New Roman" w:cs="Calibri"/>
            <w:kern w:val="0"/>
            <w:lang w:eastAsia="en-GB"/>
            <w14:ligatures w14:val="none"/>
          </w:rPr>
          <w:t>https://www.cipd.org/uk/knowledge/factsheets/evidence-based-practice-factsheet/</w:t>
        </w:r>
      </w:hyperlink>
      <w:r w:rsidRPr="00221AEF">
        <w:rPr>
          <w:rFonts w:eastAsia="Times New Roman" w:cs="Calibri"/>
          <w:color w:val="000000"/>
          <w:kern w:val="0"/>
          <w:lang w:eastAsia="en-GB"/>
          <w14:ligatures w14:val="none"/>
        </w:rPr>
        <w:t>.</w:t>
      </w:r>
    </w:p>
    <w:p w14:paraId="5C42EBD0" w14:textId="77777777" w:rsidR="00E86D58" w:rsidRPr="00221AEF" w:rsidRDefault="00E86D58" w:rsidP="00E86D58">
      <w:pPr>
        <w:spacing w:after="0" w:line="360" w:lineRule="atLeast"/>
        <w:rPr>
          <w:rFonts w:eastAsia="Times New Roman" w:cs="Calibri"/>
          <w:color w:val="000000"/>
          <w:kern w:val="0"/>
          <w:lang w:eastAsia="en-GB"/>
          <w14:ligatures w14:val="none"/>
        </w:rPr>
      </w:pPr>
    </w:p>
    <w:p w14:paraId="5BB0FF05" w14:textId="1E95FF79" w:rsidR="00F57002" w:rsidRPr="00221AEF" w:rsidRDefault="00F57002" w:rsidP="006C25D8">
      <w:pPr>
        <w:spacing w:after="0" w:line="360" w:lineRule="atLeast"/>
        <w:rPr>
          <w:rFonts w:eastAsia="Times New Roman" w:cs="Calibri"/>
          <w:color w:val="000000"/>
          <w:kern w:val="0"/>
          <w:lang w:eastAsia="en-GB"/>
          <w14:ligatures w14:val="none"/>
        </w:rPr>
      </w:pPr>
      <w:r w:rsidRPr="00221AEF">
        <w:rPr>
          <w:rFonts w:eastAsia="Times New Roman" w:cs="Calibri"/>
          <w:color w:val="000000"/>
          <w:kern w:val="0"/>
          <w:lang w:eastAsia="en-GB"/>
          <w14:ligatures w14:val="none"/>
        </w:rPr>
        <w:t>British Science Association. (2020). </w:t>
      </w:r>
      <w:r w:rsidRPr="00221AEF">
        <w:rPr>
          <w:rFonts w:eastAsia="Times New Roman" w:cs="Calibri"/>
          <w:i/>
          <w:iCs/>
          <w:color w:val="000000"/>
          <w:kern w:val="0"/>
          <w:lang w:eastAsia="en-GB"/>
          <w14:ligatures w14:val="none"/>
        </w:rPr>
        <w:t>Report on Equity in STEM education released</w:t>
      </w:r>
      <w:r w:rsidRPr="00221AEF">
        <w:rPr>
          <w:rFonts w:eastAsia="Times New Roman" w:cs="Calibri"/>
          <w:color w:val="000000"/>
          <w:kern w:val="0"/>
          <w:lang w:eastAsia="en-GB"/>
          <w14:ligatures w14:val="none"/>
        </w:rPr>
        <w:t>. [online] Available at: https://www.britishscienceassociation.org/news/report-on-equity-in-stem-education-released?gad_source=1&amp;gclid=CjwKCAjwmrqzBhAoEiwAXVpgoqsoVQIndbhV62Hz3VF9e9YJnfexocOBAwT-CApEGGGPZchadkXT9BoCUPEQAvD_BwE [Accessed 16 Jun. 2024].</w:t>
      </w:r>
    </w:p>
    <w:p w14:paraId="3F969CE3" w14:textId="3BF5B1C1" w:rsidR="00A614A1" w:rsidRPr="00221AEF" w:rsidRDefault="00A614A1" w:rsidP="00A614A1">
      <w:pPr>
        <w:spacing w:before="240" w:after="0" w:line="240" w:lineRule="auto"/>
        <w:rPr>
          <w:rFonts w:eastAsia="Times New Roman" w:cs="Calibri"/>
          <w:color w:val="000000"/>
          <w:kern w:val="0"/>
          <w:lang w:eastAsia="en-GB"/>
          <w14:ligatures w14:val="none"/>
        </w:rPr>
      </w:pPr>
      <w:r w:rsidRPr="00221AEF">
        <w:rPr>
          <w:rFonts w:cs="Calibri"/>
          <w:color w:val="000000"/>
          <w14:ligatures w14:val="none"/>
        </w:rPr>
        <w:t>www.ikea.com. (n.d.). </w:t>
      </w:r>
      <w:r w:rsidRPr="00221AEF">
        <w:rPr>
          <w:rFonts w:cs="Calibri"/>
          <w:i/>
          <w:iCs/>
          <w:color w:val="000000"/>
          <w14:ligatures w14:val="none"/>
        </w:rPr>
        <w:t>Diversity and inclusion</w:t>
      </w:r>
      <w:r w:rsidRPr="00221AEF">
        <w:rPr>
          <w:rFonts w:cs="Calibri"/>
          <w:color w:val="000000"/>
          <w14:ligatures w14:val="none"/>
        </w:rPr>
        <w:t xml:space="preserve">. [online] Available at: </w:t>
      </w:r>
      <w:hyperlink r:id="rId15" w:history="1">
        <w:r w:rsidRPr="00221AEF">
          <w:rPr>
            <w:rStyle w:val="Hyperlink"/>
            <w:rFonts w:cs="Calibri"/>
            <w14:ligatures w14:val="none"/>
          </w:rPr>
          <w:t>https://www.ikea.com/in/en/this-is-ikea/work-with-us/diversity-and-inclusion-pub3d25e8e8</w:t>
        </w:r>
      </w:hyperlink>
      <w:r w:rsidRPr="00221AEF">
        <w:rPr>
          <w:rFonts w:cs="Calibri"/>
          <w:color w:val="000000"/>
          <w14:ligatures w14:val="none"/>
        </w:rPr>
        <w:t>.</w:t>
      </w:r>
    </w:p>
    <w:p w14:paraId="100D9360" w14:textId="77777777" w:rsidR="00A614A1" w:rsidRPr="00221AEF" w:rsidRDefault="00A614A1" w:rsidP="00A614A1">
      <w:pPr>
        <w:pStyle w:val="NormalWeb"/>
        <w:spacing w:before="240" w:beforeAutospacing="0" w:after="0" w:afterAutospacing="0"/>
        <w:rPr>
          <w:rFonts w:asciiTheme="minorHAnsi" w:hAnsiTheme="minorHAnsi" w:cs="Calibri"/>
          <w:color w:val="000000"/>
          <w:sz w:val="22"/>
          <w:szCs w:val="22"/>
          <w14:ligatures w14:val="none"/>
        </w:rPr>
      </w:pPr>
      <w:r w:rsidRPr="00221AEF">
        <w:rPr>
          <w:rFonts w:asciiTheme="minorHAnsi" w:hAnsiTheme="minorHAnsi" w:cs="Calibri"/>
          <w:color w:val="000000"/>
          <w:sz w:val="22"/>
          <w:szCs w:val="22"/>
          <w14:ligatures w14:val="none"/>
        </w:rPr>
        <w:t>CIPD (2023). </w:t>
      </w:r>
      <w:r w:rsidRPr="00221AEF">
        <w:rPr>
          <w:rFonts w:asciiTheme="minorHAnsi" w:hAnsiTheme="minorHAnsi" w:cs="Calibri"/>
          <w:i/>
          <w:iCs/>
          <w:color w:val="000000"/>
          <w:sz w:val="22"/>
          <w:szCs w:val="22"/>
          <w14:ligatures w14:val="none"/>
        </w:rPr>
        <w:t>CIPD | Evidence-based HR: Make better decisions and step up your influence</w:t>
      </w:r>
      <w:r w:rsidRPr="00221AEF">
        <w:rPr>
          <w:rFonts w:asciiTheme="minorHAnsi" w:hAnsiTheme="minorHAnsi" w:cs="Calibri"/>
          <w:color w:val="000000"/>
          <w:sz w:val="22"/>
          <w:szCs w:val="22"/>
          <w14:ligatures w14:val="none"/>
        </w:rPr>
        <w:t>. [online] CIPD. Available at: https://www.cipd.org/uk/knowledge/guides/evidence-based-profession/.</w:t>
      </w:r>
    </w:p>
    <w:p w14:paraId="73DB745B" w14:textId="77777777" w:rsidR="00A614A1" w:rsidRPr="00221AEF" w:rsidRDefault="00A614A1" w:rsidP="00A614A1">
      <w:pPr>
        <w:pStyle w:val="NormalWeb"/>
        <w:spacing w:before="240" w:beforeAutospacing="0" w:after="0" w:afterAutospacing="0"/>
        <w:rPr>
          <w:rFonts w:asciiTheme="minorHAnsi" w:hAnsiTheme="minorHAnsi" w:cs="Calibri"/>
          <w:color w:val="000000"/>
          <w:sz w:val="22"/>
          <w:szCs w:val="22"/>
          <w14:ligatures w14:val="none"/>
        </w:rPr>
      </w:pPr>
      <w:r w:rsidRPr="00221AEF">
        <w:rPr>
          <w:rFonts w:asciiTheme="minorHAnsi" w:hAnsiTheme="minorHAnsi" w:cs="Calibri"/>
          <w:color w:val="000000"/>
          <w:sz w:val="22"/>
          <w:szCs w:val="22"/>
          <w14:ligatures w14:val="none"/>
        </w:rPr>
        <w:t>Taylor, S. and Woodhams, C. (2022). </w:t>
      </w:r>
      <w:r w:rsidRPr="00221AEF">
        <w:rPr>
          <w:rFonts w:asciiTheme="minorHAnsi" w:hAnsiTheme="minorHAnsi" w:cs="Calibri"/>
          <w:i/>
          <w:iCs/>
          <w:color w:val="000000"/>
          <w:sz w:val="22"/>
          <w:szCs w:val="22"/>
          <w14:ligatures w14:val="none"/>
        </w:rPr>
        <w:t>Studying Human Resource Management a Guide to the Study, Context and Practice of HR</w:t>
      </w:r>
      <w:r w:rsidRPr="00221AEF">
        <w:rPr>
          <w:rFonts w:asciiTheme="minorHAnsi" w:hAnsiTheme="minorHAnsi" w:cs="Calibri"/>
          <w:color w:val="000000"/>
          <w:sz w:val="22"/>
          <w:szCs w:val="22"/>
          <w14:ligatures w14:val="none"/>
        </w:rPr>
        <w:t>. 3rd ed. [</w:t>
      </w:r>
      <w:proofErr w:type="spellStart"/>
      <w:r w:rsidRPr="00221AEF">
        <w:rPr>
          <w:rFonts w:asciiTheme="minorHAnsi" w:hAnsiTheme="minorHAnsi" w:cs="Calibri"/>
          <w:color w:val="000000"/>
          <w:sz w:val="22"/>
          <w:szCs w:val="22"/>
          <w14:ligatures w14:val="none"/>
        </w:rPr>
        <w:t>S.l.</w:t>
      </w:r>
      <w:proofErr w:type="spellEnd"/>
      <w:r w:rsidRPr="00221AEF">
        <w:rPr>
          <w:rFonts w:asciiTheme="minorHAnsi" w:hAnsiTheme="minorHAnsi" w:cs="Calibri"/>
          <w:color w:val="000000"/>
          <w:sz w:val="22"/>
          <w:szCs w:val="22"/>
          <w14:ligatures w14:val="none"/>
        </w:rPr>
        <w:t>]: Kogan Page.</w:t>
      </w:r>
    </w:p>
    <w:p w14:paraId="450BC6E3" w14:textId="77777777" w:rsidR="00A614A1" w:rsidRPr="00221AEF" w:rsidRDefault="00A614A1" w:rsidP="00A614A1">
      <w:pPr>
        <w:spacing w:before="240" w:after="0" w:line="240" w:lineRule="auto"/>
        <w:rPr>
          <w:rFonts w:eastAsia="Times New Roman" w:cs="Calibri"/>
          <w:color w:val="000000"/>
          <w:kern w:val="0"/>
          <w:lang w:eastAsia="en-GB"/>
          <w14:ligatures w14:val="none"/>
        </w:rPr>
      </w:pPr>
      <w:r w:rsidRPr="00221AEF">
        <w:rPr>
          <w:rFonts w:ascii="Arial" w:eastAsia="Times New Roman" w:hAnsi="Arial" w:cs="Arial"/>
          <w:color w:val="000000"/>
          <w:kern w:val="0"/>
          <w:lang w:eastAsia="en-GB"/>
          <w14:ligatures w14:val="none"/>
        </w:rPr>
        <w:t>‌</w:t>
      </w:r>
      <w:r w:rsidRPr="00221AEF">
        <w:rPr>
          <w:rFonts w:cs="Calibri"/>
          <w:color w:val="000000"/>
          <w14:ligatures w14:val="none"/>
        </w:rPr>
        <w:t xml:space="preserve"> Battista, M. (2024). </w:t>
      </w:r>
      <w:r w:rsidRPr="00221AEF">
        <w:rPr>
          <w:rFonts w:cs="Calibri"/>
          <w:i/>
          <w:iCs/>
          <w:color w:val="000000"/>
          <w14:ligatures w14:val="none"/>
        </w:rPr>
        <w:t>PESTLE Analysis</w:t>
      </w:r>
      <w:r w:rsidRPr="00221AEF">
        <w:rPr>
          <w:rFonts w:cs="Calibri"/>
          <w:color w:val="000000"/>
          <w14:ligatures w14:val="none"/>
        </w:rPr>
        <w:t xml:space="preserve">. [online] CIPD. Available at: </w:t>
      </w:r>
      <w:hyperlink r:id="rId16" w:history="1">
        <w:r w:rsidRPr="00221AEF">
          <w:rPr>
            <w:rStyle w:val="Hyperlink"/>
            <w:rFonts w:cs="Calibri"/>
            <w14:ligatures w14:val="none"/>
          </w:rPr>
          <w:t>https://www.cipd.org/uk/knowledge/factsheets/pestle-analysis-factsheet/</w:t>
        </w:r>
      </w:hyperlink>
      <w:r w:rsidRPr="00221AEF">
        <w:rPr>
          <w:rFonts w:cs="Calibri"/>
          <w:color w:val="000000"/>
          <w14:ligatures w14:val="none"/>
        </w:rPr>
        <w:t>.</w:t>
      </w:r>
    </w:p>
    <w:p w14:paraId="6FD9C7CE" w14:textId="77777777" w:rsidR="00A614A1" w:rsidRPr="00221AEF" w:rsidRDefault="00A614A1" w:rsidP="00A614A1">
      <w:pPr>
        <w:spacing w:before="240" w:after="0" w:line="240" w:lineRule="auto"/>
      </w:pPr>
      <w:r w:rsidRPr="00221AEF">
        <w:t>(</w:t>
      </w:r>
      <w:r w:rsidRPr="00221AEF">
        <w:rPr>
          <w:rFonts w:cs="Calibri"/>
          <w:color w:val="000000"/>
          <w14:ligatures w14:val="none"/>
        </w:rPr>
        <w:t>CIPD (2023). </w:t>
      </w:r>
      <w:r w:rsidRPr="00221AEF">
        <w:rPr>
          <w:rFonts w:cs="Calibri"/>
          <w:i/>
          <w:iCs/>
          <w:color w:val="000000"/>
          <w14:ligatures w14:val="none"/>
        </w:rPr>
        <w:t>CIPD | Code of Conduct and Ethics</w:t>
      </w:r>
      <w:r w:rsidRPr="00221AEF">
        <w:rPr>
          <w:rFonts w:cs="Calibri"/>
          <w:color w:val="000000"/>
          <w14:ligatures w14:val="none"/>
        </w:rPr>
        <w:t xml:space="preserve">. [online] CIPD. Available at: </w:t>
      </w:r>
      <w:hyperlink r:id="rId17" w:history="1">
        <w:r w:rsidRPr="00221AEF">
          <w:rPr>
            <w:rStyle w:val="Hyperlink"/>
            <w:rFonts w:cs="Calibri"/>
            <w14:ligatures w14:val="none"/>
          </w:rPr>
          <w:t>https://www.cipd.org/uk/membership/professional-standards/code-of-conduct/</w:t>
        </w:r>
      </w:hyperlink>
      <w:r w:rsidRPr="00221AEF">
        <w:rPr>
          <w:rFonts w:cs="Calibri"/>
          <w:color w:val="000000"/>
          <w14:ligatures w14:val="none"/>
        </w:rPr>
        <w:t>.)</w:t>
      </w:r>
    </w:p>
    <w:p w14:paraId="10D325C5" w14:textId="77777777" w:rsidR="00A614A1" w:rsidRPr="00221AEF" w:rsidRDefault="00A614A1" w:rsidP="00A614A1">
      <w:pPr>
        <w:spacing w:before="240" w:after="0" w:line="240" w:lineRule="auto"/>
        <w:rPr>
          <w:rFonts w:cs="Calibri"/>
          <w:color w:val="000000"/>
          <w14:ligatures w14:val="none"/>
        </w:rPr>
      </w:pPr>
      <w:r w:rsidRPr="00221AEF">
        <w:rPr>
          <w:rFonts w:cs="Calibri"/>
          <w:i/>
          <w:iCs/>
          <w:color w:val="000000"/>
          <w14:ligatures w14:val="none"/>
        </w:rPr>
        <w:t>CIPD | Evidence-based practice for effective decision-making | Factsheets</w:t>
      </w:r>
      <w:r w:rsidRPr="00221AEF">
        <w:rPr>
          <w:rFonts w:cs="Calibri"/>
          <w:color w:val="000000"/>
          <w14:ligatures w14:val="none"/>
        </w:rPr>
        <w:t xml:space="preserve">. [online] CIPD. Available at: </w:t>
      </w:r>
      <w:hyperlink r:id="rId18" w:history="1">
        <w:r w:rsidRPr="00221AEF">
          <w:rPr>
            <w:rStyle w:val="Hyperlink"/>
            <w:rFonts w:cs="Calibri"/>
            <w14:ligatures w14:val="none"/>
          </w:rPr>
          <w:t>https://www.cipd.org/uk/knowledge/factsheets/evidence-based-practice-factsheet/</w:t>
        </w:r>
      </w:hyperlink>
      <w:r w:rsidRPr="00221AEF">
        <w:rPr>
          <w:rFonts w:cs="Calibri"/>
          <w:color w:val="000000"/>
          <w14:ligatures w14:val="none"/>
        </w:rPr>
        <w:t xml:space="preserve">.) </w:t>
      </w:r>
    </w:p>
    <w:p w14:paraId="0F5CBAD4" w14:textId="77777777" w:rsidR="00A614A1" w:rsidRPr="00221AEF" w:rsidRDefault="00A614A1" w:rsidP="00A614A1">
      <w:pPr>
        <w:spacing w:before="240" w:after="0" w:line="240" w:lineRule="auto"/>
        <w:rPr>
          <w:rFonts w:eastAsia="Times New Roman" w:cs="Calibri"/>
          <w:color w:val="000000"/>
          <w:kern w:val="0"/>
          <w:lang w:eastAsia="en-GB"/>
          <w14:ligatures w14:val="none"/>
        </w:rPr>
      </w:pPr>
      <w:r w:rsidRPr="00221AEF">
        <w:rPr>
          <w:rFonts w:eastAsia="Times New Roman" w:cs="Calibri"/>
          <w:color w:val="000000"/>
          <w:kern w:val="0"/>
          <w:lang w:eastAsia="en-GB"/>
          <w14:ligatures w14:val="none"/>
        </w:rPr>
        <w:t>Charles Higgins Kepner and Tregoe, B.B. (1965). </w:t>
      </w:r>
      <w:r w:rsidRPr="00221AEF">
        <w:rPr>
          <w:rFonts w:eastAsia="Times New Roman" w:cs="Calibri"/>
          <w:i/>
          <w:iCs/>
          <w:color w:val="000000"/>
          <w:kern w:val="0"/>
          <w:lang w:eastAsia="en-GB"/>
          <w14:ligatures w14:val="none"/>
        </w:rPr>
        <w:t xml:space="preserve">The rational </w:t>
      </w:r>
      <w:proofErr w:type="gramStart"/>
      <w:r w:rsidRPr="00221AEF">
        <w:rPr>
          <w:rFonts w:eastAsia="Times New Roman" w:cs="Calibri"/>
          <w:i/>
          <w:iCs/>
          <w:color w:val="000000"/>
          <w:kern w:val="0"/>
          <w:lang w:eastAsia="en-GB"/>
          <w14:ligatures w14:val="none"/>
        </w:rPr>
        <w:t>manager :</w:t>
      </w:r>
      <w:proofErr w:type="gramEnd"/>
      <w:r w:rsidRPr="00221AEF">
        <w:rPr>
          <w:rFonts w:eastAsia="Times New Roman" w:cs="Calibri"/>
          <w:i/>
          <w:iCs/>
          <w:color w:val="000000"/>
          <w:kern w:val="0"/>
          <w:lang w:eastAsia="en-GB"/>
          <w14:ligatures w14:val="none"/>
        </w:rPr>
        <w:t xml:space="preserve"> a systematic approach to problem solving and decision making</w:t>
      </w:r>
      <w:r w:rsidRPr="00221AEF">
        <w:rPr>
          <w:rFonts w:eastAsia="Times New Roman" w:cs="Calibri"/>
          <w:color w:val="000000"/>
          <w:kern w:val="0"/>
          <w:lang w:eastAsia="en-GB"/>
          <w14:ligatures w14:val="none"/>
        </w:rPr>
        <w:t xml:space="preserve">. New York: </w:t>
      </w:r>
      <w:proofErr w:type="spellStart"/>
      <w:r w:rsidRPr="00221AEF">
        <w:rPr>
          <w:rFonts w:eastAsia="Times New Roman" w:cs="Calibri"/>
          <w:color w:val="000000"/>
          <w:kern w:val="0"/>
          <w:lang w:eastAsia="en-GB"/>
          <w14:ligatures w14:val="none"/>
        </w:rPr>
        <w:t>Mcgraw-Hill</w:t>
      </w:r>
      <w:proofErr w:type="spellEnd"/>
      <w:r w:rsidRPr="00221AEF">
        <w:rPr>
          <w:rFonts w:eastAsia="Times New Roman" w:cs="Calibri"/>
          <w:color w:val="000000"/>
          <w:kern w:val="0"/>
          <w:lang w:eastAsia="en-GB"/>
          <w14:ligatures w14:val="none"/>
        </w:rPr>
        <w:t>.</w:t>
      </w:r>
    </w:p>
    <w:p w14:paraId="73781CB2" w14:textId="77777777" w:rsidR="00A614A1" w:rsidRPr="00221AEF" w:rsidRDefault="00A614A1" w:rsidP="00A614A1">
      <w:pPr>
        <w:spacing w:before="240" w:after="0" w:line="240" w:lineRule="auto"/>
        <w:rPr>
          <w:rFonts w:cs="Calibri"/>
          <w:color w:val="000000"/>
          <w14:ligatures w14:val="none"/>
        </w:rPr>
      </w:pPr>
      <w:r w:rsidRPr="00221AEF">
        <w:rPr>
          <w:rFonts w:cs="Calibri"/>
          <w:color w:val="000000"/>
          <w14:ligatures w14:val="none"/>
        </w:rPr>
        <w:t>Edward De Bono (1999). </w:t>
      </w:r>
      <w:r w:rsidRPr="00221AEF">
        <w:rPr>
          <w:rFonts w:cs="Calibri"/>
          <w:i/>
          <w:iCs/>
          <w:color w:val="000000"/>
          <w14:ligatures w14:val="none"/>
        </w:rPr>
        <w:t>Six thinking hats</w:t>
      </w:r>
      <w:r w:rsidRPr="00221AEF">
        <w:rPr>
          <w:rFonts w:cs="Calibri"/>
          <w:color w:val="000000"/>
          <w14:ligatures w14:val="none"/>
        </w:rPr>
        <w:t>. Boston: Back Bay Books.</w:t>
      </w:r>
    </w:p>
    <w:p w14:paraId="61F1D604" w14:textId="77777777" w:rsidR="00A614A1" w:rsidRPr="00221AEF" w:rsidRDefault="00A614A1" w:rsidP="00A614A1">
      <w:pPr>
        <w:spacing w:before="240" w:after="0" w:line="240" w:lineRule="auto"/>
        <w:rPr>
          <w:rFonts w:eastAsia="Times New Roman" w:cs="Calibri"/>
          <w:color w:val="000000"/>
          <w:kern w:val="0"/>
          <w:lang w:eastAsia="en-GB"/>
          <w14:ligatures w14:val="none"/>
        </w:rPr>
      </w:pPr>
      <w:r w:rsidRPr="00221AEF">
        <w:rPr>
          <w:rFonts w:cs="Calibri"/>
          <w:color w:val="000000"/>
          <w14:ligatures w14:val="none"/>
        </w:rPr>
        <w:t>Tannenbaum, R. and Schmidt, W.H. (1973). </w:t>
      </w:r>
      <w:r w:rsidRPr="00221AEF">
        <w:rPr>
          <w:rFonts w:cs="Calibri"/>
          <w:i/>
          <w:iCs/>
          <w:color w:val="000000"/>
          <w14:ligatures w14:val="none"/>
        </w:rPr>
        <w:t>How to Choose a Leadership Pattern</w:t>
      </w:r>
      <w:r w:rsidRPr="00221AEF">
        <w:rPr>
          <w:rFonts w:cs="Calibri"/>
          <w:color w:val="000000"/>
          <w14:ligatures w14:val="none"/>
        </w:rPr>
        <w:t xml:space="preserve">. [online] Harvard Business Review. Available at: </w:t>
      </w:r>
      <w:hyperlink r:id="rId19" w:history="1">
        <w:r w:rsidRPr="00221AEF">
          <w:rPr>
            <w:rStyle w:val="Hyperlink"/>
            <w:rFonts w:cs="Calibri"/>
            <w14:ligatures w14:val="none"/>
          </w:rPr>
          <w:t>https://hbr.org/1973/05/how-to-choose-a-leadership-pattern</w:t>
        </w:r>
      </w:hyperlink>
      <w:r w:rsidRPr="00221AEF">
        <w:rPr>
          <w:rFonts w:cs="Calibri"/>
          <w:color w:val="000000"/>
          <w14:ligatures w14:val="none"/>
        </w:rPr>
        <w:t>.</w:t>
      </w:r>
    </w:p>
    <w:p w14:paraId="15AC5350" w14:textId="77777777" w:rsidR="00A614A1" w:rsidRPr="00221AEF" w:rsidRDefault="00A614A1" w:rsidP="00A614A1">
      <w:pPr>
        <w:spacing w:before="240" w:after="0" w:line="240" w:lineRule="auto"/>
        <w:rPr>
          <w:rFonts w:eastAsia="Times New Roman" w:cs="Calibri"/>
          <w:color w:val="000000"/>
          <w:kern w:val="0"/>
          <w:lang w:eastAsia="en-GB"/>
          <w14:ligatures w14:val="none"/>
        </w:rPr>
      </w:pPr>
      <w:r w:rsidRPr="00221AEF">
        <w:rPr>
          <w:rFonts w:eastAsia="Times New Roman" w:cs="Calibri"/>
          <w:color w:val="000000"/>
          <w:kern w:val="0"/>
          <w:lang w:eastAsia="en-GB"/>
          <w14:ligatures w14:val="none"/>
        </w:rPr>
        <w:t>Wikipedia Contributors (2019). </w:t>
      </w:r>
      <w:r w:rsidRPr="00221AEF">
        <w:rPr>
          <w:rFonts w:eastAsia="Times New Roman" w:cs="Calibri"/>
          <w:i/>
          <w:iCs/>
          <w:color w:val="000000"/>
          <w:kern w:val="0"/>
          <w:lang w:eastAsia="en-GB"/>
          <w14:ligatures w14:val="none"/>
        </w:rPr>
        <w:t>Equity theory</w:t>
      </w:r>
      <w:r w:rsidRPr="00221AEF">
        <w:rPr>
          <w:rFonts w:eastAsia="Times New Roman" w:cs="Calibri"/>
          <w:color w:val="000000"/>
          <w:kern w:val="0"/>
          <w:lang w:eastAsia="en-GB"/>
          <w14:ligatures w14:val="none"/>
        </w:rPr>
        <w:t xml:space="preserve">. [online] Wikipedia. Available at: </w:t>
      </w:r>
      <w:hyperlink r:id="rId20" w:history="1">
        <w:r w:rsidRPr="00221AEF">
          <w:rPr>
            <w:rStyle w:val="Hyperlink"/>
            <w:rFonts w:eastAsia="Times New Roman" w:cs="Calibri"/>
            <w:kern w:val="0"/>
            <w:lang w:eastAsia="en-GB"/>
            <w14:ligatures w14:val="none"/>
          </w:rPr>
          <w:t>https://en.wikipedia.org/wiki/Equity_theory</w:t>
        </w:r>
      </w:hyperlink>
      <w:r w:rsidRPr="00221AEF">
        <w:rPr>
          <w:rFonts w:eastAsia="Times New Roman" w:cs="Calibri"/>
          <w:color w:val="000000"/>
          <w:kern w:val="0"/>
          <w:lang w:eastAsia="en-GB"/>
          <w14:ligatures w14:val="none"/>
        </w:rPr>
        <w:t xml:space="preserve">. </w:t>
      </w:r>
    </w:p>
    <w:p w14:paraId="21DB9AFB" w14:textId="6AD32948" w:rsidR="00F24E4D" w:rsidRPr="00221AEF" w:rsidRDefault="00F24E4D" w:rsidP="00F24E4D">
      <w:pPr>
        <w:spacing w:after="0" w:line="240" w:lineRule="auto"/>
        <w:rPr>
          <w:rFonts w:eastAsia="Times New Roman" w:cs="Times New Roman"/>
          <w:kern w:val="0"/>
          <w:lang w:eastAsia="en-GB"/>
          <w14:ligatures w14:val="none"/>
        </w:rPr>
      </w:pPr>
      <w:r w:rsidRPr="00221AEF">
        <w:rPr>
          <w:rFonts w:eastAsia="Times New Roman" w:cs="Times New Roman"/>
          <w:kern w:val="0"/>
          <w:lang w:eastAsia="en-GB"/>
          <w14:ligatures w14:val="none"/>
        </w:rPr>
        <w:t xml:space="preserve">Goodin, R. E. (1995). </w:t>
      </w:r>
      <w:r w:rsidRPr="00221AEF">
        <w:rPr>
          <w:rFonts w:eastAsia="Times New Roman" w:cs="Times New Roman"/>
          <w:i/>
          <w:iCs/>
          <w:kern w:val="0"/>
          <w:lang w:eastAsia="en-GB"/>
          <w14:ligatures w14:val="none"/>
        </w:rPr>
        <w:t>Utilitarianism as a public philosophy</w:t>
      </w:r>
      <w:r w:rsidRPr="00221AEF">
        <w:rPr>
          <w:rFonts w:eastAsia="Times New Roman" w:cs="Times New Roman"/>
          <w:kern w:val="0"/>
          <w:lang w:eastAsia="en-GB"/>
          <w14:ligatures w14:val="none"/>
        </w:rPr>
        <w:t>. Cambridge University press.</w:t>
      </w:r>
    </w:p>
    <w:p w14:paraId="0F04E135" w14:textId="77777777" w:rsidR="00A614A1" w:rsidRPr="00221AEF" w:rsidRDefault="00A614A1" w:rsidP="00A614A1">
      <w:pPr>
        <w:spacing w:before="240" w:after="0" w:line="240" w:lineRule="auto"/>
        <w:rPr>
          <w:rFonts w:eastAsia="Times New Roman" w:cs="Calibri"/>
          <w:color w:val="000000"/>
          <w:kern w:val="0"/>
          <w:lang w:eastAsia="en-GB"/>
          <w14:ligatures w14:val="none"/>
        </w:rPr>
      </w:pPr>
      <w:r w:rsidRPr="00221AEF">
        <w:rPr>
          <w:rFonts w:ascii="Arial" w:eastAsia="Times New Roman" w:hAnsi="Arial" w:cs="Arial"/>
          <w:color w:val="000000"/>
          <w:kern w:val="0"/>
          <w:lang w:eastAsia="en-GB"/>
          <w14:ligatures w14:val="none"/>
        </w:rPr>
        <w:t>‌</w:t>
      </w:r>
      <w:r w:rsidRPr="00221AEF">
        <w:rPr>
          <w:rFonts w:cs="Calibri"/>
          <w:color w:val="000000"/>
          <w14:ligatures w14:val="none"/>
        </w:rPr>
        <w:t xml:space="preserve"> Armstrong, M. and Taylor, S. (2023). </w:t>
      </w:r>
      <w:r w:rsidRPr="00221AEF">
        <w:rPr>
          <w:rFonts w:cs="Calibri"/>
          <w:i/>
          <w:iCs/>
          <w:color w:val="000000"/>
          <w14:ligatures w14:val="none"/>
        </w:rPr>
        <w:t>Armstrong’s Handbook of Human Resource Management Practice</w:t>
      </w:r>
      <w:r w:rsidRPr="00221AEF">
        <w:rPr>
          <w:rFonts w:cs="Calibri"/>
          <w:color w:val="000000"/>
          <w14:ligatures w14:val="none"/>
        </w:rPr>
        <w:t xml:space="preserve">. 16th ed. New York: Kogan Page. </w:t>
      </w:r>
    </w:p>
    <w:p w14:paraId="1CC24836" w14:textId="77777777" w:rsidR="00711398" w:rsidRDefault="00711398" w:rsidP="00711398">
      <w:pPr>
        <w:spacing w:after="0" w:line="360" w:lineRule="atLeast"/>
        <w:rPr>
          <w:rFonts w:eastAsia="Times New Roman" w:cs="Calibri"/>
          <w:color w:val="000000"/>
          <w:kern w:val="0"/>
          <w:lang w:eastAsia="en-GB"/>
          <w14:ligatures w14:val="none"/>
        </w:rPr>
      </w:pPr>
    </w:p>
    <w:p w14:paraId="1749FFD3" w14:textId="77777777" w:rsidR="005632A7" w:rsidRPr="005632A7" w:rsidRDefault="005632A7" w:rsidP="005632A7">
      <w:pPr>
        <w:spacing w:after="0" w:line="360" w:lineRule="atLeast"/>
        <w:rPr>
          <w:rFonts w:eastAsia="Times New Roman" w:cs="Calibri"/>
          <w:color w:val="000000"/>
          <w:kern w:val="0"/>
          <w:lang w:eastAsia="en-GB"/>
          <w14:ligatures w14:val="none"/>
        </w:rPr>
      </w:pPr>
      <w:r w:rsidRPr="005632A7">
        <w:rPr>
          <w:rFonts w:eastAsia="Times New Roman" w:cs="Calibri"/>
          <w:color w:val="000000"/>
          <w:kern w:val="0"/>
          <w:lang w:eastAsia="en-GB"/>
          <w14:ligatures w14:val="none"/>
        </w:rPr>
        <w:t>Miller, B. (2018). </w:t>
      </w:r>
      <w:r w:rsidRPr="005632A7">
        <w:rPr>
          <w:rFonts w:eastAsia="Times New Roman" w:cs="Calibri"/>
          <w:i/>
          <w:iCs/>
          <w:color w:val="000000"/>
          <w:kern w:val="0"/>
          <w:lang w:eastAsia="en-GB"/>
          <w14:ligatures w14:val="none"/>
        </w:rPr>
        <w:t>Pros and Cons of Employee Engagement Surveys - HR Daily Advisor</w:t>
      </w:r>
      <w:r w:rsidRPr="005632A7">
        <w:rPr>
          <w:rFonts w:eastAsia="Times New Roman" w:cs="Calibri"/>
          <w:color w:val="000000"/>
          <w:kern w:val="0"/>
          <w:lang w:eastAsia="en-GB"/>
          <w14:ligatures w14:val="none"/>
        </w:rPr>
        <w:t>. [online] HR Daily Advisor. Available at: https://hrdailyadvisor.blr.com/2018/04/09/pros-cons-employee-engagement-surveys/.</w:t>
      </w:r>
    </w:p>
    <w:p w14:paraId="5EE1F342" w14:textId="673B1F83" w:rsidR="001A065B" w:rsidRPr="005632A7" w:rsidRDefault="005632A7" w:rsidP="005632A7">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5632A7">
        <w:rPr>
          <w:rFonts w:ascii="Calibri" w:eastAsia="Times New Roman" w:hAnsi="Calibri" w:cs="Calibri"/>
          <w:color w:val="000000"/>
          <w:kern w:val="0"/>
          <w:sz w:val="27"/>
          <w:szCs w:val="27"/>
          <w:lang w:eastAsia="en-GB"/>
          <w14:ligatures w14:val="none"/>
        </w:rPr>
        <w:t>‌</w:t>
      </w:r>
      <w:r w:rsidR="00711398" w:rsidRPr="00221AEF">
        <w:rPr>
          <w:rFonts w:eastAsia="Times New Roman" w:cs="Calibri"/>
          <w:color w:val="000000"/>
          <w:kern w:val="0"/>
          <w:lang w:eastAsia="en-GB"/>
          <w14:ligatures w14:val="none"/>
        </w:rPr>
        <w:t>soundcloud.com. (n.d.). </w:t>
      </w:r>
      <w:r w:rsidR="00711398" w:rsidRPr="00221AEF">
        <w:rPr>
          <w:rFonts w:eastAsia="Times New Roman" w:cs="Calibri"/>
          <w:i/>
          <w:iCs/>
          <w:color w:val="000000"/>
          <w:kern w:val="0"/>
          <w:lang w:eastAsia="en-GB"/>
          <w14:ligatures w14:val="none"/>
        </w:rPr>
        <w:t>Podcast 154: Critical Thinking</w:t>
      </w:r>
      <w:r w:rsidR="00711398" w:rsidRPr="00221AEF">
        <w:rPr>
          <w:rFonts w:eastAsia="Times New Roman" w:cs="Calibri"/>
          <w:color w:val="000000"/>
          <w:kern w:val="0"/>
          <w:lang w:eastAsia="en-GB"/>
          <w14:ligatures w14:val="none"/>
        </w:rPr>
        <w:t>. [online] Available at: https://soundcloud.com/cipd/podcast-154-critical-thinking?utm_source=clipboard&amp;utm_medium=text&amp;utm_campaign=social_sharing [Accessed 16 Jun. 2024].</w:t>
      </w:r>
    </w:p>
    <w:p w14:paraId="52B0A9B6" w14:textId="6234D73A" w:rsidR="001A065B" w:rsidRPr="00221AEF" w:rsidRDefault="00711398" w:rsidP="001A065B">
      <w:pPr>
        <w:rPr>
          <w:rFonts w:eastAsia="Times New Roman" w:cs="Times New Roman"/>
          <w:kern w:val="0"/>
          <w:lang w:eastAsia="en-GB"/>
          <w14:ligatures w14:val="none"/>
        </w:rPr>
      </w:pPr>
      <w:r w:rsidRPr="00221AEF">
        <w:rPr>
          <w:rFonts w:ascii="Arial" w:eastAsia="Times New Roman" w:hAnsi="Arial" w:cs="Arial"/>
          <w:color w:val="000000"/>
          <w:kern w:val="0"/>
          <w:lang w:eastAsia="en-GB"/>
          <w14:ligatures w14:val="none"/>
        </w:rPr>
        <w:t>‌</w:t>
      </w:r>
      <w:r w:rsidR="001A065B" w:rsidRPr="00221AEF">
        <w:rPr>
          <w:rFonts w:eastAsia="Times New Roman" w:cs="Times New Roman"/>
          <w:kern w:val="0"/>
          <w:lang w:eastAsia="en-GB"/>
          <w14:ligatures w14:val="none"/>
        </w:rPr>
        <w:t xml:space="preserve">Rawling, P. (2023). </w:t>
      </w:r>
      <w:r w:rsidR="001A065B" w:rsidRPr="00221AEF">
        <w:rPr>
          <w:rFonts w:eastAsia="Times New Roman" w:cs="Times New Roman"/>
          <w:i/>
          <w:iCs/>
          <w:kern w:val="0"/>
          <w:lang w:eastAsia="en-GB"/>
          <w14:ligatures w14:val="none"/>
        </w:rPr>
        <w:t>Deontology</w:t>
      </w:r>
      <w:r w:rsidR="001A065B" w:rsidRPr="00221AEF">
        <w:rPr>
          <w:rFonts w:eastAsia="Times New Roman" w:cs="Times New Roman"/>
          <w:kern w:val="0"/>
          <w:lang w:eastAsia="en-GB"/>
          <w14:ligatures w14:val="none"/>
        </w:rPr>
        <w:t xml:space="preserve"> (1st ed.). Cambridge University Press. https://doi.org/10/1017/9781108581196</w:t>
      </w:r>
    </w:p>
    <w:p w14:paraId="0FFD95D8" w14:textId="5E6B8F5F" w:rsidR="00711398" w:rsidRPr="00221AEF" w:rsidRDefault="00711398" w:rsidP="00711398">
      <w:pPr>
        <w:spacing w:before="100" w:beforeAutospacing="1" w:after="100" w:afterAutospacing="1" w:line="240" w:lineRule="auto"/>
        <w:rPr>
          <w:rFonts w:eastAsia="Times New Roman" w:cs="Calibri"/>
          <w:color w:val="000000"/>
          <w:kern w:val="0"/>
          <w:lang w:eastAsia="en-GB"/>
          <w14:ligatures w14:val="none"/>
        </w:rPr>
      </w:pPr>
    </w:p>
    <w:p w14:paraId="49406A1F" w14:textId="77777777" w:rsidR="00A614A1" w:rsidRPr="00221AEF" w:rsidRDefault="00A614A1" w:rsidP="00A614A1">
      <w:pPr>
        <w:spacing w:before="240" w:after="0" w:line="240" w:lineRule="auto"/>
        <w:rPr>
          <w:b/>
          <w:bCs/>
        </w:rPr>
      </w:pPr>
      <w:r w:rsidRPr="00221AEF">
        <w:br/>
      </w:r>
      <w:r w:rsidRPr="00221AEF">
        <w:rPr>
          <w:b/>
          <w:bCs/>
        </w:rPr>
        <w:t>Section 2</w:t>
      </w:r>
    </w:p>
    <w:p w14:paraId="4734061F" w14:textId="77777777" w:rsidR="00A614A1" w:rsidRPr="00221AEF" w:rsidRDefault="00A614A1" w:rsidP="00A614A1">
      <w:pPr>
        <w:pStyle w:val="NormalWeb"/>
        <w:spacing w:before="240" w:beforeAutospacing="0" w:after="0" w:afterAutospacing="0"/>
        <w:rPr>
          <w:rFonts w:asciiTheme="minorHAnsi" w:hAnsiTheme="minorHAnsi"/>
          <w:color w:val="000000"/>
          <w:sz w:val="22"/>
          <w:szCs w:val="22"/>
        </w:rPr>
      </w:pPr>
      <w:r w:rsidRPr="00221AEF">
        <w:rPr>
          <w:rFonts w:asciiTheme="minorHAnsi" w:hAnsiTheme="minorHAnsi"/>
          <w:color w:val="000000"/>
          <w:sz w:val="22"/>
          <w:szCs w:val="22"/>
        </w:rPr>
        <w:t>ACAS (n.d.). </w:t>
      </w:r>
      <w:r w:rsidRPr="00221AEF">
        <w:rPr>
          <w:rFonts w:asciiTheme="minorHAnsi" w:hAnsiTheme="minorHAnsi"/>
          <w:i/>
          <w:iCs/>
          <w:color w:val="000000"/>
          <w:sz w:val="22"/>
          <w:szCs w:val="22"/>
        </w:rPr>
        <w:t>Disability and the Equality Act 2010: What disability means by law</w:t>
      </w:r>
      <w:r w:rsidRPr="00221AEF">
        <w:rPr>
          <w:rFonts w:asciiTheme="minorHAnsi" w:hAnsiTheme="minorHAnsi"/>
          <w:color w:val="000000"/>
          <w:sz w:val="22"/>
          <w:szCs w:val="22"/>
        </w:rPr>
        <w:t xml:space="preserve">. [online] </w:t>
      </w:r>
      <w:proofErr w:type="spellStart"/>
      <w:r w:rsidRPr="00221AEF">
        <w:rPr>
          <w:rFonts w:asciiTheme="minorHAnsi" w:hAnsiTheme="minorHAnsi"/>
          <w:color w:val="000000"/>
          <w:sz w:val="22"/>
          <w:szCs w:val="22"/>
        </w:rPr>
        <w:t>Acas</w:t>
      </w:r>
      <w:proofErr w:type="spellEnd"/>
      <w:r w:rsidRPr="00221AEF">
        <w:rPr>
          <w:rFonts w:asciiTheme="minorHAnsi" w:hAnsiTheme="minorHAnsi"/>
          <w:color w:val="000000"/>
          <w:sz w:val="22"/>
          <w:szCs w:val="22"/>
        </w:rPr>
        <w:t xml:space="preserve">. Available at: </w:t>
      </w:r>
      <w:hyperlink r:id="rId21" w:history="1">
        <w:r w:rsidRPr="00221AEF">
          <w:rPr>
            <w:rStyle w:val="Hyperlink"/>
            <w:rFonts w:asciiTheme="minorHAnsi" w:hAnsiTheme="minorHAnsi"/>
            <w:sz w:val="22"/>
            <w:szCs w:val="22"/>
          </w:rPr>
          <w:t>https://www.acas.org.uk/what-disability-means-by-law</w:t>
        </w:r>
      </w:hyperlink>
      <w:r w:rsidRPr="00221AEF">
        <w:rPr>
          <w:rFonts w:asciiTheme="minorHAnsi" w:hAnsiTheme="minorHAnsi"/>
          <w:color w:val="000000"/>
          <w:sz w:val="22"/>
          <w:szCs w:val="22"/>
        </w:rPr>
        <w:t xml:space="preserve">. - </w:t>
      </w:r>
    </w:p>
    <w:p w14:paraId="5C898E24" w14:textId="77777777" w:rsidR="00A614A1" w:rsidRPr="00221AEF" w:rsidRDefault="00A614A1"/>
    <w:sectPr w:rsidR="00A614A1" w:rsidRPr="00221AEF" w:rsidSect="00F02C90">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EF2BDE"/>
    <w:multiLevelType w:val="hybridMultilevel"/>
    <w:tmpl w:val="222EC61A"/>
    <w:lvl w:ilvl="0" w:tplc="4E3CB43C">
      <w:start w:val="1"/>
      <w:numFmt w:val="upperLetter"/>
      <w:lvlText w:val="%1)"/>
      <w:lvlJc w:val="left"/>
      <w:pPr>
        <w:ind w:left="4320" w:hanging="360"/>
      </w:pPr>
      <w:rPr>
        <w:rFonts w:hint="default"/>
      </w:r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1" w15:restartNumberingAfterBreak="0">
    <w:nsid w:val="4F250B6E"/>
    <w:multiLevelType w:val="hybridMultilevel"/>
    <w:tmpl w:val="99582F40"/>
    <w:lvl w:ilvl="0" w:tplc="4E3CB43C">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B73C7E"/>
    <w:multiLevelType w:val="hybridMultilevel"/>
    <w:tmpl w:val="0A1E9084"/>
    <w:lvl w:ilvl="0" w:tplc="4E3CB43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7783969">
    <w:abstractNumId w:val="2"/>
  </w:num>
  <w:num w:numId="2" w16cid:durableId="2014917853">
    <w:abstractNumId w:val="1"/>
  </w:num>
  <w:num w:numId="3" w16cid:durableId="1025013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272"/>
    <w:rsid w:val="000066FC"/>
    <w:rsid w:val="000149B7"/>
    <w:rsid w:val="00015339"/>
    <w:rsid w:val="00015DD5"/>
    <w:rsid w:val="000358F1"/>
    <w:rsid w:val="000444B4"/>
    <w:rsid w:val="00053781"/>
    <w:rsid w:val="000604AB"/>
    <w:rsid w:val="00071CBB"/>
    <w:rsid w:val="00077A53"/>
    <w:rsid w:val="000A147E"/>
    <w:rsid w:val="000E5340"/>
    <w:rsid w:val="000F5FC8"/>
    <w:rsid w:val="00101F65"/>
    <w:rsid w:val="001034D2"/>
    <w:rsid w:val="00132E14"/>
    <w:rsid w:val="00153203"/>
    <w:rsid w:val="00155FE0"/>
    <w:rsid w:val="001624AB"/>
    <w:rsid w:val="001629E9"/>
    <w:rsid w:val="0016614F"/>
    <w:rsid w:val="001675C7"/>
    <w:rsid w:val="00181E36"/>
    <w:rsid w:val="0019073C"/>
    <w:rsid w:val="00192F81"/>
    <w:rsid w:val="001A065B"/>
    <w:rsid w:val="001A693D"/>
    <w:rsid w:val="001B19C5"/>
    <w:rsid w:val="001B279E"/>
    <w:rsid w:val="001C070F"/>
    <w:rsid w:val="001C7E92"/>
    <w:rsid w:val="001E31F0"/>
    <w:rsid w:val="00202CFA"/>
    <w:rsid w:val="002032C7"/>
    <w:rsid w:val="00212227"/>
    <w:rsid w:val="00213D59"/>
    <w:rsid w:val="00221AEF"/>
    <w:rsid w:val="00241052"/>
    <w:rsid w:val="00245D6F"/>
    <w:rsid w:val="00247FC7"/>
    <w:rsid w:val="002622B8"/>
    <w:rsid w:val="002649EE"/>
    <w:rsid w:val="0028064D"/>
    <w:rsid w:val="00293236"/>
    <w:rsid w:val="002A502F"/>
    <w:rsid w:val="002E10D0"/>
    <w:rsid w:val="002E53C2"/>
    <w:rsid w:val="003017D8"/>
    <w:rsid w:val="00312436"/>
    <w:rsid w:val="003205F7"/>
    <w:rsid w:val="0032619E"/>
    <w:rsid w:val="00326F61"/>
    <w:rsid w:val="00331F15"/>
    <w:rsid w:val="003356ED"/>
    <w:rsid w:val="00364EAA"/>
    <w:rsid w:val="00375404"/>
    <w:rsid w:val="0038064E"/>
    <w:rsid w:val="0038722D"/>
    <w:rsid w:val="003A723E"/>
    <w:rsid w:val="003B15F3"/>
    <w:rsid w:val="003B6C34"/>
    <w:rsid w:val="003C1E6F"/>
    <w:rsid w:val="003C2C12"/>
    <w:rsid w:val="003D1D97"/>
    <w:rsid w:val="003D1F56"/>
    <w:rsid w:val="003D3FC5"/>
    <w:rsid w:val="003D771A"/>
    <w:rsid w:val="0040049B"/>
    <w:rsid w:val="00400915"/>
    <w:rsid w:val="00431B93"/>
    <w:rsid w:val="0044485C"/>
    <w:rsid w:val="00467ADA"/>
    <w:rsid w:val="00472F4E"/>
    <w:rsid w:val="00480E91"/>
    <w:rsid w:val="00484E29"/>
    <w:rsid w:val="00491A9C"/>
    <w:rsid w:val="004A02C5"/>
    <w:rsid w:val="004A6AAB"/>
    <w:rsid w:val="004B0500"/>
    <w:rsid w:val="004B6608"/>
    <w:rsid w:val="004C7611"/>
    <w:rsid w:val="004D748F"/>
    <w:rsid w:val="004E40EB"/>
    <w:rsid w:val="004F2BA6"/>
    <w:rsid w:val="00506A51"/>
    <w:rsid w:val="00514E9F"/>
    <w:rsid w:val="0052074A"/>
    <w:rsid w:val="00527E28"/>
    <w:rsid w:val="00541BE9"/>
    <w:rsid w:val="0055154F"/>
    <w:rsid w:val="00551F27"/>
    <w:rsid w:val="00552370"/>
    <w:rsid w:val="00556A91"/>
    <w:rsid w:val="005571EA"/>
    <w:rsid w:val="00557455"/>
    <w:rsid w:val="005613EC"/>
    <w:rsid w:val="005632A7"/>
    <w:rsid w:val="0059023C"/>
    <w:rsid w:val="00591B3A"/>
    <w:rsid w:val="005A2F5B"/>
    <w:rsid w:val="005A4DD5"/>
    <w:rsid w:val="005E4E21"/>
    <w:rsid w:val="005F3ABE"/>
    <w:rsid w:val="00622009"/>
    <w:rsid w:val="006425CB"/>
    <w:rsid w:val="00650C4C"/>
    <w:rsid w:val="00654444"/>
    <w:rsid w:val="006645AD"/>
    <w:rsid w:val="00676BE9"/>
    <w:rsid w:val="00687FAD"/>
    <w:rsid w:val="00693439"/>
    <w:rsid w:val="006B31FE"/>
    <w:rsid w:val="006C25D8"/>
    <w:rsid w:val="006D44A0"/>
    <w:rsid w:val="006E0153"/>
    <w:rsid w:val="006F201E"/>
    <w:rsid w:val="00710305"/>
    <w:rsid w:val="00711398"/>
    <w:rsid w:val="0072335C"/>
    <w:rsid w:val="00732777"/>
    <w:rsid w:val="007506A7"/>
    <w:rsid w:val="00751AAF"/>
    <w:rsid w:val="00761C1E"/>
    <w:rsid w:val="00770709"/>
    <w:rsid w:val="00776D76"/>
    <w:rsid w:val="007921CB"/>
    <w:rsid w:val="007B1511"/>
    <w:rsid w:val="007B5DE5"/>
    <w:rsid w:val="007B691A"/>
    <w:rsid w:val="007E2708"/>
    <w:rsid w:val="007E54C1"/>
    <w:rsid w:val="007F28B1"/>
    <w:rsid w:val="007F3923"/>
    <w:rsid w:val="00805FD2"/>
    <w:rsid w:val="00822903"/>
    <w:rsid w:val="00823318"/>
    <w:rsid w:val="00834FD2"/>
    <w:rsid w:val="008800A4"/>
    <w:rsid w:val="00882CAE"/>
    <w:rsid w:val="00886791"/>
    <w:rsid w:val="00890B0B"/>
    <w:rsid w:val="008B27AC"/>
    <w:rsid w:val="008D4AE9"/>
    <w:rsid w:val="008E1498"/>
    <w:rsid w:val="008E15D4"/>
    <w:rsid w:val="008E5FC7"/>
    <w:rsid w:val="00901472"/>
    <w:rsid w:val="009026F9"/>
    <w:rsid w:val="00903FCC"/>
    <w:rsid w:val="0094133F"/>
    <w:rsid w:val="00950AB6"/>
    <w:rsid w:val="009515F3"/>
    <w:rsid w:val="009624E3"/>
    <w:rsid w:val="00965E81"/>
    <w:rsid w:val="00976F53"/>
    <w:rsid w:val="009824ED"/>
    <w:rsid w:val="00986EC9"/>
    <w:rsid w:val="00991DFB"/>
    <w:rsid w:val="009932FC"/>
    <w:rsid w:val="009A60FB"/>
    <w:rsid w:val="009B18A5"/>
    <w:rsid w:val="009B4304"/>
    <w:rsid w:val="009C64AD"/>
    <w:rsid w:val="009D5041"/>
    <w:rsid w:val="009E04DA"/>
    <w:rsid w:val="009E68E4"/>
    <w:rsid w:val="009F43AF"/>
    <w:rsid w:val="00A05283"/>
    <w:rsid w:val="00A21D93"/>
    <w:rsid w:val="00A300E4"/>
    <w:rsid w:val="00A30A57"/>
    <w:rsid w:val="00A35BE2"/>
    <w:rsid w:val="00A42A39"/>
    <w:rsid w:val="00A55E78"/>
    <w:rsid w:val="00A614A1"/>
    <w:rsid w:val="00A72A21"/>
    <w:rsid w:val="00A75F1C"/>
    <w:rsid w:val="00A86A86"/>
    <w:rsid w:val="00A877DD"/>
    <w:rsid w:val="00A90F88"/>
    <w:rsid w:val="00AA451E"/>
    <w:rsid w:val="00AA5EA9"/>
    <w:rsid w:val="00AB185B"/>
    <w:rsid w:val="00AF7AF6"/>
    <w:rsid w:val="00B04307"/>
    <w:rsid w:val="00B06C02"/>
    <w:rsid w:val="00B07752"/>
    <w:rsid w:val="00B12292"/>
    <w:rsid w:val="00B148DA"/>
    <w:rsid w:val="00B21B70"/>
    <w:rsid w:val="00B2394D"/>
    <w:rsid w:val="00B37309"/>
    <w:rsid w:val="00B37EB8"/>
    <w:rsid w:val="00B530E5"/>
    <w:rsid w:val="00B57436"/>
    <w:rsid w:val="00B600CF"/>
    <w:rsid w:val="00B62511"/>
    <w:rsid w:val="00B70DFD"/>
    <w:rsid w:val="00B74257"/>
    <w:rsid w:val="00B76C74"/>
    <w:rsid w:val="00B902D5"/>
    <w:rsid w:val="00B91AB1"/>
    <w:rsid w:val="00B95201"/>
    <w:rsid w:val="00BA3DEF"/>
    <w:rsid w:val="00BC614F"/>
    <w:rsid w:val="00C03C65"/>
    <w:rsid w:val="00C1722A"/>
    <w:rsid w:val="00C37AA1"/>
    <w:rsid w:val="00C53A07"/>
    <w:rsid w:val="00C563EF"/>
    <w:rsid w:val="00C76FA2"/>
    <w:rsid w:val="00C87309"/>
    <w:rsid w:val="00C9026D"/>
    <w:rsid w:val="00C951AD"/>
    <w:rsid w:val="00CA37DF"/>
    <w:rsid w:val="00CA7367"/>
    <w:rsid w:val="00CC2F6C"/>
    <w:rsid w:val="00CC478A"/>
    <w:rsid w:val="00CC719B"/>
    <w:rsid w:val="00CD4260"/>
    <w:rsid w:val="00CE51BE"/>
    <w:rsid w:val="00D00C47"/>
    <w:rsid w:val="00D028CC"/>
    <w:rsid w:val="00D07AE0"/>
    <w:rsid w:val="00D14381"/>
    <w:rsid w:val="00D14FE9"/>
    <w:rsid w:val="00D24667"/>
    <w:rsid w:val="00D536D4"/>
    <w:rsid w:val="00D553EC"/>
    <w:rsid w:val="00D656AF"/>
    <w:rsid w:val="00D765BB"/>
    <w:rsid w:val="00D87C6D"/>
    <w:rsid w:val="00DC640B"/>
    <w:rsid w:val="00DE18E7"/>
    <w:rsid w:val="00DE3B77"/>
    <w:rsid w:val="00DE6CC2"/>
    <w:rsid w:val="00DF4106"/>
    <w:rsid w:val="00E11DF3"/>
    <w:rsid w:val="00E157BB"/>
    <w:rsid w:val="00E33156"/>
    <w:rsid w:val="00E42DFA"/>
    <w:rsid w:val="00E5509D"/>
    <w:rsid w:val="00E57B42"/>
    <w:rsid w:val="00E65E3B"/>
    <w:rsid w:val="00E705DD"/>
    <w:rsid w:val="00E818AE"/>
    <w:rsid w:val="00E86D58"/>
    <w:rsid w:val="00EA396E"/>
    <w:rsid w:val="00EA5330"/>
    <w:rsid w:val="00EA5730"/>
    <w:rsid w:val="00EB1FB2"/>
    <w:rsid w:val="00EB5905"/>
    <w:rsid w:val="00ED3B17"/>
    <w:rsid w:val="00ED69CE"/>
    <w:rsid w:val="00EE5F81"/>
    <w:rsid w:val="00EF5B01"/>
    <w:rsid w:val="00EF7272"/>
    <w:rsid w:val="00F01DB3"/>
    <w:rsid w:val="00F02C90"/>
    <w:rsid w:val="00F23160"/>
    <w:rsid w:val="00F24E4D"/>
    <w:rsid w:val="00F3642A"/>
    <w:rsid w:val="00F438F3"/>
    <w:rsid w:val="00F47578"/>
    <w:rsid w:val="00F57002"/>
    <w:rsid w:val="00F73800"/>
    <w:rsid w:val="00F87F56"/>
    <w:rsid w:val="00FD7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7E7DB"/>
  <w15:chartTrackingRefBased/>
  <w15:docId w15:val="{240804D8-0D62-462A-AD42-24292FFD3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272"/>
  </w:style>
  <w:style w:type="paragraph" w:styleId="Heading1">
    <w:name w:val="heading 1"/>
    <w:basedOn w:val="Normal"/>
    <w:next w:val="Normal"/>
    <w:link w:val="Heading1Char"/>
    <w:uiPriority w:val="9"/>
    <w:qFormat/>
    <w:rsid w:val="00EF72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72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72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72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2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2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2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2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2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2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72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72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72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2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2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2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2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272"/>
    <w:rPr>
      <w:rFonts w:eastAsiaTheme="majorEastAsia" w:cstheme="majorBidi"/>
      <w:color w:val="272727" w:themeColor="text1" w:themeTint="D8"/>
    </w:rPr>
  </w:style>
  <w:style w:type="paragraph" w:styleId="Title">
    <w:name w:val="Title"/>
    <w:basedOn w:val="Normal"/>
    <w:next w:val="Normal"/>
    <w:link w:val="TitleChar"/>
    <w:uiPriority w:val="10"/>
    <w:qFormat/>
    <w:rsid w:val="00EF72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2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2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2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272"/>
    <w:pPr>
      <w:spacing w:before="160"/>
      <w:jc w:val="center"/>
    </w:pPr>
    <w:rPr>
      <w:i/>
      <w:iCs/>
      <w:color w:val="404040" w:themeColor="text1" w:themeTint="BF"/>
    </w:rPr>
  </w:style>
  <w:style w:type="character" w:customStyle="1" w:styleId="QuoteChar">
    <w:name w:val="Quote Char"/>
    <w:basedOn w:val="DefaultParagraphFont"/>
    <w:link w:val="Quote"/>
    <w:uiPriority w:val="29"/>
    <w:rsid w:val="00EF7272"/>
    <w:rPr>
      <w:i/>
      <w:iCs/>
      <w:color w:val="404040" w:themeColor="text1" w:themeTint="BF"/>
    </w:rPr>
  </w:style>
  <w:style w:type="paragraph" w:styleId="ListParagraph">
    <w:name w:val="List Paragraph"/>
    <w:basedOn w:val="Normal"/>
    <w:uiPriority w:val="34"/>
    <w:qFormat/>
    <w:rsid w:val="00EF7272"/>
    <w:pPr>
      <w:ind w:left="720"/>
      <w:contextualSpacing/>
    </w:pPr>
  </w:style>
  <w:style w:type="character" w:styleId="IntenseEmphasis">
    <w:name w:val="Intense Emphasis"/>
    <w:basedOn w:val="DefaultParagraphFont"/>
    <w:uiPriority w:val="21"/>
    <w:qFormat/>
    <w:rsid w:val="00EF7272"/>
    <w:rPr>
      <w:i/>
      <w:iCs/>
      <w:color w:val="0F4761" w:themeColor="accent1" w:themeShade="BF"/>
    </w:rPr>
  </w:style>
  <w:style w:type="paragraph" w:styleId="IntenseQuote">
    <w:name w:val="Intense Quote"/>
    <w:basedOn w:val="Normal"/>
    <w:next w:val="Normal"/>
    <w:link w:val="IntenseQuoteChar"/>
    <w:uiPriority w:val="30"/>
    <w:qFormat/>
    <w:rsid w:val="00EF72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272"/>
    <w:rPr>
      <w:i/>
      <w:iCs/>
      <w:color w:val="0F4761" w:themeColor="accent1" w:themeShade="BF"/>
    </w:rPr>
  </w:style>
  <w:style w:type="character" w:styleId="IntenseReference">
    <w:name w:val="Intense Reference"/>
    <w:basedOn w:val="DefaultParagraphFont"/>
    <w:uiPriority w:val="32"/>
    <w:qFormat/>
    <w:rsid w:val="00EF7272"/>
    <w:rPr>
      <w:b/>
      <w:bCs/>
      <w:smallCaps/>
      <w:color w:val="0F4761" w:themeColor="accent1" w:themeShade="BF"/>
      <w:spacing w:val="5"/>
    </w:rPr>
  </w:style>
  <w:style w:type="character" w:styleId="Hyperlink">
    <w:name w:val="Hyperlink"/>
    <w:basedOn w:val="DefaultParagraphFont"/>
    <w:uiPriority w:val="99"/>
    <w:unhideWhenUsed/>
    <w:rsid w:val="00EF7272"/>
    <w:rPr>
      <w:color w:val="0563C1"/>
      <w:u w:val="single"/>
    </w:rPr>
  </w:style>
  <w:style w:type="paragraph" w:styleId="NormalWeb">
    <w:name w:val="Normal (Web)"/>
    <w:basedOn w:val="Normal"/>
    <w:uiPriority w:val="99"/>
    <w:unhideWhenUsed/>
    <w:rsid w:val="00EF727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table" w:customStyle="1" w:styleId="TableGrid">
    <w:name w:val="TableGrid"/>
    <w:rsid w:val="00C53A07"/>
    <w:pPr>
      <w:spacing w:after="0" w:line="240" w:lineRule="auto"/>
    </w:pPr>
    <w:rPr>
      <w:rFonts w:eastAsiaTheme="minorEastAsia"/>
      <w:kern w:val="0"/>
      <w:sz w:val="24"/>
      <w:szCs w:val="24"/>
      <w:lang w:eastAsia="en-GB"/>
      <w14:ligatures w14:val="none"/>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C87309"/>
    <w:rPr>
      <w:color w:val="605E5C"/>
      <w:shd w:val="clear" w:color="auto" w:fill="E1DFDD"/>
    </w:rPr>
  </w:style>
  <w:style w:type="character" w:styleId="FollowedHyperlink">
    <w:name w:val="FollowedHyperlink"/>
    <w:basedOn w:val="DefaultParagraphFont"/>
    <w:uiPriority w:val="99"/>
    <w:semiHidden/>
    <w:unhideWhenUsed/>
    <w:rsid w:val="003D1D9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695595">
      <w:bodyDiv w:val="1"/>
      <w:marLeft w:val="0"/>
      <w:marRight w:val="0"/>
      <w:marTop w:val="0"/>
      <w:marBottom w:val="0"/>
      <w:divBdr>
        <w:top w:val="none" w:sz="0" w:space="0" w:color="auto"/>
        <w:left w:val="none" w:sz="0" w:space="0" w:color="auto"/>
        <w:bottom w:val="none" w:sz="0" w:space="0" w:color="auto"/>
        <w:right w:val="none" w:sz="0" w:space="0" w:color="auto"/>
      </w:divBdr>
      <w:divsChild>
        <w:div w:id="809401740">
          <w:marLeft w:val="0"/>
          <w:marRight w:val="0"/>
          <w:marTop w:val="0"/>
          <w:marBottom w:val="0"/>
          <w:divBdr>
            <w:top w:val="none" w:sz="0" w:space="0" w:color="auto"/>
            <w:left w:val="none" w:sz="0" w:space="0" w:color="auto"/>
            <w:bottom w:val="none" w:sz="0" w:space="0" w:color="auto"/>
            <w:right w:val="none" w:sz="0" w:space="0" w:color="auto"/>
          </w:divBdr>
          <w:divsChild>
            <w:div w:id="43216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94310">
      <w:bodyDiv w:val="1"/>
      <w:marLeft w:val="0"/>
      <w:marRight w:val="0"/>
      <w:marTop w:val="0"/>
      <w:marBottom w:val="0"/>
      <w:divBdr>
        <w:top w:val="none" w:sz="0" w:space="0" w:color="auto"/>
        <w:left w:val="none" w:sz="0" w:space="0" w:color="auto"/>
        <w:bottom w:val="none" w:sz="0" w:space="0" w:color="auto"/>
        <w:right w:val="none" w:sz="0" w:space="0" w:color="auto"/>
      </w:divBdr>
    </w:div>
    <w:div w:id="786582058">
      <w:bodyDiv w:val="1"/>
      <w:marLeft w:val="0"/>
      <w:marRight w:val="0"/>
      <w:marTop w:val="0"/>
      <w:marBottom w:val="0"/>
      <w:divBdr>
        <w:top w:val="none" w:sz="0" w:space="0" w:color="auto"/>
        <w:left w:val="none" w:sz="0" w:space="0" w:color="auto"/>
        <w:bottom w:val="none" w:sz="0" w:space="0" w:color="auto"/>
        <w:right w:val="none" w:sz="0" w:space="0" w:color="auto"/>
      </w:divBdr>
    </w:div>
    <w:div w:id="878783961">
      <w:bodyDiv w:val="1"/>
      <w:marLeft w:val="0"/>
      <w:marRight w:val="0"/>
      <w:marTop w:val="0"/>
      <w:marBottom w:val="0"/>
      <w:divBdr>
        <w:top w:val="none" w:sz="0" w:space="0" w:color="auto"/>
        <w:left w:val="none" w:sz="0" w:space="0" w:color="auto"/>
        <w:bottom w:val="none" w:sz="0" w:space="0" w:color="auto"/>
        <w:right w:val="none" w:sz="0" w:space="0" w:color="auto"/>
      </w:divBdr>
    </w:div>
    <w:div w:id="903100591">
      <w:bodyDiv w:val="1"/>
      <w:marLeft w:val="0"/>
      <w:marRight w:val="0"/>
      <w:marTop w:val="0"/>
      <w:marBottom w:val="0"/>
      <w:divBdr>
        <w:top w:val="none" w:sz="0" w:space="0" w:color="auto"/>
        <w:left w:val="none" w:sz="0" w:space="0" w:color="auto"/>
        <w:bottom w:val="none" w:sz="0" w:space="0" w:color="auto"/>
        <w:right w:val="none" w:sz="0" w:space="0" w:color="auto"/>
      </w:divBdr>
      <w:divsChild>
        <w:div w:id="1764180774">
          <w:marLeft w:val="0"/>
          <w:marRight w:val="0"/>
          <w:marTop w:val="0"/>
          <w:marBottom w:val="0"/>
          <w:divBdr>
            <w:top w:val="none" w:sz="0" w:space="0" w:color="auto"/>
            <w:left w:val="none" w:sz="0" w:space="0" w:color="auto"/>
            <w:bottom w:val="none" w:sz="0" w:space="0" w:color="auto"/>
            <w:right w:val="none" w:sz="0" w:space="0" w:color="auto"/>
          </w:divBdr>
          <w:divsChild>
            <w:div w:id="2263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064917">
      <w:bodyDiv w:val="1"/>
      <w:marLeft w:val="0"/>
      <w:marRight w:val="0"/>
      <w:marTop w:val="0"/>
      <w:marBottom w:val="0"/>
      <w:divBdr>
        <w:top w:val="none" w:sz="0" w:space="0" w:color="auto"/>
        <w:left w:val="none" w:sz="0" w:space="0" w:color="auto"/>
        <w:bottom w:val="none" w:sz="0" w:space="0" w:color="auto"/>
        <w:right w:val="none" w:sz="0" w:space="0" w:color="auto"/>
      </w:divBdr>
    </w:div>
    <w:div w:id="194414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4.xml"/><Relationship Id="rId18" Type="http://schemas.openxmlformats.org/officeDocument/2006/relationships/hyperlink" Target="https://www.cipd.org/uk/knowledge/factsheets/evidence-based-practice-factsheet/" TargetMode="External"/><Relationship Id="rId3" Type="http://schemas.openxmlformats.org/officeDocument/2006/relationships/settings" Target="settings.xml"/><Relationship Id="rId21" Type="http://schemas.openxmlformats.org/officeDocument/2006/relationships/hyperlink" Target="https://www.acas.org.uk/what-disability-means-by-law" TargetMode="External"/><Relationship Id="rId7" Type="http://schemas.openxmlformats.org/officeDocument/2006/relationships/chart" Target="charts/chart1.xml"/><Relationship Id="rId12" Type="http://schemas.openxmlformats.org/officeDocument/2006/relationships/hyperlink" Target="https://www.acas.org.uk/what-disability-means-by-law" TargetMode="External"/><Relationship Id="rId17" Type="http://schemas.openxmlformats.org/officeDocument/2006/relationships/hyperlink" Target="https://www.cipd.org/uk/membership/professional-standards/code-of-conduct/" TargetMode="External"/><Relationship Id="rId2" Type="http://schemas.openxmlformats.org/officeDocument/2006/relationships/styles" Target="styles.xml"/><Relationship Id="rId16" Type="http://schemas.openxmlformats.org/officeDocument/2006/relationships/hyperlink" Target="https://www.cipd.org/uk/knowledge/factsheets/pestle-analysis-factsheet/" TargetMode="External"/><Relationship Id="rId20" Type="http://schemas.openxmlformats.org/officeDocument/2006/relationships/hyperlink" Target="https://en.wikipedia.org/wiki/Equity_theory" TargetMode="External"/><Relationship Id="rId1" Type="http://schemas.openxmlformats.org/officeDocument/2006/relationships/numbering" Target="numbering.xml"/><Relationship Id="rId6" Type="http://schemas.openxmlformats.org/officeDocument/2006/relationships/hyperlink" Target="http://www.britishscienceassosication.org" TargetMode="External"/><Relationship Id="rId11" Type="http://schemas.openxmlformats.org/officeDocument/2006/relationships/chart" Target="charts/chart3.xml"/><Relationship Id="rId5" Type="http://schemas.openxmlformats.org/officeDocument/2006/relationships/hyperlink" Target="http://www.ikea.com/in/en" TargetMode="External"/><Relationship Id="rId15" Type="http://schemas.openxmlformats.org/officeDocument/2006/relationships/hyperlink" Target="https://www.ikea.com/in/en/this-is-ikea/work-with-us/diversity-and-inclusion-pub3d25e8e8" TargetMode="External"/><Relationship Id="rId23" Type="http://schemas.openxmlformats.org/officeDocument/2006/relationships/theme" Target="theme/theme1.xml"/><Relationship Id="rId10" Type="http://schemas.openxmlformats.org/officeDocument/2006/relationships/hyperlink" Target="http://www.ethcnicjobsite.co.uk" TargetMode="External"/><Relationship Id="rId19" Type="http://schemas.openxmlformats.org/officeDocument/2006/relationships/hyperlink" Target="https://hbr.org/1973/05/how-to-choose-a-leadership-pattern" TargetMode="External"/><Relationship Id="rId4" Type="http://schemas.openxmlformats.org/officeDocument/2006/relationships/webSettings" Target="webSettings.xml"/><Relationship Id="rId9" Type="http://schemas.openxmlformats.org/officeDocument/2006/relationships/hyperlink" Target="http://www.BMEjobs.co.uk" TargetMode="External"/><Relationship Id="rId14" Type="http://schemas.openxmlformats.org/officeDocument/2006/relationships/hyperlink" Target="https://www.cipd.org/uk/knowledge/factsheets/evidence-based-practice-factsheet/"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ikeg\AppData\Roaming\Microsoft\Excel\Worksheet%20table%201%20Evidence%20Based%20Practice%202023%20(1)%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ikeg\AppData\Roaming\Microsoft\Excel\Worksheet%20table%201%20Evidence%20Based%20Practice%202023%20(1)%20(version%201)%20(version%202).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ikeg\AppData\Roaming\Microsoft\Excel\Worksheet%20table%201%20Evidence%20Based%20Practice%202023%20(1)%20(version%201).xlsb"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1000"/>
              <a:t>Percentage of each Gender Type</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Sheet1!$B$3</c:f>
              <c:strCache>
                <c:ptCount val="1"/>
                <c:pt idx="0">
                  <c:v>Total</c:v>
                </c:pt>
              </c:strCache>
            </c:strRef>
          </c:tx>
          <c:dLbls>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Sheet1!$A$4:$A$6</c:f>
              <c:strCache>
                <c:ptCount val="3"/>
                <c:pt idx="0">
                  <c:v>Male</c:v>
                </c:pt>
                <c:pt idx="1">
                  <c:v>Female</c:v>
                </c:pt>
                <c:pt idx="2">
                  <c:v>Non-Binary</c:v>
                </c:pt>
              </c:strCache>
            </c:strRef>
          </c:cat>
          <c:val>
            <c:numRef>
              <c:f>Sheet1!$B$4:$B$6</c:f>
            </c:numRef>
          </c:val>
          <c:extLst>
            <c:ext xmlns:c16="http://schemas.microsoft.com/office/drawing/2014/chart" uri="{C3380CC4-5D6E-409C-BE32-E72D297353CC}">
              <c16:uniqueId val="{00000000-D9A1-4BD7-9E90-BE47F646A340}"/>
            </c:ext>
          </c:extLst>
        </c:ser>
        <c:ser>
          <c:idx val="1"/>
          <c:order val="1"/>
          <c:tx>
            <c:strRef>
              <c:f>Sheet1!$C$3</c:f>
              <c:strCache>
                <c:ptCount val="1"/>
                <c:pt idx="0">
                  <c:v>Percentage</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D9A1-4BD7-9E90-BE47F646A340}"/>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D9A1-4BD7-9E90-BE47F646A340}"/>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D9A1-4BD7-9E90-BE47F646A34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D9A1-4BD7-9E90-BE47F646A34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D9A1-4BD7-9E90-BE47F646A340}"/>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93427E71-68A2-4F2D-BEF8-69068C4ED71A}" type="CATEGORYNAME">
                      <a:rPr lang="en-US"/>
                      <a:pPr>
                        <a:defRPr>
                          <a:solidFill>
                            <a:schemeClr val="accent1"/>
                          </a:solidFill>
                        </a:defRPr>
                      </a:pPr>
                      <a:t>[CATEGORY NAME]</a:t>
                    </a:fld>
                    <a:r>
                      <a:rPr lang="en-US" baseline="0"/>
                      <a:t> </a:t>
                    </a:r>
                    <a:fld id="{89A3FD9C-AF72-4382-A680-79953DF5AB08}" type="PERCENTAGE">
                      <a:rPr lang="en-US" baseline="0"/>
                      <a:pPr>
                        <a:defRPr>
                          <a:solidFill>
                            <a:schemeClr val="accent1"/>
                          </a:solidFill>
                        </a:defRPr>
                      </a:pPr>
                      <a:t>[PERCENTAGE]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layout>
                    <c:manualLayout>
                      <c:w val="0.32137103429447206"/>
                      <c:h val="0.14796221322537112"/>
                    </c:manualLayout>
                  </c15:layout>
                  <c15:dlblFieldTable/>
                  <c15:showDataLabelsRange val="0"/>
                </c:ext>
                <c:ext xmlns:c16="http://schemas.microsoft.com/office/drawing/2014/chart" uri="{C3380CC4-5D6E-409C-BE32-E72D297353CC}">
                  <c16:uniqueId val="{00000006-D9A1-4BD7-9E90-BE47F646A34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Sheet1!$A$4:$A$6</c:f>
              <c:strCache>
                <c:ptCount val="3"/>
                <c:pt idx="0">
                  <c:v>Male</c:v>
                </c:pt>
                <c:pt idx="1">
                  <c:v>Female</c:v>
                </c:pt>
                <c:pt idx="2">
                  <c:v>Non-Binary</c:v>
                </c:pt>
              </c:strCache>
            </c:strRef>
          </c:cat>
          <c:val>
            <c:numRef>
              <c:f>Sheet1!$C$4:$C$6</c:f>
              <c:numCache>
                <c:formatCode>0.00%</c:formatCode>
                <c:ptCount val="3"/>
                <c:pt idx="0">
                  <c:v>0.53846153846153844</c:v>
                </c:pt>
                <c:pt idx="1">
                  <c:v>0.45384615384615384</c:v>
                </c:pt>
                <c:pt idx="2">
                  <c:v>7.6923076923076927E-3</c:v>
                </c:pt>
              </c:numCache>
            </c:numRef>
          </c:val>
          <c:extLst>
            <c:ext xmlns:c16="http://schemas.microsoft.com/office/drawing/2014/chart" uri="{C3380CC4-5D6E-409C-BE32-E72D297353CC}">
              <c16:uniqueId val="{00000007-D9A1-4BD7-9E90-BE47F646A340}"/>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(1) (version 1) (version 2).xlsb]Sheet3!PivotTable1</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stacked"/>
        <c:varyColors val="0"/>
        <c:ser>
          <c:idx val="0"/>
          <c:order val="0"/>
          <c:tx>
            <c:strRef>
              <c:f>Sheet3!$B$3:$B$4</c:f>
              <c:strCache>
                <c:ptCount val="1"/>
                <c:pt idx="0">
                  <c:v>Asian - Bangladesh</c:v>
                </c:pt>
              </c:strCache>
            </c:strRef>
          </c:tx>
          <c:spPr>
            <a:solidFill>
              <a:schemeClr val="accent1"/>
            </a:solidFill>
            <a:ln>
              <a:noFill/>
            </a:ln>
            <a:effectLst/>
          </c:spPr>
          <c:invertIfNegative val="0"/>
          <c:cat>
            <c:strRef>
              <c:f>Sheet3!$A$5:$A$23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Sheet3!$B$5:$B$23</c:f>
              <c:numCache>
                <c:formatCode>0.00%</c:formatCode>
                <c:ptCount val="18"/>
                <c:pt idx="0">
                  <c:v>0</c:v>
                </c:pt>
                <c:pt idx="1">
                  <c:v>0</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3361-4E16-8287-91E679DCAC44}"/>
            </c:ext>
          </c:extLst>
        </c:ser>
        <c:ser>
          <c:idx val="1"/>
          <c:order val="1"/>
          <c:tx>
            <c:strRef>
              <c:f>Sheet3!$C$3:$C$4</c:f>
              <c:strCache>
                <c:ptCount val="1"/>
                <c:pt idx="0">
                  <c:v>Black - Other</c:v>
                </c:pt>
              </c:strCache>
            </c:strRef>
          </c:tx>
          <c:spPr>
            <a:solidFill>
              <a:schemeClr val="accent2"/>
            </a:solidFill>
            <a:ln>
              <a:noFill/>
            </a:ln>
            <a:effectLst/>
          </c:spPr>
          <c:invertIfNegative val="0"/>
          <c:cat>
            <c:strRef>
              <c:f>Sheet3!$A$5:$A$23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Sheet3!$C$5:$C$23</c:f>
              <c:numCache>
                <c:formatCode>0.00%</c:formatCode>
                <c:ptCount val="18"/>
                <c:pt idx="0">
                  <c:v>0</c:v>
                </c:pt>
                <c:pt idx="1">
                  <c:v>0</c:v>
                </c:pt>
                <c:pt idx="2">
                  <c:v>0</c:v>
                </c:pt>
                <c:pt idx="3">
                  <c:v>0</c:v>
                </c:pt>
                <c:pt idx="4">
                  <c:v>0</c:v>
                </c:pt>
                <c:pt idx="5">
                  <c:v>0.1</c:v>
                </c:pt>
                <c:pt idx="6">
                  <c:v>0</c:v>
                </c:pt>
                <c:pt idx="7">
                  <c:v>0</c:v>
                </c:pt>
                <c:pt idx="8">
                  <c:v>0</c:v>
                </c:pt>
                <c:pt idx="9">
                  <c:v>0</c:v>
                </c:pt>
                <c:pt idx="10">
                  <c:v>0.1111111111111111</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3361-4E16-8287-91E679DCAC44}"/>
            </c:ext>
          </c:extLst>
        </c:ser>
        <c:ser>
          <c:idx val="2"/>
          <c:order val="2"/>
          <c:tx>
            <c:strRef>
              <c:f>Sheet3!$D$3:$D$4</c:f>
              <c:strCache>
                <c:ptCount val="1"/>
                <c:pt idx="0">
                  <c:v>Chinese</c:v>
                </c:pt>
              </c:strCache>
            </c:strRef>
          </c:tx>
          <c:spPr>
            <a:solidFill>
              <a:schemeClr val="accent3"/>
            </a:solidFill>
            <a:ln>
              <a:noFill/>
            </a:ln>
            <a:effectLst/>
          </c:spPr>
          <c:invertIfNegative val="0"/>
          <c:cat>
            <c:strRef>
              <c:f>Sheet3!$A$5:$A$23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Sheet3!$D$5:$D$23</c:f>
              <c:numCache>
                <c:formatCode>0.00%</c:formatCode>
                <c:ptCount val="18"/>
                <c:pt idx="0">
                  <c:v>0</c:v>
                </c:pt>
                <c:pt idx="1">
                  <c:v>0</c:v>
                </c:pt>
                <c:pt idx="2">
                  <c:v>6.6666666666666666E-2</c:v>
                </c:pt>
                <c:pt idx="3">
                  <c:v>0</c:v>
                </c:pt>
                <c:pt idx="4">
                  <c:v>0</c:v>
                </c:pt>
                <c:pt idx="5">
                  <c:v>0</c:v>
                </c:pt>
                <c:pt idx="6">
                  <c:v>0</c:v>
                </c:pt>
                <c:pt idx="7">
                  <c:v>0</c:v>
                </c:pt>
                <c:pt idx="8">
                  <c:v>0</c:v>
                </c:pt>
                <c:pt idx="9">
                  <c:v>0</c:v>
                </c:pt>
                <c:pt idx="10">
                  <c:v>0</c:v>
                </c:pt>
                <c:pt idx="11">
                  <c:v>0</c:v>
                </c:pt>
                <c:pt idx="12">
                  <c:v>0</c:v>
                </c:pt>
                <c:pt idx="13">
                  <c:v>9.0909090909090912E-2</c:v>
                </c:pt>
                <c:pt idx="14">
                  <c:v>0</c:v>
                </c:pt>
                <c:pt idx="15">
                  <c:v>0</c:v>
                </c:pt>
                <c:pt idx="16">
                  <c:v>0</c:v>
                </c:pt>
                <c:pt idx="17">
                  <c:v>0</c:v>
                </c:pt>
              </c:numCache>
            </c:numRef>
          </c:val>
          <c:extLst>
            <c:ext xmlns:c16="http://schemas.microsoft.com/office/drawing/2014/chart" uri="{C3380CC4-5D6E-409C-BE32-E72D297353CC}">
              <c16:uniqueId val="{00000002-3361-4E16-8287-91E679DCAC44}"/>
            </c:ext>
          </c:extLst>
        </c:ser>
        <c:ser>
          <c:idx val="3"/>
          <c:order val="3"/>
          <c:tx>
            <c:strRef>
              <c:f>Sheet3!$E$3:$E$4</c:f>
              <c:strCache>
                <c:ptCount val="1"/>
                <c:pt idx="0">
                  <c:v>Indian</c:v>
                </c:pt>
              </c:strCache>
            </c:strRef>
          </c:tx>
          <c:spPr>
            <a:solidFill>
              <a:schemeClr val="accent4"/>
            </a:solidFill>
            <a:ln>
              <a:noFill/>
            </a:ln>
            <a:effectLst/>
          </c:spPr>
          <c:invertIfNegative val="0"/>
          <c:cat>
            <c:strRef>
              <c:f>Sheet3!$A$5:$A$23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Sheet3!$E$5:$E$23</c:f>
              <c:numCache>
                <c:formatCode>0.00%</c:formatCode>
                <c:ptCount val="18"/>
                <c:pt idx="0">
                  <c:v>0</c:v>
                </c:pt>
                <c:pt idx="1">
                  <c:v>0.14285714285714285</c:v>
                </c:pt>
                <c:pt idx="2">
                  <c:v>0</c:v>
                </c:pt>
                <c:pt idx="3">
                  <c:v>0.2</c:v>
                </c:pt>
                <c:pt idx="4">
                  <c:v>0</c:v>
                </c:pt>
                <c:pt idx="5">
                  <c:v>0.1</c:v>
                </c:pt>
                <c:pt idx="6">
                  <c:v>0.33333333333333331</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3361-4E16-8287-91E679DCAC44}"/>
            </c:ext>
          </c:extLst>
        </c:ser>
        <c:ser>
          <c:idx val="4"/>
          <c:order val="4"/>
          <c:tx>
            <c:strRef>
              <c:f>Sheet3!$F$3:$F$4</c:f>
              <c:strCache>
                <c:ptCount val="1"/>
                <c:pt idx="0">
                  <c:v>Mixed - Other</c:v>
                </c:pt>
              </c:strCache>
            </c:strRef>
          </c:tx>
          <c:spPr>
            <a:solidFill>
              <a:schemeClr val="accent5"/>
            </a:solidFill>
            <a:ln>
              <a:noFill/>
            </a:ln>
            <a:effectLst/>
          </c:spPr>
          <c:invertIfNegative val="0"/>
          <c:cat>
            <c:strRef>
              <c:f>Sheet3!$A$5:$A$23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Sheet3!$F$5:$F$23</c:f>
              <c:numCache>
                <c:formatCode>0.00%</c:formatCode>
                <c:ptCount val="18"/>
                <c:pt idx="0">
                  <c:v>0</c:v>
                </c:pt>
                <c:pt idx="1">
                  <c:v>0.14285714285714285</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3361-4E16-8287-91E679DCAC44}"/>
            </c:ext>
          </c:extLst>
        </c:ser>
        <c:ser>
          <c:idx val="5"/>
          <c:order val="5"/>
          <c:tx>
            <c:strRef>
              <c:f>Sheet3!$G$3:$G$4</c:f>
              <c:strCache>
                <c:ptCount val="1"/>
                <c:pt idx="0">
                  <c:v>Pakistani</c:v>
                </c:pt>
              </c:strCache>
            </c:strRef>
          </c:tx>
          <c:spPr>
            <a:solidFill>
              <a:schemeClr val="accent6"/>
            </a:solidFill>
            <a:ln>
              <a:noFill/>
            </a:ln>
            <a:effectLst/>
          </c:spPr>
          <c:invertIfNegative val="0"/>
          <c:cat>
            <c:strRef>
              <c:f>Sheet3!$A$5:$A$23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Sheet3!$G$5:$G$23</c:f>
              <c:numCache>
                <c:formatCode>0.00%</c:formatCode>
                <c:ptCount val="18"/>
                <c:pt idx="0">
                  <c:v>0</c:v>
                </c:pt>
                <c:pt idx="1">
                  <c:v>0</c:v>
                </c:pt>
                <c:pt idx="2">
                  <c:v>0.13333333333333333</c:v>
                </c:pt>
                <c:pt idx="3">
                  <c:v>0</c:v>
                </c:pt>
                <c:pt idx="4">
                  <c:v>0</c:v>
                </c:pt>
                <c:pt idx="5">
                  <c:v>0</c:v>
                </c:pt>
                <c:pt idx="6">
                  <c:v>0</c:v>
                </c:pt>
                <c:pt idx="7">
                  <c:v>0</c:v>
                </c:pt>
                <c:pt idx="8">
                  <c:v>0</c:v>
                </c:pt>
                <c:pt idx="9">
                  <c:v>0</c:v>
                </c:pt>
                <c:pt idx="10">
                  <c:v>0</c:v>
                </c:pt>
                <c:pt idx="11">
                  <c:v>0</c:v>
                </c:pt>
                <c:pt idx="12">
                  <c:v>0</c:v>
                </c:pt>
                <c:pt idx="13">
                  <c:v>0</c:v>
                </c:pt>
                <c:pt idx="14">
                  <c:v>1.0101010101010102E-2</c:v>
                </c:pt>
                <c:pt idx="15">
                  <c:v>0</c:v>
                </c:pt>
                <c:pt idx="16">
                  <c:v>0</c:v>
                </c:pt>
                <c:pt idx="17">
                  <c:v>0</c:v>
                </c:pt>
              </c:numCache>
            </c:numRef>
          </c:val>
          <c:extLst>
            <c:ext xmlns:c16="http://schemas.microsoft.com/office/drawing/2014/chart" uri="{C3380CC4-5D6E-409C-BE32-E72D297353CC}">
              <c16:uniqueId val="{00000005-3361-4E16-8287-91E679DCAC44}"/>
            </c:ext>
          </c:extLst>
        </c:ser>
        <c:ser>
          <c:idx val="6"/>
          <c:order val="6"/>
          <c:tx>
            <c:strRef>
              <c:f>Sheet3!$H$3:$H$4</c:f>
              <c:strCache>
                <c:ptCount val="1"/>
                <c:pt idx="0">
                  <c:v>White and Black Caribbean</c:v>
                </c:pt>
              </c:strCache>
            </c:strRef>
          </c:tx>
          <c:spPr>
            <a:solidFill>
              <a:schemeClr val="accent1">
                <a:lumMod val="60000"/>
              </a:schemeClr>
            </a:solidFill>
            <a:ln>
              <a:noFill/>
            </a:ln>
            <a:effectLst/>
          </c:spPr>
          <c:invertIfNegative val="0"/>
          <c:cat>
            <c:strRef>
              <c:f>Sheet3!$A$5:$A$23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Sheet3!$H$5:$H$23</c:f>
              <c:numCache>
                <c:formatCode>0.00%</c:formatCode>
                <c:ptCount val="18"/>
                <c:pt idx="0">
                  <c:v>0</c:v>
                </c:pt>
                <c:pt idx="1">
                  <c:v>0.14285714285714285</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9.0909090909090912E-2</c:v>
                </c:pt>
                <c:pt idx="17">
                  <c:v>0</c:v>
                </c:pt>
              </c:numCache>
            </c:numRef>
          </c:val>
          <c:extLst>
            <c:ext xmlns:c16="http://schemas.microsoft.com/office/drawing/2014/chart" uri="{C3380CC4-5D6E-409C-BE32-E72D297353CC}">
              <c16:uniqueId val="{00000006-3361-4E16-8287-91E679DCAC44}"/>
            </c:ext>
          </c:extLst>
        </c:ser>
        <c:ser>
          <c:idx val="7"/>
          <c:order val="7"/>
          <c:tx>
            <c:strRef>
              <c:f>Sheet3!$I$3:$I$4</c:f>
              <c:strCache>
                <c:ptCount val="1"/>
                <c:pt idx="0">
                  <c:v>White British</c:v>
                </c:pt>
              </c:strCache>
            </c:strRef>
          </c:tx>
          <c:spPr>
            <a:solidFill>
              <a:schemeClr val="accent2">
                <a:lumMod val="60000"/>
              </a:schemeClr>
            </a:solidFill>
            <a:ln>
              <a:noFill/>
            </a:ln>
            <a:effectLst/>
          </c:spPr>
          <c:invertIfNegative val="0"/>
          <c:cat>
            <c:strRef>
              <c:f>Sheet3!$A$5:$A$23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Sheet3!$I$5:$I$23</c:f>
              <c:numCache>
                <c:formatCode>0.00%</c:formatCode>
                <c:ptCount val="18"/>
                <c:pt idx="0">
                  <c:v>0.77777777777777779</c:v>
                </c:pt>
                <c:pt idx="1">
                  <c:v>0.5714285714285714</c:v>
                </c:pt>
                <c:pt idx="2">
                  <c:v>0.8</c:v>
                </c:pt>
                <c:pt idx="3">
                  <c:v>0.8</c:v>
                </c:pt>
                <c:pt idx="4">
                  <c:v>1</c:v>
                </c:pt>
                <c:pt idx="5">
                  <c:v>0.8</c:v>
                </c:pt>
                <c:pt idx="6">
                  <c:v>0.66666666666666663</c:v>
                </c:pt>
                <c:pt idx="7">
                  <c:v>0.91666666666666663</c:v>
                </c:pt>
                <c:pt idx="8">
                  <c:v>0.88888888888888884</c:v>
                </c:pt>
                <c:pt idx="9">
                  <c:v>0.89473684210526316</c:v>
                </c:pt>
                <c:pt idx="10">
                  <c:v>0.88888888888888884</c:v>
                </c:pt>
                <c:pt idx="11">
                  <c:v>1</c:v>
                </c:pt>
                <c:pt idx="12">
                  <c:v>1</c:v>
                </c:pt>
                <c:pt idx="13">
                  <c:v>0.90909090909090906</c:v>
                </c:pt>
                <c:pt idx="14">
                  <c:v>0.98989898989898994</c:v>
                </c:pt>
                <c:pt idx="15">
                  <c:v>1</c:v>
                </c:pt>
                <c:pt idx="16">
                  <c:v>0.90909090909090906</c:v>
                </c:pt>
                <c:pt idx="17">
                  <c:v>0.81818181818181823</c:v>
                </c:pt>
              </c:numCache>
            </c:numRef>
          </c:val>
          <c:extLst>
            <c:ext xmlns:c16="http://schemas.microsoft.com/office/drawing/2014/chart" uri="{C3380CC4-5D6E-409C-BE32-E72D297353CC}">
              <c16:uniqueId val="{00000007-3361-4E16-8287-91E679DCAC44}"/>
            </c:ext>
          </c:extLst>
        </c:ser>
        <c:ser>
          <c:idx val="8"/>
          <c:order val="8"/>
          <c:tx>
            <c:strRef>
              <c:f>Sheet3!$J$3:$J$4</c:f>
              <c:strCache>
                <c:ptCount val="1"/>
                <c:pt idx="0">
                  <c:v>White Irish</c:v>
                </c:pt>
              </c:strCache>
            </c:strRef>
          </c:tx>
          <c:spPr>
            <a:solidFill>
              <a:schemeClr val="accent3">
                <a:lumMod val="60000"/>
              </a:schemeClr>
            </a:solidFill>
            <a:ln>
              <a:noFill/>
            </a:ln>
            <a:effectLst/>
          </c:spPr>
          <c:invertIfNegative val="0"/>
          <c:cat>
            <c:strRef>
              <c:f>Sheet3!$A$5:$A$23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Sheet3!$J$5:$J$23</c:f>
              <c:numCache>
                <c:formatCode>0.00%</c:formatCode>
                <c:ptCount val="18"/>
                <c:pt idx="0">
                  <c:v>0.1111111111111111</c:v>
                </c:pt>
                <c:pt idx="1">
                  <c:v>0</c:v>
                </c:pt>
                <c:pt idx="2">
                  <c:v>0</c:v>
                </c:pt>
                <c:pt idx="3">
                  <c:v>0</c:v>
                </c:pt>
                <c:pt idx="4">
                  <c:v>0</c:v>
                </c:pt>
                <c:pt idx="5">
                  <c:v>0</c:v>
                </c:pt>
                <c:pt idx="6">
                  <c:v>0</c:v>
                </c:pt>
                <c:pt idx="7">
                  <c:v>0</c:v>
                </c:pt>
                <c:pt idx="8">
                  <c:v>0</c:v>
                </c:pt>
                <c:pt idx="9">
                  <c:v>5.2631578947368418E-2</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3361-4E16-8287-91E679DCAC44}"/>
            </c:ext>
          </c:extLst>
        </c:ser>
        <c:ser>
          <c:idx val="9"/>
          <c:order val="9"/>
          <c:tx>
            <c:strRef>
              <c:f>Sheet3!$K$3:$K$4</c:f>
              <c:strCache>
                <c:ptCount val="1"/>
                <c:pt idx="0">
                  <c:v>White Other</c:v>
                </c:pt>
              </c:strCache>
            </c:strRef>
          </c:tx>
          <c:spPr>
            <a:solidFill>
              <a:schemeClr val="accent4">
                <a:lumMod val="60000"/>
              </a:schemeClr>
            </a:solidFill>
            <a:ln>
              <a:noFill/>
            </a:ln>
            <a:effectLst/>
          </c:spPr>
          <c:invertIfNegative val="0"/>
          <c:cat>
            <c:strRef>
              <c:f>Sheet3!$A$5:$A$23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Sheet3!$K$5:$K$23</c:f>
              <c:numCache>
                <c:formatCode>0.00%</c:formatCode>
                <c:ptCount val="18"/>
                <c:pt idx="0">
                  <c:v>0.1111111111111111</c:v>
                </c:pt>
                <c:pt idx="1">
                  <c:v>0</c:v>
                </c:pt>
                <c:pt idx="2">
                  <c:v>0</c:v>
                </c:pt>
                <c:pt idx="3">
                  <c:v>0</c:v>
                </c:pt>
                <c:pt idx="4">
                  <c:v>0</c:v>
                </c:pt>
                <c:pt idx="5">
                  <c:v>0</c:v>
                </c:pt>
                <c:pt idx="6">
                  <c:v>0</c:v>
                </c:pt>
                <c:pt idx="7">
                  <c:v>8.3333333333333329E-2</c:v>
                </c:pt>
                <c:pt idx="8">
                  <c:v>0</c:v>
                </c:pt>
                <c:pt idx="9">
                  <c:v>5.2631578947368418E-2</c:v>
                </c:pt>
                <c:pt idx="10">
                  <c:v>0</c:v>
                </c:pt>
                <c:pt idx="11">
                  <c:v>0</c:v>
                </c:pt>
                <c:pt idx="12">
                  <c:v>0</c:v>
                </c:pt>
                <c:pt idx="13">
                  <c:v>0</c:v>
                </c:pt>
                <c:pt idx="14">
                  <c:v>0</c:v>
                </c:pt>
                <c:pt idx="15">
                  <c:v>0</c:v>
                </c:pt>
                <c:pt idx="16">
                  <c:v>0</c:v>
                </c:pt>
                <c:pt idx="17">
                  <c:v>0.18181818181818182</c:v>
                </c:pt>
              </c:numCache>
            </c:numRef>
          </c:val>
          <c:extLst>
            <c:ext xmlns:c16="http://schemas.microsoft.com/office/drawing/2014/chart" uri="{C3380CC4-5D6E-409C-BE32-E72D297353CC}">
              <c16:uniqueId val="{00000009-3361-4E16-8287-91E679DCAC44}"/>
            </c:ext>
          </c:extLst>
        </c:ser>
        <c:dLbls>
          <c:showLegendKey val="0"/>
          <c:showVal val="0"/>
          <c:showCatName val="0"/>
          <c:showSerName val="0"/>
          <c:showPercent val="0"/>
          <c:showBubbleSize val="0"/>
        </c:dLbls>
        <c:gapWidth val="150"/>
        <c:overlap val="100"/>
        <c:axId val="699543391"/>
        <c:axId val="699543871"/>
      </c:barChart>
      <c:catAx>
        <c:axId val="6995433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543871"/>
        <c:crosses val="autoZero"/>
        <c:auto val="1"/>
        <c:lblAlgn val="ctr"/>
        <c:lblOffset val="100"/>
        <c:noMultiLvlLbl val="0"/>
      </c:catAx>
      <c:valAx>
        <c:axId val="69954387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54339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Disability Percentage as an Organisation and by Teams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Disabled</c:v>
                </c:pt>
              </c:strCache>
            </c:strRef>
          </c:tx>
          <c:spPr>
            <a:solidFill>
              <a:schemeClr val="accent1"/>
            </a:solidFill>
            <a:ln>
              <a:noFill/>
            </a:ln>
            <a:effectLst/>
          </c:spPr>
          <c:invertIfNegative val="0"/>
          <c:cat>
            <c:strRef>
              <c:f>Sheet1!$A$2:$A$20</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Sheet1!$B$2:$B$20</c:f>
              <c:numCache>
                <c:formatCode>0.00%</c:formatCode>
                <c:ptCount val="19"/>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pt idx="18">
                  <c:v>8.0769230769230774E-2</c:v>
                </c:pt>
              </c:numCache>
            </c:numRef>
          </c:val>
          <c:extLst>
            <c:ext xmlns:c16="http://schemas.microsoft.com/office/drawing/2014/chart" uri="{C3380CC4-5D6E-409C-BE32-E72D297353CC}">
              <c16:uniqueId val="{00000000-1947-4B6C-A82E-93C8ED134F71}"/>
            </c:ext>
          </c:extLst>
        </c:ser>
        <c:ser>
          <c:idx val="1"/>
          <c:order val="1"/>
          <c:tx>
            <c:strRef>
              <c:f>Sheet1!$C$1</c:f>
              <c:strCache>
                <c:ptCount val="1"/>
                <c:pt idx="0">
                  <c:v>Non-Disabled</c:v>
                </c:pt>
              </c:strCache>
            </c:strRef>
          </c:tx>
          <c:spPr>
            <a:solidFill>
              <a:schemeClr val="accent2"/>
            </a:solidFill>
            <a:ln>
              <a:noFill/>
            </a:ln>
            <a:effectLst/>
          </c:spPr>
          <c:invertIfNegative val="0"/>
          <c:cat>
            <c:strRef>
              <c:f>Sheet1!$A$2:$A$20</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Sheet1!$C$2:$C$20</c:f>
              <c:numCache>
                <c:formatCode>0.00%</c:formatCode>
                <c:ptCount val="19"/>
                <c:pt idx="0">
                  <c:v>1</c:v>
                </c:pt>
                <c:pt idx="1">
                  <c:v>0.8571428571428571</c:v>
                </c:pt>
                <c:pt idx="2">
                  <c:v>0.8</c:v>
                </c:pt>
                <c:pt idx="3">
                  <c:v>1</c:v>
                </c:pt>
                <c:pt idx="4">
                  <c:v>1</c:v>
                </c:pt>
                <c:pt idx="5">
                  <c:v>0.8</c:v>
                </c:pt>
                <c:pt idx="6">
                  <c:v>1</c:v>
                </c:pt>
                <c:pt idx="7">
                  <c:v>0.91666666666666663</c:v>
                </c:pt>
                <c:pt idx="8">
                  <c:v>0.88888888888888884</c:v>
                </c:pt>
                <c:pt idx="9">
                  <c:v>0.94736842105263153</c:v>
                </c:pt>
                <c:pt idx="10">
                  <c:v>0.77777777777777779</c:v>
                </c:pt>
                <c:pt idx="11">
                  <c:v>0.9</c:v>
                </c:pt>
                <c:pt idx="12">
                  <c:v>1</c:v>
                </c:pt>
                <c:pt idx="13">
                  <c:v>0.81818181818181823</c:v>
                </c:pt>
                <c:pt idx="14">
                  <c:v>0.9494949494949495</c:v>
                </c:pt>
                <c:pt idx="15">
                  <c:v>1</c:v>
                </c:pt>
                <c:pt idx="16">
                  <c:v>1</c:v>
                </c:pt>
                <c:pt idx="17">
                  <c:v>0.90909090909090906</c:v>
                </c:pt>
                <c:pt idx="18">
                  <c:v>0.91923076923076918</c:v>
                </c:pt>
              </c:numCache>
            </c:numRef>
          </c:val>
          <c:extLst>
            <c:ext xmlns:c16="http://schemas.microsoft.com/office/drawing/2014/chart" uri="{C3380CC4-5D6E-409C-BE32-E72D297353CC}">
              <c16:uniqueId val="{00000001-1947-4B6C-A82E-93C8ED134F71}"/>
            </c:ext>
          </c:extLst>
        </c:ser>
        <c:dLbls>
          <c:showLegendKey val="0"/>
          <c:showVal val="0"/>
          <c:showCatName val="0"/>
          <c:showSerName val="0"/>
          <c:showPercent val="0"/>
          <c:showBubbleSize val="0"/>
        </c:dLbls>
        <c:gapWidth val="219"/>
        <c:overlap val="-27"/>
        <c:axId val="1221454255"/>
        <c:axId val="1221450895"/>
      </c:barChart>
      <c:catAx>
        <c:axId val="1221454255"/>
        <c:scaling>
          <c:orientation val="minMax"/>
        </c:scaling>
        <c:delete val="0"/>
        <c:axPos val="b"/>
        <c:numFmt formatCode="General" sourceLinked="1"/>
        <c:majorTickMark val="none"/>
        <c:minorTickMark val="none"/>
        <c:tickLblPos val="nextTo"/>
        <c:spPr>
          <a:noFill/>
          <a:ln w="9525" cap="flat" cmpd="sng" algn="ctr">
            <a:solidFill>
              <a:schemeClr val="accent1">
                <a:alpha val="97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450895"/>
        <c:crosses val="autoZero"/>
        <c:auto val="1"/>
        <c:lblAlgn val="ctr"/>
        <c:lblOffset val="100"/>
        <c:noMultiLvlLbl val="0"/>
      </c:catAx>
      <c:valAx>
        <c:axId val="1221450895"/>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4542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000" b="0" i="0" u="none" strike="noStrike" kern="1200" spc="0" baseline="0">
                <a:solidFill>
                  <a:schemeClr val="tx1">
                    <a:lumMod val="65000"/>
                    <a:lumOff val="35000"/>
                  </a:schemeClr>
                </a:solidFill>
                <a:latin typeface="+mn-lt"/>
                <a:ea typeface="+mn-ea"/>
                <a:cs typeface="+mn-cs"/>
              </a:defRPr>
            </a:pPr>
            <a:r>
              <a:rPr lang="en-GB" sz="1000"/>
              <a:t>Average Salary Difference Across Gender Against</a:t>
            </a:r>
            <a:r>
              <a:rPr lang="en-GB" sz="1000" baseline="0"/>
              <a:t> Organisational Average</a:t>
            </a:r>
            <a:r>
              <a:rPr lang="en-GB" sz="1000"/>
              <a:t> </a:t>
            </a:r>
          </a:p>
        </c:rich>
      </c:tx>
      <c:layout>
        <c:manualLayout>
          <c:xMode val="edge"/>
          <c:yMode val="edge"/>
          <c:x val="0.15806708776787515"/>
          <c:y val="3.2407349081364827E-2"/>
        </c:manualLayout>
      </c:layout>
      <c:overlay val="0"/>
      <c:spPr>
        <a:noFill/>
        <a:ln>
          <a:noFill/>
        </a:ln>
        <a:effectLst/>
      </c:spPr>
      <c:txPr>
        <a:bodyPr rot="0" spcFirstLastPara="1" vertOverflow="ellipsis" vert="horz" wrap="square" anchor="ctr" anchorCtr="1"/>
        <a:lstStyle/>
        <a:p>
          <a:pPr algn="ct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Sheet1!$B$21</c:f>
              <c:strCache>
                <c:ptCount val="1"/>
                <c:pt idx="0">
                  <c:v>Average of Salary FTE</c:v>
                </c:pt>
              </c:strCache>
            </c:strRef>
          </c:tx>
          <c:spPr>
            <a:solidFill>
              <a:schemeClr val="accent1"/>
            </a:solidFill>
            <a:ln>
              <a:noFill/>
            </a:ln>
            <a:effectLst/>
          </c:spPr>
          <c:invertIfNegative val="0"/>
          <c:cat>
            <c:strRef>
              <c:f>Sheet1!$A$22:$A$25</c:f>
              <c:strCache>
                <c:ptCount val="4"/>
                <c:pt idx="0">
                  <c:v>Female</c:v>
                </c:pt>
                <c:pt idx="1">
                  <c:v>Male</c:v>
                </c:pt>
                <c:pt idx="2">
                  <c:v>Non-binary</c:v>
                </c:pt>
                <c:pt idx="3">
                  <c:v>Grand Total</c:v>
                </c:pt>
              </c:strCache>
            </c:strRef>
          </c:cat>
          <c:val>
            <c:numRef>
              <c:f>Sheet1!$B$22:$B$25</c:f>
            </c:numRef>
          </c:val>
          <c:extLst>
            <c:ext xmlns:c16="http://schemas.microsoft.com/office/drawing/2014/chart" uri="{C3380CC4-5D6E-409C-BE32-E72D297353CC}">
              <c16:uniqueId val="{00000000-C59E-4754-ADD1-0D99EE98D568}"/>
            </c:ext>
          </c:extLst>
        </c:ser>
        <c:ser>
          <c:idx val="1"/>
          <c:order val="1"/>
          <c:tx>
            <c:strRef>
              <c:f>Sheet1!$C$21</c:f>
              <c:strCache>
                <c:ptCount val="1"/>
                <c:pt idx="0">
                  <c:v>Average Salary</c:v>
                </c:pt>
              </c:strCache>
            </c:strRef>
          </c:tx>
          <c:spPr>
            <a:solidFill>
              <a:schemeClr val="accent2"/>
            </a:solidFill>
            <a:ln>
              <a:noFill/>
            </a:ln>
            <a:effectLst/>
          </c:spPr>
          <c:invertIfNegative val="0"/>
          <c:cat>
            <c:strRef>
              <c:f>Sheet1!$A$22:$A$25</c:f>
              <c:strCache>
                <c:ptCount val="4"/>
                <c:pt idx="0">
                  <c:v>Female</c:v>
                </c:pt>
                <c:pt idx="1">
                  <c:v>Male</c:v>
                </c:pt>
                <c:pt idx="2">
                  <c:v>Non-binary</c:v>
                </c:pt>
                <c:pt idx="3">
                  <c:v>Grand Total</c:v>
                </c:pt>
              </c:strCache>
            </c:strRef>
          </c:cat>
          <c:val>
            <c:numRef>
              <c:f>Sheet1!$C$22:$C$25</c:f>
              <c:numCache>
                <c:formatCode>"£"#,##0.00</c:formatCode>
                <c:ptCount val="4"/>
                <c:pt idx="0">
                  <c:v>31900.296610169491</c:v>
                </c:pt>
                <c:pt idx="1">
                  <c:v>31812.178571428572</c:v>
                </c:pt>
                <c:pt idx="2">
                  <c:v>19500</c:v>
                </c:pt>
                <c:pt idx="3">
                  <c:v>31757.461538461539</c:v>
                </c:pt>
              </c:numCache>
            </c:numRef>
          </c:val>
          <c:extLst>
            <c:ext xmlns:c16="http://schemas.microsoft.com/office/drawing/2014/chart" uri="{C3380CC4-5D6E-409C-BE32-E72D297353CC}">
              <c16:uniqueId val="{00000001-C59E-4754-ADD1-0D99EE98D568}"/>
            </c:ext>
          </c:extLst>
        </c:ser>
        <c:dLbls>
          <c:showLegendKey val="0"/>
          <c:showVal val="0"/>
          <c:showCatName val="0"/>
          <c:showSerName val="0"/>
          <c:showPercent val="0"/>
          <c:showBubbleSize val="0"/>
        </c:dLbls>
        <c:gapWidth val="219"/>
        <c:overlap val="-27"/>
        <c:axId val="1423396704"/>
        <c:axId val="1423399104"/>
      </c:barChart>
      <c:catAx>
        <c:axId val="1423396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3399104"/>
        <c:crosses val="autoZero"/>
        <c:auto val="1"/>
        <c:lblAlgn val="ctr"/>
        <c:lblOffset val="100"/>
        <c:noMultiLvlLbl val="0"/>
      </c:catAx>
      <c:valAx>
        <c:axId val="142339910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3396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8458</TotalTime>
  <Pages>13</Pages>
  <Words>4507</Words>
  <Characters>25693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Gelder</dc:creator>
  <cp:keywords/>
  <dc:description/>
  <cp:lastModifiedBy>Mike Gelder</cp:lastModifiedBy>
  <cp:revision>259</cp:revision>
  <dcterms:created xsi:type="dcterms:W3CDTF">2024-06-10T17:25:00Z</dcterms:created>
  <dcterms:modified xsi:type="dcterms:W3CDTF">2024-06-17T20:02:00Z</dcterms:modified>
</cp:coreProperties>
</file>