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643952"/>
        <w:docPartObj>
          <w:docPartGallery w:val="Cover Pages"/>
          <w:docPartUnique/>
        </w:docPartObj>
      </w:sdtPr>
      <w:sdtEndPr>
        <w:rPr>
          <w:rFonts w:ascii="Calibri" w:hAnsi="Calibri" w:cs="Calibri"/>
          <w:sz w:val="24"/>
          <w:szCs w:val="24"/>
        </w:rPr>
      </w:sdtEndPr>
      <w:sdtContent>
        <w:p w14:paraId="6F10717F" w14:textId="3297A1E2" w:rsidR="005812AF" w:rsidRDefault="005812AF">
          <w:r>
            <w:rPr>
              <w:noProof/>
            </w:rPr>
            <mc:AlternateContent>
              <mc:Choice Requires="wpg">
                <w:drawing>
                  <wp:anchor distT="0" distB="0" distL="114300" distR="114300" simplePos="0" relativeHeight="251659264" behindDoc="1" locked="0" layoutInCell="1" allowOverlap="1" wp14:anchorId="64DF0F1E" wp14:editId="0BA12512">
                    <wp:simplePos x="0" y="0"/>
                    <wp:positionH relativeFrom="page">
                      <wp:align>center</wp:align>
                    </wp:positionH>
                    <wp:positionV relativeFrom="page">
                      <wp:align>center</wp:align>
                    </wp:positionV>
                    <wp:extent cx="6858000" cy="9720590"/>
                    <wp:effectExtent l="0" t="0" r="0" b="0"/>
                    <wp:wrapNone/>
                    <wp:docPr id="119" name="Group 25"/>
                    <wp:cNvGraphicFramePr/>
                    <a:graphic xmlns:a="http://schemas.openxmlformats.org/drawingml/2006/main">
                      <a:graphicData uri="http://schemas.microsoft.com/office/word/2010/wordprocessingGroup">
                        <wpg:wgp>
                          <wpg:cNvGrpSpPr/>
                          <wpg:grpSpPr>
                            <a:xfrm>
                              <a:off x="0" y="0"/>
                              <a:ext cx="6858000" cy="9720590"/>
                              <a:chOff x="0" y="0"/>
                              <a:chExt cx="6858000" cy="972059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6446520"/>
                                <a:ext cx="6858000" cy="327407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F8D0C20" w14:textId="3E6F7DAC" w:rsidR="005812AF" w:rsidRPr="005812AF" w:rsidRDefault="005812AF">
                                      <w:pPr>
                                        <w:pStyle w:val="NoSpacing"/>
                                        <w:rPr>
                                          <w:color w:val="FFFFFF" w:themeColor="background1"/>
                                          <w:sz w:val="32"/>
                                          <w:szCs w:val="32"/>
                                        </w:rPr>
                                      </w:pPr>
                                      <w:r w:rsidRPr="005812AF">
                                        <w:rPr>
                                          <w:color w:val="FFFFFF" w:themeColor="background1"/>
                                          <w:sz w:val="32"/>
                                          <w:szCs w:val="32"/>
                                        </w:rPr>
                                        <w:t>Beatrice Crisan</w:t>
                                      </w:r>
                                    </w:p>
                                  </w:sdtContent>
                                </w:sdt>
                                <w:p w14:paraId="51306CC6" w14:textId="4D9188C9" w:rsidR="005812AF" w:rsidRPr="005812AF" w:rsidRDefault="005812AF">
                                  <w:pPr>
                                    <w:pStyle w:val="NoSpacing"/>
                                    <w:rPr>
                                      <w:caps/>
                                      <w:color w:val="FFFFFF" w:themeColor="background1"/>
                                      <w:sz w:val="32"/>
                                      <w:szCs w:val="32"/>
                                    </w:rPr>
                                  </w:pPr>
                                  <w:sdt>
                                    <w:sdtPr>
                                      <w:rPr>
                                        <w:sz w:val="32"/>
                                        <w:szCs w:val="32"/>
                                      </w:rPr>
                                      <w:alias w:val="Company"/>
                                      <w:tag w:val=""/>
                                      <w:id w:val="922067218"/>
                                      <w:dataBinding w:prefixMappings="xmlns:ns0='http://schemas.openxmlformats.org/officeDocument/2006/extended-properties' " w:xpath="/ns0:Properties[1]/ns0:Company[1]" w:storeItemID="{6668398D-A668-4E3E-A5EB-62B293D839F1}"/>
                                      <w:text/>
                                    </w:sdtPr>
                                    <w:sdtContent>
                                      <w:r w:rsidRPr="005812AF">
                                        <w:rPr>
                                          <w:sz w:val="32"/>
                                          <w:szCs w:val="32"/>
                                        </w:rPr>
                                        <w:t>STUDENT ID:  2208395</w:t>
                                      </w:r>
                                    </w:sdtContent>
                                  </w:sdt>
                                </w:p>
                                <w:p w14:paraId="2116FACC" w14:textId="37355F25" w:rsidR="005812AF" w:rsidRPr="005812AF" w:rsidRDefault="005812AF">
                                  <w:pPr>
                                    <w:pStyle w:val="NoSpacing"/>
                                    <w:rPr>
                                      <w:caps/>
                                      <w:color w:val="FFFFFF" w:themeColor="background1"/>
                                      <w:sz w:val="32"/>
                                      <w:szCs w:val="32"/>
                                    </w:rPr>
                                  </w:pPr>
                                  <w:r w:rsidRPr="005812AF">
                                    <w:rPr>
                                      <w:caps/>
                                      <w:color w:val="FFFFFF" w:themeColor="background1"/>
                                      <w:sz w:val="32"/>
                                      <w:szCs w:val="32"/>
                                    </w:rPr>
                                    <w:t>Tutor NAME: Tristan Hawkins</w:t>
                                  </w:r>
                                </w:p>
                                <w:p w14:paraId="5E9A4088" w14:textId="0EC98DE9" w:rsidR="005812AF" w:rsidRPr="005812AF" w:rsidRDefault="005812AF">
                                  <w:pPr>
                                    <w:pStyle w:val="NoSpacing"/>
                                    <w:rPr>
                                      <w:caps/>
                                      <w:color w:val="FFFFFF" w:themeColor="background1"/>
                                      <w:sz w:val="32"/>
                                      <w:szCs w:val="32"/>
                                    </w:rPr>
                                  </w:pPr>
                                  <w:r w:rsidRPr="005812AF">
                                    <w:rPr>
                                      <w:caps/>
                                      <w:color w:val="FFFFFF" w:themeColor="background1"/>
                                      <w:sz w:val="32"/>
                                      <w:szCs w:val="32"/>
                                    </w:rPr>
                                    <w:t xml:space="preserve">WORD COUNT: </w:t>
                                  </w:r>
                                  <w:r>
                                    <w:rPr>
                                      <w:caps/>
                                      <w:color w:val="FFFFFF" w:themeColor="background1"/>
                                      <w:sz w:val="32"/>
                                      <w:szCs w:val="32"/>
                                    </w:rPr>
                                    <w:t>2</w:t>
                                  </w:r>
                                  <w:r w:rsidR="000679EF">
                                    <w:rPr>
                                      <w:caps/>
                                      <w:color w:val="FFFFFF" w:themeColor="background1"/>
                                      <w:sz w:val="32"/>
                                      <w:szCs w:val="32"/>
                                    </w:rPr>
                                    <w:t>186</w:t>
                                  </w:r>
                                </w:p>
                                <w:p w14:paraId="0A3E4DB5" w14:textId="77777777" w:rsidR="005812AF" w:rsidRDefault="005812AF">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48"/>
                                      <w:szCs w:val="4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147BE09" w14:textId="57365FC8" w:rsidR="005812AF" w:rsidRPr="005812AF" w:rsidRDefault="005812AF">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48"/>
                                          <w:szCs w:val="48"/>
                                        </w:rPr>
                                      </w:pPr>
                                      <w:r w:rsidRPr="005812AF">
                                        <w:rPr>
                                          <w:b/>
                                          <w:bCs/>
                                          <w:sz w:val="48"/>
                                          <w:szCs w:val="48"/>
                                        </w:rPr>
                                        <w:t>Report Case Study: The Seacrest Lodge</w:t>
                                      </w:r>
                                    </w:p>
                                  </w:sdtContent>
                                </w:sdt>
                                <w:sdt>
                                  <w:sdtPr>
                                    <w:rPr>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85258E2" w14:textId="69893F3D" w:rsidR="005812AF" w:rsidRPr="005812AF" w:rsidRDefault="005812AF" w:rsidP="005812AF">
                                      <w:pPr>
                                        <w:pStyle w:val="NoSpacing"/>
                                        <w:spacing w:before="240"/>
                                        <w:rPr>
                                          <w:caps/>
                                          <w:color w:val="0E2841" w:themeColor="text2"/>
                                          <w:sz w:val="44"/>
                                          <w:szCs w:val="44"/>
                                        </w:rPr>
                                      </w:pPr>
                                      <w:r w:rsidRPr="005812AF">
                                        <w:rPr>
                                          <w:sz w:val="40"/>
                                          <w:szCs w:val="40"/>
                                        </w:rPr>
                                        <w:t>Financial Management for the Hotel Industry</w:t>
                                      </w:r>
                                      <w:r w:rsidRPr="005812AF">
                                        <w:rPr>
                                          <w:sz w:val="40"/>
                                          <w:szCs w:val="40"/>
                                        </w:rPr>
                                        <w:t xml:space="preserve">    </w:t>
                                      </w:r>
                                      <w:r w:rsidRPr="005812AF">
                                        <w:rPr>
                                          <w:sz w:val="40"/>
                                          <w:szCs w:val="40"/>
                                        </w:rPr>
                                        <w:t>BMIH5007</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4DF0F1E" id="Group 25" o:spid="_x0000_s1026" style="position:absolute;margin-left:0;margin-top:0;width:540pt;height:765.4pt;z-index:-251657216;mso-position-horizontal:center;mso-position-horizontal-relative:page;mso-position-vertical:center;mso-position-vertical-relative:page" coordsize="68580,972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64465;width:68580;height:327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F8D0C20" w14:textId="3E6F7DAC" w:rsidR="005812AF" w:rsidRPr="005812AF" w:rsidRDefault="005812AF">
                                <w:pPr>
                                  <w:pStyle w:val="NoSpacing"/>
                                  <w:rPr>
                                    <w:color w:val="FFFFFF" w:themeColor="background1"/>
                                    <w:sz w:val="32"/>
                                    <w:szCs w:val="32"/>
                                  </w:rPr>
                                </w:pPr>
                                <w:r w:rsidRPr="005812AF">
                                  <w:rPr>
                                    <w:color w:val="FFFFFF" w:themeColor="background1"/>
                                    <w:sz w:val="32"/>
                                    <w:szCs w:val="32"/>
                                  </w:rPr>
                                  <w:t>Beatrice Crisan</w:t>
                                </w:r>
                              </w:p>
                            </w:sdtContent>
                          </w:sdt>
                          <w:p w14:paraId="51306CC6" w14:textId="4D9188C9" w:rsidR="005812AF" w:rsidRPr="005812AF" w:rsidRDefault="005812AF">
                            <w:pPr>
                              <w:pStyle w:val="NoSpacing"/>
                              <w:rPr>
                                <w:caps/>
                                <w:color w:val="FFFFFF" w:themeColor="background1"/>
                                <w:sz w:val="32"/>
                                <w:szCs w:val="32"/>
                              </w:rPr>
                            </w:pPr>
                            <w:sdt>
                              <w:sdtPr>
                                <w:rPr>
                                  <w:sz w:val="32"/>
                                  <w:szCs w:val="32"/>
                                </w:rPr>
                                <w:alias w:val="Company"/>
                                <w:tag w:val=""/>
                                <w:id w:val="922067218"/>
                                <w:dataBinding w:prefixMappings="xmlns:ns0='http://schemas.openxmlformats.org/officeDocument/2006/extended-properties' " w:xpath="/ns0:Properties[1]/ns0:Company[1]" w:storeItemID="{6668398D-A668-4E3E-A5EB-62B293D839F1}"/>
                                <w:text/>
                              </w:sdtPr>
                              <w:sdtContent>
                                <w:r w:rsidRPr="005812AF">
                                  <w:rPr>
                                    <w:sz w:val="32"/>
                                    <w:szCs w:val="32"/>
                                  </w:rPr>
                                  <w:t>STUDENT ID:  2208395</w:t>
                                </w:r>
                              </w:sdtContent>
                            </w:sdt>
                          </w:p>
                          <w:p w14:paraId="2116FACC" w14:textId="37355F25" w:rsidR="005812AF" w:rsidRPr="005812AF" w:rsidRDefault="005812AF">
                            <w:pPr>
                              <w:pStyle w:val="NoSpacing"/>
                              <w:rPr>
                                <w:caps/>
                                <w:color w:val="FFFFFF" w:themeColor="background1"/>
                                <w:sz w:val="32"/>
                                <w:szCs w:val="32"/>
                              </w:rPr>
                            </w:pPr>
                            <w:r w:rsidRPr="005812AF">
                              <w:rPr>
                                <w:caps/>
                                <w:color w:val="FFFFFF" w:themeColor="background1"/>
                                <w:sz w:val="32"/>
                                <w:szCs w:val="32"/>
                              </w:rPr>
                              <w:t>Tutor NAME: Tristan Hawkins</w:t>
                            </w:r>
                          </w:p>
                          <w:p w14:paraId="5E9A4088" w14:textId="0EC98DE9" w:rsidR="005812AF" w:rsidRPr="005812AF" w:rsidRDefault="005812AF">
                            <w:pPr>
                              <w:pStyle w:val="NoSpacing"/>
                              <w:rPr>
                                <w:caps/>
                                <w:color w:val="FFFFFF" w:themeColor="background1"/>
                                <w:sz w:val="32"/>
                                <w:szCs w:val="32"/>
                              </w:rPr>
                            </w:pPr>
                            <w:r w:rsidRPr="005812AF">
                              <w:rPr>
                                <w:caps/>
                                <w:color w:val="FFFFFF" w:themeColor="background1"/>
                                <w:sz w:val="32"/>
                                <w:szCs w:val="32"/>
                              </w:rPr>
                              <w:t xml:space="preserve">WORD COUNT: </w:t>
                            </w:r>
                            <w:r>
                              <w:rPr>
                                <w:caps/>
                                <w:color w:val="FFFFFF" w:themeColor="background1"/>
                                <w:sz w:val="32"/>
                                <w:szCs w:val="32"/>
                              </w:rPr>
                              <w:t>2</w:t>
                            </w:r>
                            <w:r w:rsidR="000679EF">
                              <w:rPr>
                                <w:caps/>
                                <w:color w:val="FFFFFF" w:themeColor="background1"/>
                                <w:sz w:val="32"/>
                                <w:szCs w:val="32"/>
                              </w:rPr>
                              <w:t>186</w:t>
                            </w:r>
                          </w:p>
                          <w:p w14:paraId="0A3E4DB5" w14:textId="77777777" w:rsidR="005812AF" w:rsidRDefault="005812AF">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b/>
                                <w:bCs/>
                                <w:sz w:val="48"/>
                                <w:szCs w:val="4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147BE09" w14:textId="57365FC8" w:rsidR="005812AF" w:rsidRPr="005812AF" w:rsidRDefault="005812AF">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48"/>
                                    <w:szCs w:val="48"/>
                                  </w:rPr>
                                </w:pPr>
                                <w:r w:rsidRPr="005812AF">
                                  <w:rPr>
                                    <w:b/>
                                    <w:bCs/>
                                    <w:sz w:val="48"/>
                                    <w:szCs w:val="48"/>
                                  </w:rPr>
                                  <w:t>Report Case Study: The Seacrest Lodge</w:t>
                                </w:r>
                              </w:p>
                            </w:sdtContent>
                          </w:sdt>
                          <w:sdt>
                            <w:sdtPr>
                              <w:rPr>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85258E2" w14:textId="69893F3D" w:rsidR="005812AF" w:rsidRPr="005812AF" w:rsidRDefault="005812AF" w:rsidP="005812AF">
                                <w:pPr>
                                  <w:pStyle w:val="NoSpacing"/>
                                  <w:spacing w:before="240"/>
                                  <w:rPr>
                                    <w:caps/>
                                    <w:color w:val="0E2841" w:themeColor="text2"/>
                                    <w:sz w:val="44"/>
                                    <w:szCs w:val="44"/>
                                  </w:rPr>
                                </w:pPr>
                                <w:r w:rsidRPr="005812AF">
                                  <w:rPr>
                                    <w:sz w:val="40"/>
                                    <w:szCs w:val="40"/>
                                  </w:rPr>
                                  <w:t>Financial Management for the Hotel Industry</w:t>
                                </w:r>
                                <w:r w:rsidRPr="005812AF">
                                  <w:rPr>
                                    <w:sz w:val="40"/>
                                    <w:szCs w:val="40"/>
                                  </w:rPr>
                                  <w:t xml:space="preserve">    </w:t>
                                </w:r>
                                <w:r w:rsidRPr="005812AF">
                                  <w:rPr>
                                    <w:sz w:val="40"/>
                                    <w:szCs w:val="40"/>
                                  </w:rPr>
                                  <w:t>BMIH5007</w:t>
                                </w:r>
                              </w:p>
                            </w:sdtContent>
                          </w:sdt>
                        </w:txbxContent>
                      </v:textbox>
                    </v:shape>
                    <w10:wrap anchorx="page" anchory="page"/>
                  </v:group>
                </w:pict>
              </mc:Fallback>
            </mc:AlternateContent>
          </w:r>
        </w:p>
        <w:p w14:paraId="1B079252" w14:textId="77777777" w:rsidR="005812AF" w:rsidRDefault="005812AF" w:rsidP="005812AF">
          <w:pPr>
            <w:suppressAutoHyphens w:val="0"/>
            <w:rPr>
              <w:rFonts w:ascii="Calibri" w:hAnsi="Calibri" w:cs="Calibri"/>
              <w:sz w:val="24"/>
              <w:szCs w:val="24"/>
            </w:rPr>
          </w:pPr>
        </w:p>
        <w:p w14:paraId="68EA110D" w14:textId="77777777" w:rsidR="005812AF" w:rsidRDefault="005812AF" w:rsidP="005812AF">
          <w:pPr>
            <w:suppressAutoHyphens w:val="0"/>
            <w:rPr>
              <w:rFonts w:ascii="Calibri" w:hAnsi="Calibri" w:cs="Calibri"/>
              <w:sz w:val="24"/>
              <w:szCs w:val="24"/>
            </w:rPr>
          </w:pPr>
        </w:p>
        <w:p w14:paraId="01C81C57" w14:textId="77777777" w:rsidR="005812AF" w:rsidRDefault="005812AF" w:rsidP="005812AF">
          <w:pPr>
            <w:suppressAutoHyphens w:val="0"/>
            <w:rPr>
              <w:rFonts w:ascii="Calibri" w:hAnsi="Calibri" w:cs="Calibri"/>
              <w:sz w:val="24"/>
              <w:szCs w:val="24"/>
            </w:rPr>
          </w:pPr>
        </w:p>
        <w:p w14:paraId="498FBB57" w14:textId="77777777" w:rsidR="005812AF" w:rsidRDefault="005812AF" w:rsidP="005812AF">
          <w:pPr>
            <w:suppressAutoHyphens w:val="0"/>
            <w:rPr>
              <w:rFonts w:ascii="Calibri" w:hAnsi="Calibri" w:cs="Calibri"/>
              <w:sz w:val="24"/>
              <w:szCs w:val="24"/>
            </w:rPr>
          </w:pPr>
        </w:p>
        <w:p w14:paraId="31425884" w14:textId="77777777" w:rsidR="005812AF" w:rsidRDefault="005812AF" w:rsidP="005812AF">
          <w:pPr>
            <w:suppressAutoHyphens w:val="0"/>
            <w:rPr>
              <w:rFonts w:ascii="Calibri" w:hAnsi="Calibri" w:cs="Calibri"/>
              <w:sz w:val="24"/>
              <w:szCs w:val="24"/>
            </w:rPr>
          </w:pPr>
        </w:p>
        <w:p w14:paraId="1B8DEE5B" w14:textId="77777777" w:rsidR="005812AF" w:rsidRDefault="005812AF" w:rsidP="005812AF">
          <w:pPr>
            <w:suppressAutoHyphens w:val="0"/>
            <w:rPr>
              <w:rFonts w:ascii="Calibri" w:hAnsi="Calibri" w:cs="Calibri"/>
              <w:sz w:val="24"/>
              <w:szCs w:val="24"/>
            </w:rPr>
          </w:pPr>
        </w:p>
        <w:p w14:paraId="5AB628C4" w14:textId="77777777" w:rsidR="005812AF" w:rsidRDefault="005812AF" w:rsidP="005812AF">
          <w:pPr>
            <w:suppressAutoHyphens w:val="0"/>
            <w:rPr>
              <w:rFonts w:ascii="Calibri" w:hAnsi="Calibri" w:cs="Calibri"/>
              <w:sz w:val="24"/>
              <w:szCs w:val="24"/>
            </w:rPr>
          </w:pPr>
        </w:p>
        <w:p w14:paraId="4D0EF626" w14:textId="77777777" w:rsidR="005812AF" w:rsidRDefault="005812AF" w:rsidP="005812AF">
          <w:pPr>
            <w:suppressAutoHyphens w:val="0"/>
            <w:rPr>
              <w:rFonts w:ascii="Calibri" w:hAnsi="Calibri" w:cs="Calibri"/>
              <w:sz w:val="24"/>
              <w:szCs w:val="24"/>
            </w:rPr>
          </w:pPr>
        </w:p>
        <w:p w14:paraId="45CA88AB" w14:textId="77777777" w:rsidR="005812AF" w:rsidRDefault="005812AF" w:rsidP="005812AF">
          <w:pPr>
            <w:suppressAutoHyphens w:val="0"/>
            <w:rPr>
              <w:rFonts w:ascii="Calibri" w:hAnsi="Calibri" w:cs="Calibri"/>
              <w:sz w:val="24"/>
              <w:szCs w:val="24"/>
            </w:rPr>
          </w:pPr>
        </w:p>
        <w:p w14:paraId="78606E1B" w14:textId="77777777" w:rsidR="005812AF" w:rsidRDefault="005812AF" w:rsidP="005812AF">
          <w:pPr>
            <w:suppressAutoHyphens w:val="0"/>
            <w:rPr>
              <w:rFonts w:ascii="Calibri" w:hAnsi="Calibri" w:cs="Calibri"/>
              <w:sz w:val="24"/>
              <w:szCs w:val="24"/>
            </w:rPr>
          </w:pPr>
        </w:p>
        <w:p w14:paraId="3D43D23C" w14:textId="77777777" w:rsidR="005812AF" w:rsidRDefault="005812AF" w:rsidP="005812AF">
          <w:pPr>
            <w:suppressAutoHyphens w:val="0"/>
            <w:rPr>
              <w:rFonts w:ascii="Calibri" w:hAnsi="Calibri" w:cs="Calibri"/>
              <w:sz w:val="24"/>
              <w:szCs w:val="24"/>
            </w:rPr>
          </w:pPr>
        </w:p>
        <w:p w14:paraId="0BE90923" w14:textId="77777777" w:rsidR="005812AF" w:rsidRDefault="005812AF" w:rsidP="005812AF">
          <w:pPr>
            <w:suppressAutoHyphens w:val="0"/>
            <w:rPr>
              <w:rFonts w:ascii="Calibri" w:hAnsi="Calibri" w:cs="Calibri"/>
              <w:sz w:val="24"/>
              <w:szCs w:val="24"/>
            </w:rPr>
          </w:pPr>
        </w:p>
        <w:p w14:paraId="3983890E" w14:textId="77777777" w:rsidR="005812AF" w:rsidRDefault="005812AF" w:rsidP="005812AF">
          <w:pPr>
            <w:suppressAutoHyphens w:val="0"/>
            <w:rPr>
              <w:rFonts w:ascii="Calibri" w:hAnsi="Calibri" w:cs="Calibri"/>
              <w:sz w:val="24"/>
              <w:szCs w:val="24"/>
            </w:rPr>
          </w:pPr>
        </w:p>
        <w:p w14:paraId="2432028C" w14:textId="77777777" w:rsidR="005812AF" w:rsidRDefault="005812AF" w:rsidP="005812AF">
          <w:pPr>
            <w:suppressAutoHyphens w:val="0"/>
            <w:rPr>
              <w:rFonts w:ascii="Calibri" w:hAnsi="Calibri" w:cs="Calibri"/>
              <w:sz w:val="24"/>
              <w:szCs w:val="24"/>
            </w:rPr>
          </w:pPr>
        </w:p>
        <w:p w14:paraId="4BE47188" w14:textId="77777777" w:rsidR="005812AF" w:rsidRDefault="005812AF" w:rsidP="005812AF">
          <w:pPr>
            <w:suppressAutoHyphens w:val="0"/>
            <w:rPr>
              <w:rFonts w:ascii="Calibri" w:hAnsi="Calibri" w:cs="Calibri"/>
              <w:sz w:val="24"/>
              <w:szCs w:val="24"/>
            </w:rPr>
          </w:pPr>
        </w:p>
        <w:p w14:paraId="74C8071F" w14:textId="77777777" w:rsidR="005812AF" w:rsidRDefault="005812AF" w:rsidP="005812AF">
          <w:pPr>
            <w:suppressAutoHyphens w:val="0"/>
            <w:rPr>
              <w:rFonts w:ascii="Calibri" w:hAnsi="Calibri" w:cs="Calibri"/>
              <w:sz w:val="24"/>
              <w:szCs w:val="24"/>
            </w:rPr>
          </w:pPr>
        </w:p>
        <w:p w14:paraId="23AEB477" w14:textId="77777777" w:rsidR="005812AF" w:rsidRDefault="005812AF" w:rsidP="005812AF">
          <w:pPr>
            <w:suppressAutoHyphens w:val="0"/>
            <w:rPr>
              <w:rFonts w:ascii="Calibri" w:hAnsi="Calibri" w:cs="Calibri"/>
              <w:sz w:val="24"/>
              <w:szCs w:val="24"/>
            </w:rPr>
          </w:pPr>
        </w:p>
        <w:p w14:paraId="4C4D2195" w14:textId="77777777" w:rsidR="005812AF" w:rsidRDefault="005812AF" w:rsidP="005812AF">
          <w:pPr>
            <w:suppressAutoHyphens w:val="0"/>
            <w:rPr>
              <w:rFonts w:ascii="Calibri" w:hAnsi="Calibri" w:cs="Calibri"/>
              <w:sz w:val="24"/>
              <w:szCs w:val="24"/>
            </w:rPr>
          </w:pPr>
        </w:p>
        <w:p w14:paraId="2BDD8643" w14:textId="77777777" w:rsidR="005812AF" w:rsidRDefault="005812AF" w:rsidP="005812AF">
          <w:pPr>
            <w:suppressAutoHyphens w:val="0"/>
            <w:rPr>
              <w:rFonts w:ascii="Calibri" w:hAnsi="Calibri" w:cs="Calibri"/>
              <w:sz w:val="24"/>
              <w:szCs w:val="24"/>
            </w:rPr>
          </w:pPr>
        </w:p>
        <w:p w14:paraId="4B9508DD" w14:textId="77777777" w:rsidR="005812AF" w:rsidRDefault="005812AF" w:rsidP="005812AF">
          <w:pPr>
            <w:suppressAutoHyphens w:val="0"/>
            <w:rPr>
              <w:rFonts w:ascii="Calibri" w:hAnsi="Calibri" w:cs="Calibri"/>
              <w:sz w:val="24"/>
              <w:szCs w:val="24"/>
            </w:rPr>
          </w:pPr>
        </w:p>
        <w:p w14:paraId="2246D6E8" w14:textId="77777777" w:rsidR="005812AF" w:rsidRDefault="005812AF" w:rsidP="005812AF">
          <w:pPr>
            <w:suppressAutoHyphens w:val="0"/>
            <w:rPr>
              <w:rFonts w:ascii="Calibri" w:hAnsi="Calibri" w:cs="Calibri"/>
              <w:sz w:val="24"/>
              <w:szCs w:val="24"/>
            </w:rPr>
          </w:pPr>
        </w:p>
        <w:p w14:paraId="68299413" w14:textId="77777777" w:rsidR="005812AF" w:rsidRDefault="005812AF" w:rsidP="005812AF">
          <w:pPr>
            <w:suppressAutoHyphens w:val="0"/>
            <w:rPr>
              <w:rFonts w:ascii="Calibri" w:hAnsi="Calibri" w:cs="Calibri"/>
              <w:sz w:val="24"/>
              <w:szCs w:val="24"/>
            </w:rPr>
          </w:pPr>
        </w:p>
        <w:p w14:paraId="2FD83328" w14:textId="77777777" w:rsidR="005812AF" w:rsidRDefault="005812AF" w:rsidP="005812AF">
          <w:pPr>
            <w:suppressAutoHyphens w:val="0"/>
            <w:rPr>
              <w:rFonts w:ascii="Calibri" w:hAnsi="Calibri" w:cs="Calibri"/>
              <w:sz w:val="24"/>
              <w:szCs w:val="24"/>
            </w:rPr>
          </w:pPr>
        </w:p>
        <w:p w14:paraId="75A1B141" w14:textId="77777777" w:rsidR="005812AF" w:rsidRDefault="005812AF" w:rsidP="005812AF">
          <w:pPr>
            <w:suppressAutoHyphens w:val="0"/>
            <w:rPr>
              <w:rFonts w:ascii="Calibri" w:hAnsi="Calibri" w:cs="Calibri"/>
              <w:sz w:val="24"/>
              <w:szCs w:val="24"/>
            </w:rPr>
          </w:pPr>
        </w:p>
        <w:p w14:paraId="1AFB9E3F" w14:textId="77777777" w:rsidR="005812AF" w:rsidRDefault="005812AF" w:rsidP="005812AF">
          <w:pPr>
            <w:suppressAutoHyphens w:val="0"/>
            <w:rPr>
              <w:rFonts w:ascii="Calibri" w:hAnsi="Calibri" w:cs="Calibri"/>
              <w:sz w:val="24"/>
              <w:szCs w:val="24"/>
            </w:rPr>
          </w:pPr>
        </w:p>
        <w:p w14:paraId="14089D0D" w14:textId="77777777" w:rsidR="005812AF" w:rsidRDefault="005812AF" w:rsidP="005812AF">
          <w:pPr>
            <w:suppressAutoHyphens w:val="0"/>
            <w:rPr>
              <w:rFonts w:ascii="Calibri" w:hAnsi="Calibri" w:cs="Calibri"/>
              <w:sz w:val="24"/>
              <w:szCs w:val="24"/>
            </w:rPr>
          </w:pPr>
        </w:p>
        <w:p w14:paraId="4B48D47C" w14:textId="6FBC8C36" w:rsidR="005812AF" w:rsidRDefault="005812AF" w:rsidP="005812AF">
          <w:pPr>
            <w:suppressAutoHyphens w:val="0"/>
            <w:rPr>
              <w:rFonts w:ascii="Calibri" w:hAnsi="Calibri" w:cs="Calibri"/>
              <w:sz w:val="24"/>
              <w:szCs w:val="24"/>
            </w:rPr>
          </w:pPr>
        </w:p>
      </w:sdtContent>
    </w:sdt>
    <w:p w14:paraId="394EDBAD" w14:textId="77777777" w:rsidR="00722980" w:rsidRDefault="00722980" w:rsidP="005812AF">
      <w:pPr>
        <w:suppressAutoHyphens w:val="0"/>
        <w:spacing w:line="360" w:lineRule="auto"/>
        <w:jc w:val="both"/>
        <w:rPr>
          <w:rFonts w:ascii="Calibri" w:hAnsi="Calibri" w:cs="Calibri"/>
          <w:sz w:val="24"/>
          <w:szCs w:val="24"/>
        </w:rPr>
      </w:pPr>
    </w:p>
    <w:p w14:paraId="56620306" w14:textId="0B20330E" w:rsidR="000679EF" w:rsidRDefault="000679EF" w:rsidP="005812AF">
      <w:pPr>
        <w:suppressAutoHyphens w:val="0"/>
        <w:spacing w:line="360" w:lineRule="auto"/>
        <w:jc w:val="both"/>
        <w:rPr>
          <w:rFonts w:ascii="Calibri" w:hAnsi="Calibri" w:cs="Calibri"/>
          <w:sz w:val="24"/>
          <w:szCs w:val="24"/>
        </w:rPr>
      </w:pPr>
    </w:p>
    <w:sdt>
      <w:sdtPr>
        <w:id w:val="-841622768"/>
        <w:docPartObj>
          <w:docPartGallery w:val="Table of Contents"/>
          <w:docPartUnique/>
        </w:docPartObj>
      </w:sdtPr>
      <w:sdtEndPr>
        <w:rPr>
          <w:rFonts w:ascii="Aptos" w:eastAsia="Aptos" w:hAnsi="Aptos" w:cs="Times New Roman"/>
          <w:b/>
          <w:bCs/>
          <w:noProof/>
          <w:color w:val="auto"/>
          <w:kern w:val="3"/>
          <w:sz w:val="22"/>
          <w:szCs w:val="22"/>
          <w:lang w:val="en-GB"/>
        </w:rPr>
      </w:sdtEndPr>
      <w:sdtContent>
        <w:p w14:paraId="7AF91BBD" w14:textId="17B070FD" w:rsidR="000679EF" w:rsidRDefault="000679EF">
          <w:pPr>
            <w:pStyle w:val="TOCHeading"/>
          </w:pPr>
          <w:r>
            <w:t>Contents</w:t>
          </w:r>
        </w:p>
        <w:p w14:paraId="2FCDD797" w14:textId="77777777" w:rsidR="000679EF" w:rsidRPr="000679EF" w:rsidRDefault="000679EF" w:rsidP="000679EF">
          <w:pPr>
            <w:rPr>
              <w:lang w:val="en-US"/>
            </w:rPr>
          </w:pPr>
        </w:p>
        <w:p w14:paraId="2D1E0857" w14:textId="4AFABD18" w:rsidR="000679EF" w:rsidRDefault="000679E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60138565" w:history="1">
            <w:r w:rsidRPr="000F0074">
              <w:rPr>
                <w:rStyle w:val="Hyperlink"/>
                <w:noProof/>
              </w:rPr>
              <w:t>Executive summary:</w:t>
            </w:r>
            <w:r>
              <w:rPr>
                <w:noProof/>
                <w:webHidden/>
              </w:rPr>
              <w:tab/>
            </w:r>
            <w:r>
              <w:rPr>
                <w:noProof/>
                <w:webHidden/>
              </w:rPr>
              <w:fldChar w:fldCharType="begin"/>
            </w:r>
            <w:r>
              <w:rPr>
                <w:noProof/>
                <w:webHidden/>
              </w:rPr>
              <w:instrText xml:space="preserve"> PAGEREF _Toc160138565 \h </w:instrText>
            </w:r>
            <w:r>
              <w:rPr>
                <w:noProof/>
                <w:webHidden/>
              </w:rPr>
            </w:r>
            <w:r>
              <w:rPr>
                <w:noProof/>
                <w:webHidden/>
              </w:rPr>
              <w:fldChar w:fldCharType="separate"/>
            </w:r>
            <w:r>
              <w:rPr>
                <w:noProof/>
                <w:webHidden/>
              </w:rPr>
              <w:t>2</w:t>
            </w:r>
            <w:r>
              <w:rPr>
                <w:noProof/>
                <w:webHidden/>
              </w:rPr>
              <w:fldChar w:fldCharType="end"/>
            </w:r>
          </w:hyperlink>
        </w:p>
        <w:p w14:paraId="7432B3EA" w14:textId="73C75808" w:rsidR="000679EF" w:rsidRDefault="000679E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138566" w:history="1">
            <w:r w:rsidRPr="000F0074">
              <w:rPr>
                <w:rStyle w:val="Hyperlink"/>
                <w:noProof/>
              </w:rPr>
              <w:t>Study case:</w:t>
            </w:r>
            <w:r>
              <w:rPr>
                <w:noProof/>
                <w:webHidden/>
              </w:rPr>
              <w:tab/>
            </w:r>
            <w:r>
              <w:rPr>
                <w:noProof/>
                <w:webHidden/>
              </w:rPr>
              <w:fldChar w:fldCharType="begin"/>
            </w:r>
            <w:r>
              <w:rPr>
                <w:noProof/>
                <w:webHidden/>
              </w:rPr>
              <w:instrText xml:space="preserve"> PAGEREF _Toc160138566 \h </w:instrText>
            </w:r>
            <w:r>
              <w:rPr>
                <w:noProof/>
                <w:webHidden/>
              </w:rPr>
            </w:r>
            <w:r>
              <w:rPr>
                <w:noProof/>
                <w:webHidden/>
              </w:rPr>
              <w:fldChar w:fldCharType="separate"/>
            </w:r>
            <w:r>
              <w:rPr>
                <w:noProof/>
                <w:webHidden/>
              </w:rPr>
              <w:t>2</w:t>
            </w:r>
            <w:r>
              <w:rPr>
                <w:noProof/>
                <w:webHidden/>
              </w:rPr>
              <w:fldChar w:fldCharType="end"/>
            </w:r>
          </w:hyperlink>
        </w:p>
        <w:p w14:paraId="582D0EB1" w14:textId="0C064D31" w:rsidR="000679EF" w:rsidRDefault="000679E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138567" w:history="1">
            <w:r w:rsidRPr="000F0074">
              <w:rPr>
                <w:rStyle w:val="Hyperlink"/>
                <w:noProof/>
              </w:rPr>
              <w:t>References:</w:t>
            </w:r>
            <w:r>
              <w:rPr>
                <w:noProof/>
                <w:webHidden/>
              </w:rPr>
              <w:tab/>
            </w:r>
            <w:r>
              <w:rPr>
                <w:noProof/>
                <w:webHidden/>
              </w:rPr>
              <w:fldChar w:fldCharType="begin"/>
            </w:r>
            <w:r>
              <w:rPr>
                <w:noProof/>
                <w:webHidden/>
              </w:rPr>
              <w:instrText xml:space="preserve"> PAGEREF _Toc160138567 \h </w:instrText>
            </w:r>
            <w:r>
              <w:rPr>
                <w:noProof/>
                <w:webHidden/>
              </w:rPr>
            </w:r>
            <w:r>
              <w:rPr>
                <w:noProof/>
                <w:webHidden/>
              </w:rPr>
              <w:fldChar w:fldCharType="separate"/>
            </w:r>
            <w:r>
              <w:rPr>
                <w:noProof/>
                <w:webHidden/>
              </w:rPr>
              <w:t>9</w:t>
            </w:r>
            <w:r>
              <w:rPr>
                <w:noProof/>
                <w:webHidden/>
              </w:rPr>
              <w:fldChar w:fldCharType="end"/>
            </w:r>
          </w:hyperlink>
        </w:p>
        <w:p w14:paraId="41AA0B89" w14:textId="6AB77029" w:rsidR="000679EF" w:rsidRDefault="000679EF">
          <w:r>
            <w:rPr>
              <w:b/>
              <w:bCs/>
              <w:noProof/>
            </w:rPr>
            <w:fldChar w:fldCharType="end"/>
          </w:r>
          <w:r>
            <w:rPr>
              <w:b/>
              <w:bCs/>
              <w:noProof/>
            </w:rPr>
            <w:t xml:space="preserve"> </w:t>
          </w:r>
        </w:p>
      </w:sdtContent>
    </w:sdt>
    <w:p w14:paraId="268FDBAD" w14:textId="77777777" w:rsidR="000679EF" w:rsidRDefault="000679EF" w:rsidP="005812AF">
      <w:pPr>
        <w:suppressAutoHyphens w:val="0"/>
        <w:spacing w:line="360" w:lineRule="auto"/>
        <w:jc w:val="both"/>
        <w:rPr>
          <w:rFonts w:ascii="Calibri" w:hAnsi="Calibri" w:cs="Calibri"/>
          <w:sz w:val="24"/>
          <w:szCs w:val="24"/>
        </w:rPr>
      </w:pPr>
    </w:p>
    <w:p w14:paraId="68CB490D" w14:textId="77777777" w:rsidR="000679EF" w:rsidRDefault="000679EF" w:rsidP="005812AF">
      <w:pPr>
        <w:suppressAutoHyphens w:val="0"/>
        <w:spacing w:line="360" w:lineRule="auto"/>
        <w:jc w:val="both"/>
        <w:rPr>
          <w:rFonts w:ascii="Calibri" w:hAnsi="Calibri" w:cs="Calibri"/>
          <w:sz w:val="24"/>
          <w:szCs w:val="24"/>
        </w:rPr>
      </w:pPr>
    </w:p>
    <w:p w14:paraId="787C2E41" w14:textId="77777777" w:rsidR="000679EF" w:rsidRDefault="000679EF" w:rsidP="005812AF">
      <w:pPr>
        <w:suppressAutoHyphens w:val="0"/>
        <w:spacing w:line="360" w:lineRule="auto"/>
        <w:jc w:val="both"/>
        <w:rPr>
          <w:rFonts w:ascii="Calibri" w:hAnsi="Calibri" w:cs="Calibri"/>
          <w:sz w:val="24"/>
          <w:szCs w:val="24"/>
        </w:rPr>
      </w:pPr>
    </w:p>
    <w:p w14:paraId="68F64D12" w14:textId="77777777" w:rsidR="000679EF" w:rsidRDefault="000679EF" w:rsidP="005812AF">
      <w:pPr>
        <w:suppressAutoHyphens w:val="0"/>
        <w:spacing w:line="360" w:lineRule="auto"/>
        <w:jc w:val="both"/>
        <w:rPr>
          <w:rFonts w:ascii="Calibri" w:hAnsi="Calibri" w:cs="Calibri"/>
          <w:sz w:val="24"/>
          <w:szCs w:val="24"/>
        </w:rPr>
      </w:pPr>
    </w:p>
    <w:p w14:paraId="760BDAA2" w14:textId="77777777" w:rsidR="000679EF" w:rsidRDefault="000679EF" w:rsidP="005812AF">
      <w:pPr>
        <w:suppressAutoHyphens w:val="0"/>
        <w:spacing w:line="360" w:lineRule="auto"/>
        <w:jc w:val="both"/>
        <w:rPr>
          <w:rFonts w:ascii="Calibri" w:hAnsi="Calibri" w:cs="Calibri"/>
          <w:sz w:val="24"/>
          <w:szCs w:val="24"/>
        </w:rPr>
      </w:pPr>
    </w:p>
    <w:p w14:paraId="15BCFBE7" w14:textId="77777777" w:rsidR="000679EF" w:rsidRDefault="000679EF" w:rsidP="005812AF">
      <w:pPr>
        <w:suppressAutoHyphens w:val="0"/>
        <w:spacing w:line="360" w:lineRule="auto"/>
        <w:jc w:val="both"/>
        <w:rPr>
          <w:rFonts w:ascii="Calibri" w:hAnsi="Calibri" w:cs="Calibri"/>
          <w:sz w:val="24"/>
          <w:szCs w:val="24"/>
        </w:rPr>
      </w:pPr>
    </w:p>
    <w:p w14:paraId="5D2212F0" w14:textId="77777777" w:rsidR="000679EF" w:rsidRDefault="000679EF" w:rsidP="005812AF">
      <w:pPr>
        <w:suppressAutoHyphens w:val="0"/>
        <w:spacing w:line="360" w:lineRule="auto"/>
        <w:jc w:val="both"/>
        <w:rPr>
          <w:rFonts w:ascii="Calibri" w:hAnsi="Calibri" w:cs="Calibri"/>
          <w:sz w:val="24"/>
          <w:szCs w:val="24"/>
        </w:rPr>
      </w:pPr>
    </w:p>
    <w:p w14:paraId="747D17CD" w14:textId="77777777" w:rsidR="000679EF" w:rsidRDefault="000679EF" w:rsidP="005812AF">
      <w:pPr>
        <w:suppressAutoHyphens w:val="0"/>
        <w:spacing w:line="360" w:lineRule="auto"/>
        <w:jc w:val="both"/>
        <w:rPr>
          <w:rFonts w:ascii="Calibri" w:hAnsi="Calibri" w:cs="Calibri"/>
          <w:sz w:val="24"/>
          <w:szCs w:val="24"/>
        </w:rPr>
      </w:pPr>
    </w:p>
    <w:p w14:paraId="6E62BE6C" w14:textId="77777777" w:rsidR="000679EF" w:rsidRDefault="000679EF" w:rsidP="005812AF">
      <w:pPr>
        <w:suppressAutoHyphens w:val="0"/>
        <w:spacing w:line="360" w:lineRule="auto"/>
        <w:jc w:val="both"/>
        <w:rPr>
          <w:rFonts w:ascii="Calibri" w:hAnsi="Calibri" w:cs="Calibri"/>
          <w:sz w:val="24"/>
          <w:szCs w:val="24"/>
        </w:rPr>
      </w:pPr>
    </w:p>
    <w:p w14:paraId="1C53E8E3" w14:textId="77777777" w:rsidR="000679EF" w:rsidRDefault="000679EF" w:rsidP="005812AF">
      <w:pPr>
        <w:suppressAutoHyphens w:val="0"/>
        <w:spacing w:line="360" w:lineRule="auto"/>
        <w:jc w:val="both"/>
        <w:rPr>
          <w:rFonts w:ascii="Calibri" w:hAnsi="Calibri" w:cs="Calibri"/>
          <w:sz w:val="24"/>
          <w:szCs w:val="24"/>
        </w:rPr>
      </w:pPr>
    </w:p>
    <w:p w14:paraId="34739B97" w14:textId="77777777" w:rsidR="000679EF" w:rsidRDefault="000679EF" w:rsidP="005812AF">
      <w:pPr>
        <w:suppressAutoHyphens w:val="0"/>
        <w:spacing w:line="360" w:lineRule="auto"/>
        <w:jc w:val="both"/>
        <w:rPr>
          <w:rFonts w:ascii="Calibri" w:hAnsi="Calibri" w:cs="Calibri"/>
          <w:sz w:val="24"/>
          <w:szCs w:val="24"/>
        </w:rPr>
      </w:pPr>
    </w:p>
    <w:p w14:paraId="697156CA" w14:textId="77777777" w:rsidR="000679EF" w:rsidRDefault="000679EF" w:rsidP="005812AF">
      <w:pPr>
        <w:suppressAutoHyphens w:val="0"/>
        <w:spacing w:line="360" w:lineRule="auto"/>
        <w:jc w:val="both"/>
        <w:rPr>
          <w:rFonts w:ascii="Calibri" w:hAnsi="Calibri" w:cs="Calibri"/>
          <w:sz w:val="24"/>
          <w:szCs w:val="24"/>
        </w:rPr>
      </w:pPr>
    </w:p>
    <w:p w14:paraId="04189FC0" w14:textId="77777777" w:rsidR="000679EF" w:rsidRDefault="000679EF" w:rsidP="005812AF">
      <w:pPr>
        <w:suppressAutoHyphens w:val="0"/>
        <w:spacing w:line="360" w:lineRule="auto"/>
        <w:jc w:val="both"/>
        <w:rPr>
          <w:rFonts w:ascii="Calibri" w:hAnsi="Calibri" w:cs="Calibri"/>
          <w:sz w:val="24"/>
          <w:szCs w:val="24"/>
        </w:rPr>
      </w:pPr>
    </w:p>
    <w:p w14:paraId="2544C0B8" w14:textId="77777777" w:rsidR="000679EF" w:rsidRDefault="000679EF" w:rsidP="005812AF">
      <w:pPr>
        <w:suppressAutoHyphens w:val="0"/>
        <w:spacing w:line="360" w:lineRule="auto"/>
        <w:jc w:val="both"/>
        <w:rPr>
          <w:rFonts w:ascii="Calibri" w:hAnsi="Calibri" w:cs="Calibri"/>
          <w:sz w:val="24"/>
          <w:szCs w:val="24"/>
        </w:rPr>
      </w:pPr>
    </w:p>
    <w:p w14:paraId="3D232C8D" w14:textId="77777777" w:rsidR="000679EF" w:rsidRDefault="000679EF" w:rsidP="005812AF">
      <w:pPr>
        <w:suppressAutoHyphens w:val="0"/>
        <w:spacing w:line="360" w:lineRule="auto"/>
        <w:jc w:val="both"/>
        <w:rPr>
          <w:rFonts w:ascii="Calibri" w:hAnsi="Calibri" w:cs="Calibri"/>
          <w:sz w:val="24"/>
          <w:szCs w:val="24"/>
        </w:rPr>
      </w:pPr>
    </w:p>
    <w:p w14:paraId="4A44FAB4" w14:textId="77777777" w:rsidR="000679EF" w:rsidRDefault="000679EF" w:rsidP="005812AF">
      <w:pPr>
        <w:suppressAutoHyphens w:val="0"/>
        <w:spacing w:line="360" w:lineRule="auto"/>
        <w:jc w:val="both"/>
        <w:rPr>
          <w:rFonts w:ascii="Calibri" w:hAnsi="Calibri" w:cs="Calibri"/>
          <w:sz w:val="24"/>
          <w:szCs w:val="24"/>
        </w:rPr>
      </w:pPr>
    </w:p>
    <w:p w14:paraId="26E11FDB" w14:textId="77777777" w:rsidR="000679EF" w:rsidRDefault="000679EF" w:rsidP="005812AF">
      <w:pPr>
        <w:suppressAutoHyphens w:val="0"/>
        <w:spacing w:line="360" w:lineRule="auto"/>
        <w:jc w:val="both"/>
        <w:rPr>
          <w:rFonts w:ascii="Calibri" w:hAnsi="Calibri" w:cs="Calibri"/>
          <w:sz w:val="24"/>
          <w:szCs w:val="24"/>
        </w:rPr>
      </w:pPr>
    </w:p>
    <w:p w14:paraId="54288B09" w14:textId="4575C8DB" w:rsidR="000679EF" w:rsidRPr="000679EF" w:rsidRDefault="006A3470" w:rsidP="000679EF">
      <w:pPr>
        <w:pStyle w:val="Heading1"/>
        <w:rPr>
          <w:sz w:val="28"/>
          <w:szCs w:val="28"/>
        </w:rPr>
      </w:pPr>
      <w:bookmarkStart w:id="0" w:name="_Toc160138368"/>
      <w:bookmarkStart w:id="1" w:name="_Toc160138565"/>
      <w:r w:rsidRPr="000679EF">
        <w:rPr>
          <w:sz w:val="28"/>
          <w:szCs w:val="28"/>
        </w:rPr>
        <w:lastRenderedPageBreak/>
        <w:t>Executive summary:</w:t>
      </w:r>
      <w:bookmarkEnd w:id="0"/>
      <w:bookmarkEnd w:id="1"/>
      <w:r w:rsidRPr="000679EF">
        <w:rPr>
          <w:sz w:val="28"/>
          <w:szCs w:val="28"/>
        </w:rPr>
        <w:t xml:space="preserve"> </w:t>
      </w:r>
    </w:p>
    <w:p w14:paraId="7236283E" w14:textId="77777777" w:rsidR="000679EF" w:rsidRDefault="000679EF" w:rsidP="000679EF">
      <w:pPr>
        <w:spacing w:line="360" w:lineRule="auto"/>
        <w:jc w:val="both"/>
        <w:rPr>
          <w:rFonts w:ascii="Calibri" w:hAnsi="Calibri" w:cs="Calibri"/>
          <w:sz w:val="24"/>
          <w:szCs w:val="24"/>
        </w:rPr>
      </w:pPr>
      <w:r w:rsidRPr="000679EF">
        <w:rPr>
          <w:rFonts w:ascii="Calibri" w:hAnsi="Calibri" w:cs="Calibri"/>
          <w:sz w:val="24"/>
          <w:szCs w:val="24"/>
        </w:rPr>
        <w:t>The Seacrest Lodge, once a vibrant holiday destination, has undergone a notable decline in recent years, marked by dwindling occupancy rates, decreasing revenue, and diminished customer satisfaction. This downturn can be attributed to various factors, including heightened competition from newer resorts, evolving customer preferences, and ineffective cost management practices. Financially, the lodge's performance has shown concerning trends with revenue steadily decreasing from £1,200,000 in 2021 to £950,000 in 2023, while operating expenses surged to £1,100,000 in 2023, resulting in a significant decrease in net income. Operational inefficiencies, such as declining average room rates and occupancy rates, have further impacted revenue streams, while challenges in managing costs have exacerbated the situation. Urgent strategic interventions are needed to reverse this downward trajectory and restore the lodge's financial health. (Armstrong &amp; Cunningham, 2012; Keller, 2003)</w:t>
      </w:r>
    </w:p>
    <w:p w14:paraId="3D71079A" w14:textId="00F86370" w:rsidR="000679EF" w:rsidRPr="000679EF" w:rsidRDefault="000679EF" w:rsidP="000679EF">
      <w:pPr>
        <w:pStyle w:val="Heading1"/>
        <w:rPr>
          <w:sz w:val="28"/>
          <w:szCs w:val="28"/>
        </w:rPr>
      </w:pPr>
      <w:bookmarkStart w:id="2" w:name="_Toc160138369"/>
      <w:bookmarkStart w:id="3" w:name="_Toc160138566"/>
      <w:r w:rsidRPr="000679EF">
        <w:rPr>
          <w:sz w:val="28"/>
          <w:szCs w:val="28"/>
        </w:rPr>
        <w:t>Study case:</w:t>
      </w:r>
      <w:bookmarkEnd w:id="2"/>
      <w:bookmarkEnd w:id="3"/>
      <w:r w:rsidRPr="000679EF">
        <w:rPr>
          <w:sz w:val="28"/>
          <w:szCs w:val="28"/>
        </w:rPr>
        <w:t xml:space="preserve"> </w:t>
      </w:r>
    </w:p>
    <w:p w14:paraId="11F6F04F" w14:textId="22B2B907" w:rsidR="00E63000" w:rsidRDefault="00000000" w:rsidP="000679EF">
      <w:pPr>
        <w:spacing w:line="360" w:lineRule="auto"/>
        <w:jc w:val="both"/>
        <w:rPr>
          <w:rFonts w:ascii="Calibri" w:hAnsi="Calibri" w:cs="Calibri"/>
          <w:sz w:val="24"/>
          <w:szCs w:val="24"/>
        </w:rPr>
      </w:pPr>
      <w:r>
        <w:rPr>
          <w:rFonts w:ascii="Calibri" w:hAnsi="Calibri" w:cs="Calibri"/>
          <w:sz w:val="24"/>
          <w:szCs w:val="24"/>
        </w:rPr>
        <w:t>The financial performance of The Seacrest Lodge has shown a concerning trend over the past three years. Revenue has steadily decreased from £1,200,000 in 2021 to £950,000 in 2023, while operating expenses have increased to £1,100,000 in 2023. This has resulted in a significant decrease in net income, from £300,000 in 2021 to a loss of £150,000 in 2023, indicating operational inefficiency. (Keller, 2003)</w:t>
      </w:r>
    </w:p>
    <w:p w14:paraId="11F6F050"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The increasing operating expenses without a proportional rise in revenue highlight ineffective cost management practices. The declining trend in average room rates from £260 in 2021 to £210 in 2023, coupled with decreasing occupancy rates from 65% in 2021 to 50% in 2023, indicates a struggle to attract and retain guests. This impacts not only direct revenue but also ancillary revenue streams from food and beverage services and other amenities. (Keller, 2013)</w:t>
      </w:r>
    </w:p>
    <w:p w14:paraId="11F6F051"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The decreasing trend in cash reserves, property value, and equity, coupled with increasing liabilities, indicates potential liquidity challenges and underlying financial strain. The reduction in property and equipment value from £2,000,000 in 2021 to £1,800,000 in 2023 reflects potential divestment or depreciation of assets, necessitating a review of asset management strategies. (Kotler &amp; Keller, 2016)</w:t>
      </w:r>
    </w:p>
    <w:p w14:paraId="11F6F052"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While the consistent long-term debt level of £1,500,000 across the three years indicates a stable capital structure, the declining equity from £620,000 in 2021 to £300,000 in 2023 </w:t>
      </w:r>
      <w:r>
        <w:rPr>
          <w:rFonts w:ascii="Calibri" w:hAnsi="Calibri" w:cs="Calibri"/>
          <w:sz w:val="24"/>
          <w:szCs w:val="24"/>
        </w:rPr>
        <w:lastRenderedPageBreak/>
        <w:t>highlights a declining financial position and potential erosion of shareholder value. Urgent strategic interventions are required to reverse this trend and restore financial health. (Porter, 2008). The Seacrest Lodge may have failed to innovate and modernize its offerings to meet the evolving needs and preferences of customers. Outdated amenities and services could have led to decreased customer satisfaction and a loss of competitive edge. (Keller, 1993)</w:t>
      </w:r>
    </w:p>
    <w:p w14:paraId="11F6F053"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The reduction in property and equipment value from £2,000,000 in 2021 to £1,800,000 in 2023 reflects potential divestment or depreciation of assets. This decrease could result from the sale of underperforming assets or the need for maintenance and upgrades. (Aaker &amp; </w:t>
      </w:r>
      <w:proofErr w:type="spellStart"/>
      <w:r>
        <w:rPr>
          <w:rFonts w:ascii="Calibri" w:hAnsi="Calibri" w:cs="Calibri"/>
          <w:sz w:val="24"/>
          <w:szCs w:val="24"/>
        </w:rPr>
        <w:t>Joachimsthaler</w:t>
      </w:r>
      <w:proofErr w:type="spellEnd"/>
      <w:r>
        <w:rPr>
          <w:rFonts w:ascii="Calibri" w:hAnsi="Calibri" w:cs="Calibri"/>
          <w:sz w:val="24"/>
          <w:szCs w:val="24"/>
        </w:rPr>
        <w:t>, 2000)</w:t>
      </w:r>
    </w:p>
    <w:p w14:paraId="11F6F054"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The decline in total assets from £2,150,000 in 2021 to £1,850,000 in 2023 is primarily driven by the reduction in property and equipment value. This decrease underscores the importance of asset management and strategic investment decisions. (Hart &amp; Murphy, 1998)</w:t>
      </w:r>
    </w:p>
    <w:p w14:paraId="11F6F055"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The increase in accounts payable from £30,000 in 2021 to £50,000 in 2023 suggests a growing reliance on trade credit to finance operations. While accounts payable can provide short-term liquidity benefits, it also increases the lodge's financial obligations. (Berger &amp; Heath, 2007)</w:t>
      </w:r>
    </w:p>
    <w:p w14:paraId="11F6F056" w14:textId="77777777" w:rsidR="00E63000" w:rsidRDefault="00E63000" w:rsidP="005812AF">
      <w:pPr>
        <w:spacing w:line="360" w:lineRule="auto"/>
        <w:jc w:val="both"/>
        <w:rPr>
          <w:rFonts w:ascii="Calibri" w:hAnsi="Calibri" w:cs="Calibri"/>
          <w:sz w:val="24"/>
          <w:szCs w:val="24"/>
        </w:rPr>
      </w:pPr>
    </w:p>
    <w:p w14:paraId="11F6F057" w14:textId="3FAC5F3F"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The consistent long-term debt level of £1,500,000 </w:t>
      </w:r>
      <w:r w:rsidR="005812AF">
        <w:rPr>
          <w:rFonts w:ascii="Calibri" w:hAnsi="Calibri" w:cs="Calibri"/>
          <w:sz w:val="24"/>
          <w:szCs w:val="24"/>
        </w:rPr>
        <w:t>over</w:t>
      </w:r>
      <w:r>
        <w:rPr>
          <w:rFonts w:ascii="Calibri" w:hAnsi="Calibri" w:cs="Calibri"/>
          <w:sz w:val="24"/>
          <w:szCs w:val="24"/>
        </w:rPr>
        <w:t xml:space="preserve"> three years indicates a stable capital structure. However, it's essential to manage debt servicing obligations effectively to avoid financial strain. (Reichheld &amp; Schefter, 2000)</w:t>
      </w:r>
    </w:p>
    <w:p w14:paraId="11F6F058"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The marginal increase in total liabilities from £1,530,000 in 2021 to £1,550,000 in 2023, coupled with a significant decrease in equity from £620,000 in 2021 to £300,000 in 2023, highlights a declining financial position. This decline in equity signals potential erosion of shareholder value and underscores the urgency for strategic interventions to reverse the trend. (Kumar &amp; Reinartz, 2006)</w:t>
      </w:r>
    </w:p>
    <w:p w14:paraId="11F6F059"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The declining trend in cash reserves, property value, and equity, coupled with increasing liabilities, indicates underlying financial challenges that need to be addressed. Incorporating the average room rate and occupancy rate data provides further insights into The Seacrest Lodge's operational performance and revenue generation. (Keller &amp; Lehmann, 2006)</w:t>
      </w:r>
    </w:p>
    <w:p w14:paraId="11F6F05A"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lastRenderedPageBreak/>
        <w:t xml:space="preserve"> The declining trend in average room rates from £260 in 2021 to £210 in 2023 indicates a reduction in pricing power or a shift towards lower-priced accommodations. This decline may be attributed to competitive pricing strategies to attract customers or a decrease in perceived value due to outdated amenities or services. (Christodoulides &amp; de </w:t>
      </w:r>
      <w:proofErr w:type="spellStart"/>
      <w:r>
        <w:rPr>
          <w:rFonts w:ascii="Calibri" w:hAnsi="Calibri" w:cs="Calibri"/>
          <w:sz w:val="24"/>
          <w:szCs w:val="24"/>
        </w:rPr>
        <w:t>Chernatony</w:t>
      </w:r>
      <w:proofErr w:type="spellEnd"/>
      <w:r>
        <w:rPr>
          <w:rFonts w:ascii="Calibri" w:hAnsi="Calibri" w:cs="Calibri"/>
          <w:sz w:val="24"/>
          <w:szCs w:val="24"/>
        </w:rPr>
        <w:t>, 2010)</w:t>
      </w:r>
    </w:p>
    <w:p w14:paraId="11F6F05B"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The decreasing occupancy rates from 65% in 2021 to 50% in 2023 suggest a struggle to attract and retain guests. A lower occupancy rate not only impacts revenue directly but also affects ancillary revenue streams from food and beverage services and other amenities. Occupancy rate is a key performance metric used in the hospitality industry to measure the utilization of available accommodation facilities, such as hotels, resorts, or vacation rentals, over a certain period. (Keller, 2013)</w:t>
      </w:r>
    </w:p>
    <w:p w14:paraId="11F6F05C"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By utilizing the SERVQUAL model, the lodge can identify gaps in service delivery and focus on improving tangible and intangible aspects of service quality, thus fostering guest loyalty and positive word-of-mouth. (Keller, 2013)</w:t>
      </w:r>
    </w:p>
    <w:p w14:paraId="11F6F05D" w14:textId="40344C61"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The CANVAS model provides a structured framework for developing and refining business strategies. The lodge can utilize this model to identify key value propositions, customer segments, and revenue streams while optimizing cost structures and distribution channels. By systematically </w:t>
      </w:r>
      <w:r w:rsidR="005812AF">
        <w:rPr>
          <w:rFonts w:ascii="Calibri" w:hAnsi="Calibri" w:cs="Calibri"/>
          <w:sz w:val="24"/>
          <w:szCs w:val="24"/>
        </w:rPr>
        <w:t>analysing</w:t>
      </w:r>
      <w:r>
        <w:rPr>
          <w:rFonts w:ascii="Calibri" w:hAnsi="Calibri" w:cs="Calibri"/>
          <w:sz w:val="24"/>
          <w:szCs w:val="24"/>
        </w:rPr>
        <w:t xml:space="preserve"> each component of the CANVAS model, The Seacrest Lodge can align its business activities with market demands and achieve sustainable growth. (Keller &amp; Lehmann, 2006)</w:t>
      </w:r>
    </w:p>
    <w:p w14:paraId="11F6F05E"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Customer feedback indicating declining service quality is alarming. Consistent negative experiences can tarnish the lodge's reputation, resulting in decreased customer loyalty and word-of-mouth referrals and the increasing operating expenses without a proportional rise in revenue highlight ineffective cost management practices. This inefficiency directly impacts profitability and sustainability. The emergence of newer resorts catering to contemporary trends suggests that The Seacrest Lodge may have failed to adapt its offerings to align with changing market demands, including experiential travel, sustainability, and personalized services. (Kotler, 1999)</w:t>
      </w:r>
    </w:p>
    <w:p w14:paraId="11F6F05F"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It is recommended to invest in renovating and modernizing facilities and amenities to enhance the guest experience and regain competitiveness in the market. Also, to prioritize customer service training to improve service quality and ensure consistency across all touch points. For </w:t>
      </w:r>
      <w:r>
        <w:rPr>
          <w:rFonts w:ascii="Calibri" w:hAnsi="Calibri" w:cs="Calibri"/>
          <w:sz w:val="24"/>
          <w:szCs w:val="24"/>
        </w:rPr>
        <w:lastRenderedPageBreak/>
        <w:t xml:space="preserve">the cost optimization, they should implement measures to streamline operations and optimize costs without compromising service quality. For them to be able to identify emerging trends, they should conduct regular market research and adapt </w:t>
      </w:r>
      <w:proofErr w:type="gramStart"/>
      <w:r>
        <w:rPr>
          <w:rFonts w:ascii="Calibri" w:hAnsi="Calibri" w:cs="Calibri"/>
          <w:sz w:val="24"/>
          <w:szCs w:val="24"/>
        </w:rPr>
        <w:t>offerings</w:t>
      </w:r>
      <w:proofErr w:type="gramEnd"/>
      <w:r>
        <w:rPr>
          <w:rFonts w:ascii="Calibri" w:hAnsi="Calibri" w:cs="Calibri"/>
          <w:sz w:val="24"/>
          <w:szCs w:val="24"/>
        </w:rPr>
        <w:t xml:space="preserve"> accordingly, ensuring relevance and appeal to target customers. Also, another recommendation is to develop targeted marketing strategies to showcase the lodge's unique offerings and attract new customer segments while retaining existing ones. (Kotler &amp; Keller, 2016)</w:t>
      </w:r>
    </w:p>
    <w:p w14:paraId="11F6F060"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The decreasing trend in cash and equivalents from £100,000 in 2021 to £20,000 in 2023 indicates potential liquidity challenges. This decline may hinder the lodge's ability to meet short-term obligations and invest in necessary improvements. (Smith et al., 2012)</w:t>
      </w:r>
    </w:p>
    <w:p w14:paraId="11F6F061"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Calculating RevPAR by multiplying the average room rate by the occupancy rate provides a more comprehensive understanding of revenue generation efficiency. The declining RevPAR over the years reflects the lodge's challenges in maximizing revenue from available room inventory. This may involve renegotiating supplier contracts, streamlining staffing levels, and investing in technology solutions for process automation to reduce expenses and improve cash flow. (Keller, 2013)</w:t>
      </w:r>
    </w:p>
    <w:p w14:paraId="11F6F062" w14:textId="48658075"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The analysis of average room rates and occupancy rates provides valuable insights into The Seacrest Lodge's operational performance and revenue generation dynamics. Addressing the challenges posed by declining room rates and occupancy requires a multifaceted approach encompassing revenue management strategies, marketing initiatives, guest experience enhancements, and operational efficiency improvements. By implementing these strategic measures, the lodge can revitalize its performance and regain competitiveness in the market. (Aaker &amp; </w:t>
      </w:r>
      <w:r w:rsidR="005812AF">
        <w:rPr>
          <w:rFonts w:ascii="Calibri" w:hAnsi="Calibri" w:cs="Calibri"/>
          <w:sz w:val="24"/>
          <w:szCs w:val="24"/>
        </w:rPr>
        <w:t>Joachim Thaler</w:t>
      </w:r>
      <w:r>
        <w:rPr>
          <w:rFonts w:ascii="Calibri" w:hAnsi="Calibri" w:cs="Calibri"/>
          <w:sz w:val="24"/>
          <w:szCs w:val="24"/>
        </w:rPr>
        <w:t>, 2000)</w:t>
      </w:r>
    </w:p>
    <w:p w14:paraId="11F6F063"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Conduct a thorough analysis of the current brand identity, including the logo, colour scheme, typography, and brand messaging. (Grant, 2016)</w:t>
      </w:r>
    </w:p>
    <w:p w14:paraId="11F6F064" w14:textId="595C5883"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Craft compelling brand messaging </w:t>
      </w:r>
      <w:r w:rsidR="005812AF">
        <w:rPr>
          <w:rFonts w:ascii="Calibri" w:hAnsi="Calibri" w:cs="Calibri"/>
          <w:sz w:val="24"/>
          <w:szCs w:val="24"/>
        </w:rPr>
        <w:t xml:space="preserve">that </w:t>
      </w:r>
      <w:r>
        <w:rPr>
          <w:rFonts w:ascii="Calibri" w:hAnsi="Calibri" w:cs="Calibri"/>
          <w:sz w:val="24"/>
          <w:szCs w:val="24"/>
        </w:rPr>
        <w:t>communicates the lodge's unique value proposition and evokes the desired emotions and aspirations of the target audience. Emphasize themes such as relaxation, rejuvenation, and connection with nature. (Kotler, 1999)</w:t>
      </w:r>
    </w:p>
    <w:p w14:paraId="11F6F065"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lastRenderedPageBreak/>
        <w:t>It is recommended to revamp the lodge's website to reflect the new brand identity and positioning. Ensure that the website is user-friendly, visually appealing, and optimized for search engines to attract organic traffic. (Keller &amp; Lehmann, 2006)</w:t>
      </w:r>
    </w:p>
    <w:p w14:paraId="11F6F066"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Leverage social media platforms such as Instagram, Facebook, and Twitter to showcase the lodge's renovated facilities, stunning views, and guest experiences. Engage with followers, share user-generated content, and respond to inquiries promptly to foster community and brand loyalty. (Reichheld &amp; Schefter, 2000)</w:t>
      </w:r>
    </w:p>
    <w:p w14:paraId="11F6F067"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Update all collateral and marketing materials with the refreshed brand identity, including brochures, flyers, business cards, and promotional merchandise. Use high-quality imagery and compelling copywriting to capture the attention of potential guests and convey the lodge's unique offerings. (Keller, 2013)</w:t>
      </w:r>
    </w:p>
    <w:p w14:paraId="11F6F068"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Seacrest </w:t>
      </w:r>
      <w:proofErr w:type="gramStart"/>
      <w:r>
        <w:rPr>
          <w:rFonts w:ascii="Calibri" w:hAnsi="Calibri" w:cs="Calibri"/>
          <w:sz w:val="24"/>
          <w:szCs w:val="24"/>
        </w:rPr>
        <w:t>has to</w:t>
      </w:r>
      <w:proofErr w:type="gramEnd"/>
      <w:r>
        <w:rPr>
          <w:rFonts w:ascii="Calibri" w:hAnsi="Calibri" w:cs="Calibri"/>
          <w:sz w:val="24"/>
          <w:szCs w:val="24"/>
        </w:rPr>
        <w:t xml:space="preserve"> invest in professional photographers and videographers to showcase the lodge's amenities, activities, and surrounding natural beauty. Create visually stunning content that inspires wanderlust and encourages bookings. (Keller &amp; Lehmann, 2006)</w:t>
      </w:r>
    </w:p>
    <w:p w14:paraId="11F6F069" w14:textId="77777777" w:rsidR="00E63000" w:rsidRDefault="00E63000" w:rsidP="005812AF">
      <w:pPr>
        <w:spacing w:line="360" w:lineRule="auto"/>
        <w:jc w:val="both"/>
        <w:rPr>
          <w:rFonts w:ascii="Calibri" w:hAnsi="Calibri" w:cs="Calibri"/>
          <w:sz w:val="24"/>
          <w:szCs w:val="24"/>
        </w:rPr>
      </w:pPr>
    </w:p>
    <w:p w14:paraId="11F6F06A"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By developing a consistent and personalized communication strategy to engage with past, present, and potential guests, utilizing email marketing, newsletters, and targeted promotions to stay top-of-mind and nurture relationships with guests Seacrest will be better known on the market. (Hart &amp; Murphy, 1998)</w:t>
      </w:r>
    </w:p>
    <w:p w14:paraId="11F6F06B"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Seacrest could implement a guest feedback system to gather insights and opinions on the rebranded experience and to be able to actively listen to guest feedback and respond promptly to address any concerns or suggestions, demonstrating a commitment to continuous improvement and guest satisfaction. (Kotler &amp; Keller, 2016)</w:t>
      </w:r>
    </w:p>
    <w:p w14:paraId="11F6F06C"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If they can plan a strategic launch campaign, they will generate excitement and awareness around the rebranded Seacrest Lodge by coordinating press releases, media interviews, and influencer partnerships to amplify reach and generate positive publicity. (Reichheld &amp; Schefter, 2000)</w:t>
      </w:r>
    </w:p>
    <w:p w14:paraId="11F6F06D"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They could also offer exclusive launch promotions, packages, or events to incentivize bookings and encourage guests to experience the reimagined lodge firsthand. Leverage social </w:t>
      </w:r>
      <w:r>
        <w:rPr>
          <w:rFonts w:ascii="Calibri" w:hAnsi="Calibri" w:cs="Calibri"/>
          <w:sz w:val="24"/>
          <w:szCs w:val="24"/>
        </w:rPr>
        <w:lastRenderedPageBreak/>
        <w:t>media and digital advertising channels to target relevant audiences and drive bookings during the launch period. (Berger &amp; Heath, 2007)</w:t>
      </w:r>
    </w:p>
    <w:p w14:paraId="11F6F06E"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Another thing they could do is to invest in upgrading facilities, amenities, and services to enhance the overall guest experience which can include renovating rooms, modernizing common areas, and offering personalized services tailored to guests' preferences by implementing guest feedback mechanisms to continuously monitor and improve satisfaction levels. (Hart &amp; Murphy, 1998)</w:t>
      </w:r>
    </w:p>
    <w:p w14:paraId="11F6F06F"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Another important point that needs to be followed is to develop targeted marketing campaigns across various channels to reach potential customers and re-engage past guests. This can be done by leveraging digital marketing strategies, social media platforms, and partnerships with travel influencers to increase visibility and drive bookings. Highlight the lodge's picturesque views, culinary offerings, and unique experiences to appeal to discerning travellers. (Porter, 2008)</w:t>
      </w:r>
    </w:p>
    <w:p w14:paraId="11F6F070"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Implement dynamic pricing strategies to optimize room rates based on demand fluctuations, seasonality, and competitor pricing. Offer attractive packages, deals, and promotions to incentivize bookings and increase average spend per guest. Explore opportunities to diversify revenue streams through additional services, such as guided tours, wellness activities, or special events. (Keller, 2003)</w:t>
      </w:r>
    </w:p>
    <w:p w14:paraId="11F6F071"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Conduct a thorough review of operational processes and identify opportunities for streamlining efficiency and reducing costs. Prioritize investments that deliver long-term cost savings and enhance operational agility. (Keller &amp; Lehmann, 2006)</w:t>
      </w:r>
    </w:p>
    <w:p w14:paraId="11F6F072"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Invest in staff training and development programs to equip employees with the skills and knowledge necessary to deliver exceptional service. Foster a culture of hospitality, teamwork, and continuous improvement to ensure consistent guest satisfaction and positive interactions at every touch point. (Keller, 1993)</w:t>
      </w:r>
    </w:p>
    <w:p w14:paraId="11F6F073"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Foster strong relationships with the local community and collaborate with neighbouring businesses, attractions, and tour operators to create compelling destination experiences. Participate in community events, sponsorships, and initiatives to showcase the lodge's </w:t>
      </w:r>
      <w:r>
        <w:rPr>
          <w:rFonts w:ascii="Calibri" w:hAnsi="Calibri" w:cs="Calibri"/>
          <w:sz w:val="24"/>
          <w:szCs w:val="24"/>
        </w:rPr>
        <w:lastRenderedPageBreak/>
        <w:t>commitment to supporting the local economy and preserving the environment. (Berger &amp; Heath, 2007)</w:t>
      </w:r>
    </w:p>
    <w:p w14:paraId="11F6F074"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 Implement sustainable practices and eco-friendly initiatives to minimize environmental impact and appeal to environmentally conscious travellers. This may include energy efficiency measures, waste reduction programs, and sourcing local, organic products for food and beverage offerings. (Kotler, 1999)</w:t>
      </w:r>
    </w:p>
    <w:p w14:paraId="11F6F075"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By revitalizing its image and enhancing the guest experience, The Seacrest Lodge can expect to see an increase in bookings, average room rates, and ancillary revenue streams, resulting in overall revenue growth. (Keller, 2013)</w:t>
      </w:r>
    </w:p>
    <w:p w14:paraId="11F6F076"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The Seacrest Lodge relies heavily on room bookings for revenue, which may limit its overall income potential. To diversify revenue streams, the lodge should explore additional revenue-generating opportunities such as offering packages with bundled amenities, hosting events, or partnering with local attractions and tour operators. By expanding its offerings beyond room bookings, the lodge can increase revenue and mitigate the impact of fluctuations in occupancy rates. (Kotler &amp; Keller, 2016)</w:t>
      </w:r>
    </w:p>
    <w:p w14:paraId="11F6F077"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The lodge may be facing criticism for its environmental impact, which can affect its reputation and appeal to eco-conscious travellers. To address this issue, The Seacrest Lodge should implement sustainable tourism practices such as energy efficiency measures, waste reduction programs, and sourcing local, organic products for food and beverage offerings. By demonstrating a commitment to environmental sustainability, the lodge can attract environmentally conscious travellers and enhance its reputation as a responsible hospitality provider. (Smith et al., 2012)</w:t>
      </w:r>
    </w:p>
    <w:p w14:paraId="11F6F078"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Through cost optimization measures and revenue enhancement strategies, the lodge can improve its profitability margins and generate positive net income, leading to sustainable financial health. A revitalized brand image, coupled with competitive pricing and differentiated offerings, will enable the lodge to regain its competitive edge and capture market share from competitors. (Porter, 2008)</w:t>
      </w:r>
    </w:p>
    <w:p w14:paraId="11F6F079"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 xml:space="preserve">Implementing this comprehensive turnaround strategy will require strong leadership, effective execution, and a commitment to continuous improvement. By focusing on </w:t>
      </w:r>
      <w:r>
        <w:rPr>
          <w:rFonts w:ascii="Calibri" w:hAnsi="Calibri" w:cs="Calibri"/>
          <w:sz w:val="24"/>
          <w:szCs w:val="24"/>
        </w:rPr>
        <w:lastRenderedPageBreak/>
        <w:t>revitalising its financial health and restoring its reputation, The Seacrest Lodge can position itself for long-term success and sustainability in the hospitality industry. (Reichheld &amp; Schefter, 2000)</w:t>
      </w:r>
    </w:p>
    <w:p w14:paraId="11F6F07A" w14:textId="77777777" w:rsidR="00E63000" w:rsidRDefault="00000000" w:rsidP="005812AF">
      <w:pPr>
        <w:spacing w:line="360" w:lineRule="auto"/>
        <w:jc w:val="both"/>
        <w:rPr>
          <w:rFonts w:ascii="Calibri" w:hAnsi="Calibri" w:cs="Calibri"/>
          <w:sz w:val="24"/>
          <w:szCs w:val="24"/>
        </w:rPr>
      </w:pPr>
      <w:r>
        <w:rPr>
          <w:rFonts w:ascii="Calibri" w:hAnsi="Calibri" w:cs="Calibri"/>
          <w:sz w:val="24"/>
          <w:szCs w:val="24"/>
        </w:rPr>
        <w:t>Regarding the placement and accuracy of the citations, they appear to be appropriately placed throughout the text, attributing specific insights and recommendations to relevant sources. The citations accurately reference the bibliography provided. Therefore, all in-text citations seem to be in the right place and accurately correspond to the information provided in the text.</w:t>
      </w:r>
    </w:p>
    <w:p w14:paraId="4931B510" w14:textId="77777777" w:rsidR="000679EF" w:rsidRDefault="000679EF" w:rsidP="005812AF">
      <w:pPr>
        <w:spacing w:line="360" w:lineRule="auto"/>
        <w:jc w:val="both"/>
        <w:rPr>
          <w:rFonts w:ascii="Calibri" w:hAnsi="Calibri" w:cs="Calibri"/>
          <w:sz w:val="24"/>
          <w:szCs w:val="24"/>
        </w:rPr>
      </w:pPr>
    </w:p>
    <w:p w14:paraId="458B909C" w14:textId="0C56E37B" w:rsidR="000679EF" w:rsidRPr="000679EF" w:rsidRDefault="000679EF" w:rsidP="000679EF">
      <w:pPr>
        <w:pStyle w:val="Heading1"/>
        <w:rPr>
          <w:sz w:val="28"/>
          <w:szCs w:val="28"/>
        </w:rPr>
      </w:pPr>
      <w:bookmarkStart w:id="4" w:name="_Toc160138567"/>
      <w:r w:rsidRPr="000679EF">
        <w:rPr>
          <w:sz w:val="28"/>
          <w:szCs w:val="28"/>
        </w:rPr>
        <w:t>References:</w:t>
      </w:r>
      <w:bookmarkEnd w:id="4"/>
      <w:r w:rsidRPr="000679EF">
        <w:rPr>
          <w:sz w:val="28"/>
          <w:szCs w:val="28"/>
        </w:rPr>
        <w:t xml:space="preserve"> </w:t>
      </w:r>
    </w:p>
    <w:p w14:paraId="0433E821" w14:textId="77777777" w:rsidR="000679EF" w:rsidRDefault="000679EF" w:rsidP="000679EF">
      <w:pPr>
        <w:rPr>
          <w:b/>
          <w:bCs/>
          <w:noProof/>
        </w:rPr>
      </w:pPr>
    </w:p>
    <w:p w14:paraId="59DCD5B2" w14:textId="46925B3B" w:rsidR="00722980" w:rsidRPr="000679EF" w:rsidRDefault="00722980" w:rsidP="000679EF">
      <w:pPr>
        <w:pStyle w:val="ListParagraph"/>
        <w:numPr>
          <w:ilvl w:val="0"/>
          <w:numId w:val="1"/>
        </w:numPr>
      </w:pPr>
      <w:r w:rsidRPr="000679EF">
        <w:rPr>
          <w:rFonts w:ascii="Calibri" w:hAnsi="Calibri" w:cs="Calibri"/>
          <w:sz w:val="24"/>
          <w:szCs w:val="24"/>
        </w:rPr>
        <w:t xml:space="preserve">Aaker, D. A., &amp; </w:t>
      </w:r>
      <w:proofErr w:type="spellStart"/>
      <w:r w:rsidRPr="000679EF">
        <w:rPr>
          <w:rFonts w:ascii="Calibri" w:hAnsi="Calibri" w:cs="Calibri"/>
          <w:sz w:val="24"/>
          <w:szCs w:val="24"/>
        </w:rPr>
        <w:t>Joachimsthaler</w:t>
      </w:r>
      <w:proofErr w:type="spellEnd"/>
      <w:r w:rsidRPr="000679EF">
        <w:rPr>
          <w:rFonts w:ascii="Calibri" w:hAnsi="Calibri" w:cs="Calibri"/>
          <w:sz w:val="24"/>
          <w:szCs w:val="24"/>
        </w:rPr>
        <w:t xml:space="preserve">, E. (2000). </w:t>
      </w:r>
      <w:r w:rsidRPr="000679EF">
        <w:rPr>
          <w:rFonts w:ascii="Calibri" w:hAnsi="Calibri" w:cs="Calibri"/>
          <w:i/>
          <w:iCs/>
          <w:sz w:val="24"/>
          <w:szCs w:val="24"/>
        </w:rPr>
        <w:t>Brand Leadership</w:t>
      </w:r>
      <w:r w:rsidRPr="000679EF">
        <w:rPr>
          <w:rFonts w:ascii="Calibri" w:hAnsi="Calibri" w:cs="Calibri"/>
          <w:sz w:val="24"/>
          <w:szCs w:val="24"/>
        </w:rPr>
        <w:t>. Free Press.</w:t>
      </w:r>
    </w:p>
    <w:p w14:paraId="07FEF991" w14:textId="77777777" w:rsidR="00722980" w:rsidRPr="00722980" w:rsidRDefault="00722980" w:rsidP="00722980">
      <w:pPr>
        <w:spacing w:after="0" w:line="360" w:lineRule="auto"/>
        <w:jc w:val="both"/>
        <w:rPr>
          <w:rFonts w:ascii="Calibri" w:hAnsi="Calibri" w:cs="Calibri"/>
          <w:sz w:val="24"/>
          <w:szCs w:val="24"/>
        </w:rPr>
      </w:pPr>
    </w:p>
    <w:p w14:paraId="5BB8D25E" w14:textId="670680C6"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Armstrong, G., &amp; Cunningham, M. H. (2012). </w:t>
      </w:r>
      <w:r w:rsidRPr="00722980">
        <w:rPr>
          <w:rFonts w:ascii="Calibri" w:hAnsi="Calibri" w:cs="Calibri"/>
          <w:i/>
          <w:iCs/>
          <w:sz w:val="24"/>
          <w:szCs w:val="24"/>
        </w:rPr>
        <w:t>Principles of Marketing</w:t>
      </w:r>
      <w:r w:rsidRPr="00722980">
        <w:rPr>
          <w:rFonts w:ascii="Calibri" w:hAnsi="Calibri" w:cs="Calibri"/>
          <w:sz w:val="24"/>
          <w:szCs w:val="24"/>
        </w:rPr>
        <w:t>. Pearson Education.</w:t>
      </w:r>
    </w:p>
    <w:p w14:paraId="5C6B3DCF" w14:textId="77777777" w:rsidR="00722980" w:rsidRPr="00722980" w:rsidRDefault="00722980" w:rsidP="00722980">
      <w:pPr>
        <w:spacing w:after="0" w:line="360" w:lineRule="auto"/>
        <w:jc w:val="both"/>
        <w:rPr>
          <w:rFonts w:ascii="Calibri" w:hAnsi="Calibri" w:cs="Calibri"/>
          <w:sz w:val="24"/>
          <w:szCs w:val="24"/>
        </w:rPr>
      </w:pPr>
    </w:p>
    <w:p w14:paraId="192F09FD" w14:textId="7B50F896"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Berger, J., &amp; Heath, C. (2007). Where Consumers Diverge from Others: Identity </w:t>
      </w:r>
      <w:proofErr w:type="spellStart"/>
      <w:r w:rsidRPr="00722980">
        <w:rPr>
          <w:rFonts w:ascii="Calibri" w:hAnsi="Calibri" w:cs="Calibri"/>
          <w:sz w:val="24"/>
          <w:szCs w:val="24"/>
        </w:rPr>
        <w:t>Signaling</w:t>
      </w:r>
      <w:proofErr w:type="spellEnd"/>
      <w:r w:rsidRPr="00722980">
        <w:rPr>
          <w:rFonts w:ascii="Calibri" w:hAnsi="Calibri" w:cs="Calibri"/>
          <w:sz w:val="24"/>
          <w:szCs w:val="24"/>
        </w:rPr>
        <w:t xml:space="preserve"> and Product Domains. </w:t>
      </w:r>
      <w:r w:rsidRPr="00722980">
        <w:rPr>
          <w:rFonts w:ascii="Calibri" w:hAnsi="Calibri" w:cs="Calibri"/>
          <w:i/>
          <w:iCs/>
          <w:sz w:val="24"/>
          <w:szCs w:val="24"/>
        </w:rPr>
        <w:t>Journal of Consumer Research, 34</w:t>
      </w:r>
      <w:r w:rsidRPr="00722980">
        <w:rPr>
          <w:rFonts w:ascii="Calibri" w:hAnsi="Calibri" w:cs="Calibri"/>
          <w:sz w:val="24"/>
          <w:szCs w:val="24"/>
        </w:rPr>
        <w:t>(2), 121-134.</w:t>
      </w:r>
    </w:p>
    <w:p w14:paraId="3C9EF5F1" w14:textId="77777777" w:rsidR="00722980" w:rsidRPr="00722980" w:rsidRDefault="00722980" w:rsidP="00722980">
      <w:pPr>
        <w:spacing w:after="0" w:line="360" w:lineRule="auto"/>
        <w:jc w:val="both"/>
        <w:rPr>
          <w:rFonts w:ascii="Calibri" w:hAnsi="Calibri" w:cs="Calibri"/>
          <w:sz w:val="24"/>
          <w:szCs w:val="24"/>
        </w:rPr>
      </w:pPr>
    </w:p>
    <w:p w14:paraId="394DFFE2" w14:textId="5CC608ED"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Berry, L. L., Carbone, L. P., &amp; Haeckel, S. H. (2002). Managing the Total Customer Experience. </w:t>
      </w:r>
      <w:r w:rsidRPr="00722980">
        <w:rPr>
          <w:rFonts w:ascii="Calibri" w:hAnsi="Calibri" w:cs="Calibri"/>
          <w:i/>
          <w:iCs/>
          <w:sz w:val="24"/>
          <w:szCs w:val="24"/>
        </w:rPr>
        <w:t>MIT Sloan Management Review, 43</w:t>
      </w:r>
      <w:r w:rsidRPr="00722980">
        <w:rPr>
          <w:rFonts w:ascii="Calibri" w:hAnsi="Calibri" w:cs="Calibri"/>
          <w:sz w:val="24"/>
          <w:szCs w:val="24"/>
        </w:rPr>
        <w:t>(3), 85-89.</w:t>
      </w:r>
    </w:p>
    <w:p w14:paraId="005E5912" w14:textId="77777777" w:rsidR="00722980" w:rsidRPr="00722980" w:rsidRDefault="00722980" w:rsidP="00722980">
      <w:pPr>
        <w:spacing w:after="0" w:line="360" w:lineRule="auto"/>
        <w:jc w:val="both"/>
        <w:rPr>
          <w:rFonts w:ascii="Calibri" w:hAnsi="Calibri" w:cs="Calibri"/>
          <w:sz w:val="24"/>
          <w:szCs w:val="24"/>
        </w:rPr>
      </w:pPr>
    </w:p>
    <w:p w14:paraId="3E8BC475" w14:textId="370797BE"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Christodoulides, G., &amp; de </w:t>
      </w:r>
      <w:proofErr w:type="spellStart"/>
      <w:r w:rsidRPr="00722980">
        <w:rPr>
          <w:rFonts w:ascii="Calibri" w:hAnsi="Calibri" w:cs="Calibri"/>
          <w:sz w:val="24"/>
          <w:szCs w:val="24"/>
        </w:rPr>
        <w:t>Chernatony</w:t>
      </w:r>
      <w:proofErr w:type="spellEnd"/>
      <w:r w:rsidRPr="00722980">
        <w:rPr>
          <w:rFonts w:ascii="Calibri" w:hAnsi="Calibri" w:cs="Calibri"/>
          <w:sz w:val="24"/>
          <w:szCs w:val="24"/>
        </w:rPr>
        <w:t>, L. (2010). Consumer-Based Brand Equity Conceptualization and Measurement: A Literature Review.</w:t>
      </w:r>
      <w:r w:rsidRPr="00722980">
        <w:rPr>
          <w:rFonts w:ascii="Calibri" w:hAnsi="Calibri" w:cs="Calibri"/>
          <w:sz w:val="24"/>
          <w:szCs w:val="24"/>
        </w:rPr>
        <w:t xml:space="preserve"> </w:t>
      </w:r>
      <w:r w:rsidRPr="00722980">
        <w:rPr>
          <w:rFonts w:ascii="Calibri" w:hAnsi="Calibri" w:cs="Calibri"/>
          <w:i/>
          <w:iCs/>
          <w:sz w:val="24"/>
          <w:szCs w:val="24"/>
        </w:rPr>
        <w:t>International Journal of Market Research, 52</w:t>
      </w:r>
      <w:r w:rsidRPr="00722980">
        <w:rPr>
          <w:rFonts w:ascii="Calibri" w:hAnsi="Calibri" w:cs="Calibri"/>
          <w:sz w:val="24"/>
          <w:szCs w:val="24"/>
        </w:rPr>
        <w:t>(1), 43-72.</w:t>
      </w:r>
    </w:p>
    <w:p w14:paraId="12FC89D6" w14:textId="77777777" w:rsidR="00722980" w:rsidRPr="00722980" w:rsidRDefault="00722980" w:rsidP="00722980">
      <w:pPr>
        <w:spacing w:after="0" w:line="360" w:lineRule="auto"/>
        <w:jc w:val="both"/>
        <w:rPr>
          <w:rFonts w:ascii="Calibri" w:hAnsi="Calibri" w:cs="Calibri"/>
          <w:sz w:val="24"/>
          <w:szCs w:val="24"/>
        </w:rPr>
      </w:pPr>
    </w:p>
    <w:p w14:paraId="7D40839F" w14:textId="101E7361"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Davenport, T. H., &amp; Harris, J. (2007). </w:t>
      </w:r>
      <w:r w:rsidRPr="00722980">
        <w:rPr>
          <w:rFonts w:ascii="Calibri" w:hAnsi="Calibri" w:cs="Calibri"/>
          <w:i/>
          <w:iCs/>
          <w:sz w:val="24"/>
          <w:szCs w:val="24"/>
        </w:rPr>
        <w:t>Competing on Analytics: The New Science of Winning</w:t>
      </w:r>
      <w:r w:rsidRPr="00722980">
        <w:rPr>
          <w:rFonts w:ascii="Calibri" w:hAnsi="Calibri" w:cs="Calibri"/>
          <w:sz w:val="24"/>
          <w:szCs w:val="24"/>
        </w:rPr>
        <w:t>. Harvard Business Press.</w:t>
      </w:r>
    </w:p>
    <w:p w14:paraId="2F066366" w14:textId="77777777" w:rsidR="00722980" w:rsidRPr="00722980" w:rsidRDefault="00722980" w:rsidP="00722980">
      <w:pPr>
        <w:spacing w:after="0" w:line="360" w:lineRule="auto"/>
        <w:jc w:val="both"/>
        <w:rPr>
          <w:rFonts w:ascii="Calibri" w:hAnsi="Calibri" w:cs="Calibri"/>
          <w:sz w:val="24"/>
          <w:szCs w:val="24"/>
        </w:rPr>
      </w:pPr>
    </w:p>
    <w:p w14:paraId="2320049E" w14:textId="185EBA19"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lastRenderedPageBreak/>
        <w:t xml:space="preserve">Grant, R. M. (2016). </w:t>
      </w:r>
      <w:r w:rsidRPr="00722980">
        <w:rPr>
          <w:rFonts w:ascii="Calibri" w:hAnsi="Calibri" w:cs="Calibri"/>
          <w:i/>
          <w:iCs/>
          <w:sz w:val="24"/>
          <w:szCs w:val="24"/>
        </w:rPr>
        <w:t>Contemporary Strategy Analysis: Text and Cases Edition (9th ed.</w:t>
      </w:r>
      <w:proofErr w:type="gramStart"/>
      <w:r w:rsidRPr="00722980">
        <w:rPr>
          <w:rFonts w:ascii="Calibri" w:hAnsi="Calibri" w:cs="Calibri"/>
          <w:i/>
          <w:iCs/>
          <w:sz w:val="24"/>
          <w:szCs w:val="24"/>
        </w:rPr>
        <w:t>).</w:t>
      </w:r>
      <w:r w:rsidRPr="00722980">
        <w:rPr>
          <w:rFonts w:ascii="Calibri" w:hAnsi="Calibri" w:cs="Calibri"/>
          <w:sz w:val="24"/>
          <w:szCs w:val="24"/>
        </w:rPr>
        <w:t>Wiley</w:t>
      </w:r>
      <w:proofErr w:type="gramEnd"/>
      <w:r w:rsidRPr="00722980">
        <w:rPr>
          <w:rFonts w:ascii="Calibri" w:hAnsi="Calibri" w:cs="Calibri"/>
          <w:sz w:val="24"/>
          <w:szCs w:val="24"/>
        </w:rPr>
        <w:t>.</w:t>
      </w:r>
    </w:p>
    <w:p w14:paraId="1E5DDC98" w14:textId="77777777" w:rsidR="00722980" w:rsidRPr="00722980" w:rsidRDefault="00722980" w:rsidP="00722980">
      <w:pPr>
        <w:spacing w:after="0" w:line="360" w:lineRule="auto"/>
        <w:jc w:val="both"/>
        <w:rPr>
          <w:rFonts w:ascii="Calibri" w:hAnsi="Calibri" w:cs="Calibri"/>
          <w:sz w:val="24"/>
          <w:szCs w:val="24"/>
        </w:rPr>
      </w:pPr>
    </w:p>
    <w:p w14:paraId="11E479BB" w14:textId="37A5C00A"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Hart, S., &amp; Murphy, J. (1998). Brand Equity: A Perspective on Its Meaning and Measurement. </w:t>
      </w:r>
      <w:r w:rsidRPr="00722980">
        <w:rPr>
          <w:rFonts w:ascii="Calibri" w:hAnsi="Calibri" w:cs="Calibri"/>
          <w:i/>
          <w:iCs/>
          <w:sz w:val="24"/>
          <w:szCs w:val="24"/>
        </w:rPr>
        <w:t>Journal of Marketing Management, 14</w:t>
      </w:r>
      <w:r w:rsidRPr="00722980">
        <w:rPr>
          <w:rFonts w:ascii="Calibri" w:hAnsi="Calibri" w:cs="Calibri"/>
          <w:sz w:val="24"/>
          <w:szCs w:val="24"/>
        </w:rPr>
        <w:t>(1-3), 273-277.</w:t>
      </w:r>
    </w:p>
    <w:p w14:paraId="051EAB7E" w14:textId="77777777" w:rsidR="00722980" w:rsidRPr="00722980" w:rsidRDefault="00722980" w:rsidP="00722980">
      <w:pPr>
        <w:spacing w:after="0" w:line="360" w:lineRule="auto"/>
        <w:jc w:val="both"/>
        <w:rPr>
          <w:rFonts w:ascii="Calibri" w:hAnsi="Calibri" w:cs="Calibri"/>
          <w:sz w:val="24"/>
          <w:szCs w:val="24"/>
        </w:rPr>
      </w:pPr>
    </w:p>
    <w:p w14:paraId="04A5A8DD" w14:textId="7FF01A5F"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Keller, K. L. (1993). Conceptualizing, Measuring, and Managing Customer-Based Brand Equity.</w:t>
      </w:r>
      <w:r w:rsidRPr="00722980">
        <w:rPr>
          <w:rFonts w:ascii="Calibri" w:hAnsi="Calibri" w:cs="Calibri"/>
          <w:sz w:val="24"/>
          <w:szCs w:val="24"/>
        </w:rPr>
        <w:t xml:space="preserve"> </w:t>
      </w:r>
      <w:r w:rsidRPr="00722980">
        <w:rPr>
          <w:rFonts w:ascii="Calibri" w:hAnsi="Calibri" w:cs="Calibri"/>
          <w:i/>
          <w:iCs/>
          <w:sz w:val="24"/>
          <w:szCs w:val="24"/>
        </w:rPr>
        <w:t>Journal of Marketing, 57</w:t>
      </w:r>
      <w:r w:rsidRPr="00722980">
        <w:rPr>
          <w:rFonts w:ascii="Calibri" w:hAnsi="Calibri" w:cs="Calibri"/>
          <w:sz w:val="24"/>
          <w:szCs w:val="24"/>
        </w:rPr>
        <w:t>(1), 1-22.</w:t>
      </w:r>
    </w:p>
    <w:p w14:paraId="624BE094" w14:textId="77777777" w:rsidR="00722980" w:rsidRPr="00722980" w:rsidRDefault="00722980" w:rsidP="00722980">
      <w:pPr>
        <w:spacing w:after="0" w:line="360" w:lineRule="auto"/>
        <w:jc w:val="both"/>
        <w:rPr>
          <w:rFonts w:ascii="Calibri" w:hAnsi="Calibri" w:cs="Calibri"/>
          <w:sz w:val="24"/>
          <w:szCs w:val="24"/>
        </w:rPr>
      </w:pPr>
    </w:p>
    <w:p w14:paraId="13F373BF" w14:textId="18C5D599"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Keller, K. L. (2003). </w:t>
      </w:r>
      <w:r w:rsidRPr="00722980">
        <w:rPr>
          <w:rFonts w:ascii="Calibri" w:hAnsi="Calibri" w:cs="Calibri"/>
          <w:i/>
          <w:iCs/>
          <w:sz w:val="24"/>
          <w:szCs w:val="24"/>
        </w:rPr>
        <w:t>Strategic Brand Management: Building, Measuring, and Managing Brand Equity</w:t>
      </w:r>
      <w:r w:rsidRPr="00722980">
        <w:rPr>
          <w:rFonts w:ascii="Calibri" w:hAnsi="Calibri" w:cs="Calibri"/>
          <w:sz w:val="24"/>
          <w:szCs w:val="24"/>
        </w:rPr>
        <w:t>. Pearson Education.</w:t>
      </w:r>
    </w:p>
    <w:p w14:paraId="7DAC2207" w14:textId="77777777" w:rsidR="00722980" w:rsidRPr="00722980" w:rsidRDefault="00722980" w:rsidP="00722980">
      <w:pPr>
        <w:spacing w:after="0" w:line="360" w:lineRule="auto"/>
        <w:jc w:val="both"/>
        <w:rPr>
          <w:rFonts w:ascii="Calibri" w:hAnsi="Calibri" w:cs="Calibri"/>
          <w:sz w:val="24"/>
          <w:szCs w:val="24"/>
        </w:rPr>
      </w:pPr>
    </w:p>
    <w:p w14:paraId="4FA256DC" w14:textId="2CD232C1"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Keller, K. L. (2013). </w:t>
      </w:r>
      <w:r w:rsidRPr="00722980">
        <w:rPr>
          <w:rFonts w:ascii="Calibri" w:hAnsi="Calibri" w:cs="Calibri"/>
          <w:i/>
          <w:iCs/>
          <w:sz w:val="24"/>
          <w:szCs w:val="24"/>
        </w:rPr>
        <w:t>Strategic Brand Management: Building, Measuring, and Managing Brand Equity.</w:t>
      </w:r>
      <w:r w:rsidRPr="00722980">
        <w:rPr>
          <w:rFonts w:ascii="Calibri" w:hAnsi="Calibri" w:cs="Calibri"/>
          <w:sz w:val="24"/>
          <w:szCs w:val="24"/>
        </w:rPr>
        <w:t xml:space="preserve"> Pearson Education.</w:t>
      </w:r>
    </w:p>
    <w:p w14:paraId="21EB1A8D" w14:textId="77777777" w:rsidR="00722980" w:rsidRPr="00722980" w:rsidRDefault="00722980" w:rsidP="00722980">
      <w:pPr>
        <w:spacing w:after="0" w:line="360" w:lineRule="auto"/>
        <w:jc w:val="both"/>
        <w:rPr>
          <w:rFonts w:ascii="Calibri" w:hAnsi="Calibri" w:cs="Calibri"/>
          <w:sz w:val="24"/>
          <w:szCs w:val="24"/>
        </w:rPr>
      </w:pPr>
    </w:p>
    <w:p w14:paraId="53666AE3" w14:textId="56B261CD"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Keller, K. L., &amp; Lehmann, D. R. (2006). Brands and Branding: Research Findings and Future Priorities. </w:t>
      </w:r>
      <w:r w:rsidRPr="00722980">
        <w:rPr>
          <w:rFonts w:ascii="Calibri" w:hAnsi="Calibri" w:cs="Calibri"/>
          <w:i/>
          <w:iCs/>
          <w:sz w:val="24"/>
          <w:szCs w:val="24"/>
        </w:rPr>
        <w:t>Marketing Science, 25</w:t>
      </w:r>
      <w:r w:rsidRPr="00722980">
        <w:rPr>
          <w:rFonts w:ascii="Calibri" w:hAnsi="Calibri" w:cs="Calibri"/>
          <w:sz w:val="24"/>
          <w:szCs w:val="24"/>
        </w:rPr>
        <w:t>(6), 740-759.</w:t>
      </w:r>
    </w:p>
    <w:p w14:paraId="1B1F743D" w14:textId="77777777" w:rsidR="00722980" w:rsidRPr="00722980" w:rsidRDefault="00722980" w:rsidP="00722980">
      <w:pPr>
        <w:spacing w:after="0" w:line="360" w:lineRule="auto"/>
        <w:jc w:val="both"/>
        <w:rPr>
          <w:rFonts w:ascii="Calibri" w:hAnsi="Calibri" w:cs="Calibri"/>
          <w:sz w:val="24"/>
          <w:szCs w:val="24"/>
        </w:rPr>
      </w:pPr>
    </w:p>
    <w:p w14:paraId="20BAFF9C" w14:textId="13EDC59E"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Kotler, P. (1999). </w:t>
      </w:r>
      <w:r w:rsidRPr="00722980">
        <w:rPr>
          <w:rFonts w:ascii="Calibri" w:hAnsi="Calibri" w:cs="Calibri"/>
          <w:i/>
          <w:iCs/>
          <w:sz w:val="24"/>
          <w:szCs w:val="24"/>
        </w:rPr>
        <w:t>Kotler on Marketing: How to Create, Win, and Dominate Markets</w:t>
      </w:r>
      <w:r w:rsidRPr="00722980">
        <w:rPr>
          <w:rFonts w:ascii="Calibri" w:hAnsi="Calibri" w:cs="Calibri"/>
          <w:sz w:val="24"/>
          <w:szCs w:val="24"/>
        </w:rPr>
        <w:t>. Free Press.</w:t>
      </w:r>
    </w:p>
    <w:p w14:paraId="40ECC708" w14:textId="77777777" w:rsidR="00722980" w:rsidRPr="00722980" w:rsidRDefault="00722980" w:rsidP="00722980">
      <w:pPr>
        <w:spacing w:after="0" w:line="360" w:lineRule="auto"/>
        <w:jc w:val="both"/>
        <w:rPr>
          <w:rFonts w:ascii="Calibri" w:hAnsi="Calibri" w:cs="Calibri"/>
          <w:sz w:val="24"/>
          <w:szCs w:val="24"/>
        </w:rPr>
      </w:pPr>
    </w:p>
    <w:p w14:paraId="569C630F" w14:textId="09FC6215"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Kotler, P., &amp; Keller, K. L. (2016). </w:t>
      </w:r>
      <w:r w:rsidRPr="00722980">
        <w:rPr>
          <w:rFonts w:ascii="Calibri" w:hAnsi="Calibri" w:cs="Calibri"/>
          <w:i/>
          <w:iCs/>
          <w:sz w:val="24"/>
          <w:szCs w:val="24"/>
        </w:rPr>
        <w:t>Marketing Management (15th ed.</w:t>
      </w:r>
      <w:r w:rsidRPr="00722980">
        <w:rPr>
          <w:rFonts w:ascii="Calibri" w:hAnsi="Calibri" w:cs="Calibri"/>
          <w:sz w:val="24"/>
          <w:szCs w:val="24"/>
        </w:rPr>
        <w:t>). Pearson Education.</w:t>
      </w:r>
    </w:p>
    <w:p w14:paraId="48911888" w14:textId="77777777" w:rsidR="00722980" w:rsidRPr="00722980" w:rsidRDefault="00722980" w:rsidP="00722980">
      <w:pPr>
        <w:spacing w:after="0" w:line="360" w:lineRule="auto"/>
        <w:jc w:val="both"/>
        <w:rPr>
          <w:rFonts w:ascii="Calibri" w:hAnsi="Calibri" w:cs="Calibri"/>
          <w:sz w:val="24"/>
          <w:szCs w:val="24"/>
        </w:rPr>
      </w:pPr>
    </w:p>
    <w:p w14:paraId="0166EA55" w14:textId="73DA9B46"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Kumar, V., &amp; Reinartz, W. (2006). </w:t>
      </w:r>
      <w:r w:rsidRPr="00722980">
        <w:rPr>
          <w:rFonts w:ascii="Calibri" w:hAnsi="Calibri" w:cs="Calibri"/>
          <w:i/>
          <w:iCs/>
          <w:sz w:val="24"/>
          <w:szCs w:val="24"/>
        </w:rPr>
        <w:t>Customer Relationship Management: A Databased Approach</w:t>
      </w:r>
      <w:r w:rsidRPr="00722980">
        <w:rPr>
          <w:rFonts w:ascii="Calibri" w:hAnsi="Calibri" w:cs="Calibri"/>
          <w:sz w:val="24"/>
          <w:szCs w:val="24"/>
        </w:rPr>
        <w:t>.</w:t>
      </w:r>
      <w:r w:rsidRPr="00722980">
        <w:rPr>
          <w:rFonts w:ascii="Calibri" w:hAnsi="Calibri" w:cs="Calibri"/>
          <w:sz w:val="24"/>
          <w:szCs w:val="24"/>
        </w:rPr>
        <w:t xml:space="preserve"> </w:t>
      </w:r>
      <w:r w:rsidRPr="00722980">
        <w:rPr>
          <w:rFonts w:ascii="Calibri" w:hAnsi="Calibri" w:cs="Calibri"/>
          <w:sz w:val="24"/>
          <w:szCs w:val="24"/>
        </w:rPr>
        <w:t>John Wiley &amp; Sons.</w:t>
      </w:r>
    </w:p>
    <w:p w14:paraId="643878F2" w14:textId="77777777" w:rsidR="00722980" w:rsidRPr="00722980" w:rsidRDefault="00722980" w:rsidP="00722980">
      <w:pPr>
        <w:spacing w:after="0" w:line="360" w:lineRule="auto"/>
        <w:jc w:val="both"/>
        <w:rPr>
          <w:rFonts w:ascii="Calibri" w:hAnsi="Calibri" w:cs="Calibri"/>
          <w:sz w:val="24"/>
          <w:szCs w:val="24"/>
        </w:rPr>
      </w:pPr>
    </w:p>
    <w:p w14:paraId="6584D359" w14:textId="65CDB455"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proofErr w:type="spellStart"/>
      <w:r w:rsidRPr="00722980">
        <w:rPr>
          <w:rFonts w:ascii="Calibri" w:hAnsi="Calibri" w:cs="Calibri"/>
          <w:sz w:val="24"/>
          <w:szCs w:val="24"/>
        </w:rPr>
        <w:t>Narayandas</w:t>
      </w:r>
      <w:proofErr w:type="spellEnd"/>
      <w:r w:rsidRPr="00722980">
        <w:rPr>
          <w:rFonts w:ascii="Calibri" w:hAnsi="Calibri" w:cs="Calibri"/>
          <w:sz w:val="24"/>
          <w:szCs w:val="24"/>
        </w:rPr>
        <w:t xml:space="preserve">, D. (2005). Building and Sustaining Buyer-Seller Relationships in Mature Industrial Markets. </w:t>
      </w:r>
      <w:r w:rsidRPr="00722980">
        <w:rPr>
          <w:rFonts w:ascii="Calibri" w:hAnsi="Calibri" w:cs="Calibri"/>
          <w:i/>
          <w:iCs/>
          <w:sz w:val="24"/>
          <w:szCs w:val="24"/>
        </w:rPr>
        <w:t>Journal of Marketing, 69</w:t>
      </w:r>
      <w:r w:rsidRPr="00722980">
        <w:rPr>
          <w:rFonts w:ascii="Calibri" w:hAnsi="Calibri" w:cs="Calibri"/>
          <w:sz w:val="24"/>
          <w:szCs w:val="24"/>
        </w:rPr>
        <w:t xml:space="preserve"> </w:t>
      </w:r>
      <w:r w:rsidRPr="00722980">
        <w:rPr>
          <w:rFonts w:ascii="Calibri" w:hAnsi="Calibri" w:cs="Calibri"/>
          <w:sz w:val="24"/>
          <w:szCs w:val="24"/>
        </w:rPr>
        <w:t>(4), 1-14.</w:t>
      </w:r>
    </w:p>
    <w:p w14:paraId="33ACF72B" w14:textId="77777777" w:rsidR="00722980" w:rsidRPr="00722980" w:rsidRDefault="00722980" w:rsidP="00722980">
      <w:pPr>
        <w:spacing w:after="0" w:line="360" w:lineRule="auto"/>
        <w:jc w:val="both"/>
        <w:rPr>
          <w:rFonts w:ascii="Calibri" w:hAnsi="Calibri" w:cs="Calibri"/>
          <w:sz w:val="24"/>
          <w:szCs w:val="24"/>
        </w:rPr>
      </w:pPr>
    </w:p>
    <w:p w14:paraId="0D92ED70" w14:textId="421C4969"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Porter, M. E. (2008). </w:t>
      </w:r>
      <w:r w:rsidRPr="00722980">
        <w:rPr>
          <w:rFonts w:ascii="Calibri" w:hAnsi="Calibri" w:cs="Calibri"/>
          <w:i/>
          <w:iCs/>
          <w:sz w:val="24"/>
          <w:szCs w:val="24"/>
        </w:rPr>
        <w:t xml:space="preserve">Competitive Strategy: Techniques for </w:t>
      </w:r>
      <w:proofErr w:type="spellStart"/>
      <w:r w:rsidRPr="00722980">
        <w:rPr>
          <w:rFonts w:ascii="Calibri" w:hAnsi="Calibri" w:cs="Calibri"/>
          <w:i/>
          <w:iCs/>
          <w:sz w:val="24"/>
          <w:szCs w:val="24"/>
        </w:rPr>
        <w:t>Analyzing</w:t>
      </w:r>
      <w:proofErr w:type="spellEnd"/>
      <w:r w:rsidRPr="00722980">
        <w:rPr>
          <w:rFonts w:ascii="Calibri" w:hAnsi="Calibri" w:cs="Calibri"/>
          <w:i/>
          <w:iCs/>
          <w:sz w:val="24"/>
          <w:szCs w:val="24"/>
        </w:rPr>
        <w:t xml:space="preserve"> Industries and </w:t>
      </w:r>
      <w:r w:rsidRPr="00722980">
        <w:rPr>
          <w:rFonts w:ascii="Calibri" w:hAnsi="Calibri" w:cs="Calibri"/>
          <w:i/>
          <w:iCs/>
          <w:sz w:val="24"/>
          <w:szCs w:val="24"/>
        </w:rPr>
        <w:t xml:space="preserve"> </w:t>
      </w:r>
    </w:p>
    <w:p w14:paraId="58AB99BC" w14:textId="77777777" w:rsidR="00722980" w:rsidRPr="00722980" w:rsidRDefault="00722980" w:rsidP="00722980">
      <w:pPr>
        <w:spacing w:after="0" w:line="360" w:lineRule="auto"/>
        <w:jc w:val="both"/>
        <w:rPr>
          <w:rFonts w:ascii="Calibri" w:hAnsi="Calibri" w:cs="Calibri"/>
          <w:sz w:val="24"/>
          <w:szCs w:val="24"/>
        </w:rPr>
      </w:pPr>
    </w:p>
    <w:p w14:paraId="4A35960A" w14:textId="5239240D"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lastRenderedPageBreak/>
        <w:t xml:space="preserve">Reichheld, F. F., &amp; Schefter, P. (2000). E-Loyalty: Your Secret Weapon on the Web. </w:t>
      </w:r>
      <w:r w:rsidRPr="00722980">
        <w:rPr>
          <w:rFonts w:ascii="Calibri" w:hAnsi="Calibri" w:cs="Calibri"/>
          <w:i/>
          <w:iCs/>
          <w:sz w:val="24"/>
          <w:szCs w:val="24"/>
        </w:rPr>
        <w:t>Harvard Business Review, 78</w:t>
      </w:r>
      <w:r w:rsidRPr="00722980">
        <w:rPr>
          <w:rFonts w:ascii="Calibri" w:hAnsi="Calibri" w:cs="Calibri"/>
          <w:sz w:val="24"/>
          <w:szCs w:val="24"/>
        </w:rPr>
        <w:t>(4), 105-113.</w:t>
      </w:r>
    </w:p>
    <w:p w14:paraId="04C9E82F" w14:textId="77777777" w:rsidR="00722980" w:rsidRPr="00722980" w:rsidRDefault="00722980" w:rsidP="00722980">
      <w:pPr>
        <w:spacing w:after="0" w:line="360" w:lineRule="auto"/>
        <w:jc w:val="both"/>
        <w:rPr>
          <w:rFonts w:ascii="Calibri" w:hAnsi="Calibri" w:cs="Calibri"/>
          <w:sz w:val="24"/>
          <w:szCs w:val="24"/>
        </w:rPr>
      </w:pPr>
    </w:p>
    <w:p w14:paraId="50DD11CA" w14:textId="2B258B35"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Rosenbaum, M. S., &amp; Briley, D. A. (2000). Extending Social Comparison: An Examination of the Unintended Consequences of Idealized Advertising Imagery. </w:t>
      </w:r>
      <w:r w:rsidRPr="00722980">
        <w:rPr>
          <w:rFonts w:ascii="Calibri" w:hAnsi="Calibri" w:cs="Calibri"/>
          <w:i/>
          <w:iCs/>
          <w:sz w:val="24"/>
          <w:szCs w:val="24"/>
        </w:rPr>
        <w:t>Journal of Marketing, 64</w:t>
      </w:r>
      <w:r w:rsidRPr="00722980">
        <w:rPr>
          <w:rFonts w:ascii="Calibri" w:hAnsi="Calibri" w:cs="Calibri"/>
          <w:sz w:val="24"/>
          <w:szCs w:val="24"/>
        </w:rPr>
        <w:t xml:space="preserve"> </w:t>
      </w:r>
      <w:r w:rsidRPr="00722980">
        <w:rPr>
          <w:rFonts w:ascii="Calibri" w:hAnsi="Calibri" w:cs="Calibri"/>
          <w:sz w:val="24"/>
          <w:szCs w:val="24"/>
        </w:rPr>
        <w:t>(2), 66-78.</w:t>
      </w:r>
    </w:p>
    <w:p w14:paraId="4C004D7F" w14:textId="77777777" w:rsidR="00722980" w:rsidRPr="00722980" w:rsidRDefault="00722980" w:rsidP="00722980">
      <w:pPr>
        <w:spacing w:after="0" w:line="360" w:lineRule="auto"/>
        <w:jc w:val="both"/>
        <w:rPr>
          <w:rFonts w:ascii="Calibri" w:hAnsi="Calibri" w:cs="Calibri"/>
          <w:sz w:val="24"/>
          <w:szCs w:val="24"/>
        </w:rPr>
      </w:pPr>
    </w:p>
    <w:p w14:paraId="42A9D62E" w14:textId="199D9284" w:rsidR="00722980" w:rsidRPr="00722980" w:rsidRDefault="00722980" w:rsidP="00722980">
      <w:pPr>
        <w:pStyle w:val="ListParagraph"/>
        <w:numPr>
          <w:ilvl w:val="0"/>
          <w:numId w:val="1"/>
        </w:numPr>
        <w:spacing w:after="0" w:line="360" w:lineRule="auto"/>
        <w:jc w:val="both"/>
        <w:rPr>
          <w:rFonts w:ascii="Calibri" w:hAnsi="Calibri" w:cs="Calibri"/>
          <w:sz w:val="24"/>
          <w:szCs w:val="24"/>
        </w:rPr>
      </w:pPr>
      <w:r w:rsidRPr="00722980">
        <w:rPr>
          <w:rFonts w:ascii="Calibri" w:hAnsi="Calibri" w:cs="Calibri"/>
          <w:sz w:val="24"/>
          <w:szCs w:val="24"/>
        </w:rPr>
        <w:t xml:space="preserve">Smith, A. N., Fischer, E., &amp; </w:t>
      </w:r>
      <w:proofErr w:type="spellStart"/>
      <w:r w:rsidRPr="00722980">
        <w:rPr>
          <w:rFonts w:ascii="Calibri" w:hAnsi="Calibri" w:cs="Calibri"/>
          <w:sz w:val="24"/>
          <w:szCs w:val="24"/>
        </w:rPr>
        <w:t>Yongjian</w:t>
      </w:r>
      <w:proofErr w:type="spellEnd"/>
      <w:r w:rsidRPr="00722980">
        <w:rPr>
          <w:rFonts w:ascii="Calibri" w:hAnsi="Calibri" w:cs="Calibri"/>
          <w:sz w:val="24"/>
          <w:szCs w:val="24"/>
        </w:rPr>
        <w:t xml:space="preserve">, C. (2012). How Does Brand-related User-generated Content Differ across YouTube, Facebook, and Twitter? </w:t>
      </w:r>
      <w:r w:rsidRPr="00722980">
        <w:rPr>
          <w:rFonts w:ascii="Calibri" w:hAnsi="Calibri" w:cs="Calibri"/>
          <w:i/>
          <w:iCs/>
          <w:sz w:val="24"/>
          <w:szCs w:val="24"/>
        </w:rPr>
        <w:t>Journal of Interactive Marketing</w:t>
      </w:r>
      <w:r w:rsidRPr="00722980">
        <w:rPr>
          <w:rFonts w:ascii="Calibri" w:hAnsi="Calibri" w:cs="Calibri"/>
          <w:i/>
          <w:iCs/>
          <w:sz w:val="24"/>
          <w:szCs w:val="24"/>
        </w:rPr>
        <w:t xml:space="preserve"> </w:t>
      </w:r>
      <w:r w:rsidRPr="00722980">
        <w:rPr>
          <w:rFonts w:ascii="Calibri" w:hAnsi="Calibri" w:cs="Calibri"/>
          <w:i/>
          <w:iCs/>
          <w:sz w:val="24"/>
          <w:szCs w:val="24"/>
        </w:rPr>
        <w:t>26</w:t>
      </w:r>
      <w:r w:rsidRPr="00722980">
        <w:rPr>
          <w:rFonts w:ascii="Calibri" w:hAnsi="Calibri" w:cs="Calibri"/>
          <w:sz w:val="24"/>
          <w:szCs w:val="24"/>
        </w:rPr>
        <w:t>(2), 102-113.</w:t>
      </w:r>
    </w:p>
    <w:p w14:paraId="14CEF6AB" w14:textId="4D0A8042" w:rsidR="00722980" w:rsidRPr="00722980" w:rsidRDefault="00722980" w:rsidP="00722980">
      <w:pPr>
        <w:spacing w:after="0" w:line="360" w:lineRule="auto"/>
        <w:jc w:val="both"/>
        <w:rPr>
          <w:rFonts w:ascii="Calibri" w:hAnsi="Calibri" w:cs="Calibri"/>
        </w:rPr>
      </w:pPr>
    </w:p>
    <w:sectPr w:rsidR="00722980" w:rsidRPr="00722980" w:rsidSect="005C2A22">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8DF0C" w14:textId="77777777" w:rsidR="005C2A22" w:rsidRDefault="005C2A22">
      <w:pPr>
        <w:spacing w:after="0" w:line="240" w:lineRule="auto"/>
      </w:pPr>
      <w:r>
        <w:separator/>
      </w:r>
    </w:p>
  </w:endnote>
  <w:endnote w:type="continuationSeparator" w:id="0">
    <w:p w14:paraId="3BFE28DA" w14:textId="77777777" w:rsidR="005C2A22" w:rsidRDefault="005C2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571A0" w14:textId="77777777" w:rsidR="005C2A22" w:rsidRDefault="005C2A22">
      <w:pPr>
        <w:spacing w:after="0" w:line="240" w:lineRule="auto"/>
      </w:pPr>
      <w:r>
        <w:rPr>
          <w:color w:val="000000"/>
        </w:rPr>
        <w:separator/>
      </w:r>
    </w:p>
  </w:footnote>
  <w:footnote w:type="continuationSeparator" w:id="0">
    <w:p w14:paraId="75F01B7A" w14:textId="77777777" w:rsidR="005C2A22" w:rsidRDefault="005C2A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2681E"/>
    <w:multiLevelType w:val="hybridMultilevel"/>
    <w:tmpl w:val="B0B46262"/>
    <w:lvl w:ilvl="0" w:tplc="448C25DC">
      <w:start w:val="1"/>
      <w:numFmt w:val="decimal"/>
      <w:lvlText w:val="%1&gt;"/>
      <w:lvlJc w:val="left"/>
      <w:pPr>
        <w:ind w:left="720" w:hanging="360"/>
      </w:pPr>
      <w:rPr>
        <w:rFonts w:ascii="Calibri" w:hAnsi="Calibri" w:cs="Calibr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1394C"/>
    <w:multiLevelType w:val="hybridMultilevel"/>
    <w:tmpl w:val="EE92ECEA"/>
    <w:lvl w:ilvl="0" w:tplc="332EB44A">
      <w:start w:val="1"/>
      <w:numFmt w:val="decimal"/>
      <w:lvlText w:val="%1&gt;"/>
      <w:lvlJc w:val="left"/>
      <w:pPr>
        <w:ind w:left="720" w:hanging="360"/>
      </w:pPr>
      <w:rPr>
        <w:rFonts w:ascii="Calibri" w:hAnsi="Calibri" w:cs="Calibr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B72D00"/>
    <w:multiLevelType w:val="hybridMultilevel"/>
    <w:tmpl w:val="0A9417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2612016">
    <w:abstractNumId w:val="2"/>
  </w:num>
  <w:num w:numId="2" w16cid:durableId="616958429">
    <w:abstractNumId w:val="1"/>
  </w:num>
  <w:num w:numId="3" w16cid:durableId="1882354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63000"/>
    <w:rsid w:val="000679EF"/>
    <w:rsid w:val="005812AF"/>
    <w:rsid w:val="005C2A22"/>
    <w:rsid w:val="006A3470"/>
    <w:rsid w:val="00721112"/>
    <w:rsid w:val="00722980"/>
    <w:rsid w:val="00E63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F6F04D"/>
  <w15:docId w15:val="{46168EE1-1236-461D-9F55-48737D7A1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link w:val="NoSpacingChar"/>
    <w:uiPriority w:val="1"/>
    <w:qFormat/>
    <w:rsid w:val="005812AF"/>
    <w:pPr>
      <w:autoSpaceDN/>
      <w:spacing w:after="0" w:line="240" w:lineRule="auto"/>
    </w:pPr>
    <w:rPr>
      <w:rFonts w:asciiTheme="minorHAnsi" w:eastAsiaTheme="minorEastAsia" w:hAnsiTheme="minorHAnsi" w:cstheme="minorBidi"/>
      <w:kern w:val="0"/>
      <w:lang w:val="en-US"/>
    </w:rPr>
  </w:style>
  <w:style w:type="character" w:customStyle="1" w:styleId="NoSpacingChar">
    <w:name w:val="No Spacing Char"/>
    <w:basedOn w:val="DefaultParagraphFont"/>
    <w:link w:val="NoSpacing"/>
    <w:uiPriority w:val="1"/>
    <w:rsid w:val="005812AF"/>
    <w:rPr>
      <w:rFonts w:asciiTheme="minorHAnsi" w:eastAsiaTheme="minorEastAsia" w:hAnsiTheme="minorHAnsi" w:cstheme="minorBidi"/>
      <w:kern w:val="0"/>
      <w:lang w:val="en-US"/>
    </w:rPr>
  </w:style>
  <w:style w:type="paragraph" w:styleId="TOCHeading">
    <w:name w:val="TOC Heading"/>
    <w:basedOn w:val="Heading1"/>
    <w:next w:val="Normal"/>
    <w:uiPriority w:val="39"/>
    <w:unhideWhenUsed/>
    <w:qFormat/>
    <w:rsid w:val="000679EF"/>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0679EF"/>
    <w:pPr>
      <w:spacing w:after="100"/>
    </w:pPr>
  </w:style>
  <w:style w:type="character" w:styleId="Hyperlink">
    <w:name w:val="Hyperlink"/>
    <w:basedOn w:val="DefaultParagraphFont"/>
    <w:uiPriority w:val="99"/>
    <w:unhideWhenUsed/>
    <w:rsid w:val="000679E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12</Pages>
  <Words>2740</Words>
  <Characters>16858</Characters>
  <Application>Microsoft Office Word</Application>
  <DocSecurity>0</DocSecurity>
  <Lines>330</Lines>
  <Paragraphs>82</Paragraphs>
  <ScaleCrop>false</ScaleCrop>
  <HeadingPairs>
    <vt:vector size="2" baseType="variant">
      <vt:variant>
        <vt:lpstr>Title</vt:lpstr>
      </vt:variant>
      <vt:variant>
        <vt:i4>1</vt:i4>
      </vt:variant>
    </vt:vector>
  </HeadingPairs>
  <TitlesOfParts>
    <vt:vector size="1" baseType="lpstr">
      <vt:lpstr>Report Case Study: The Seacrest Lodge</vt:lpstr>
    </vt:vector>
  </TitlesOfParts>
  <Company>STUDENT ID:  2208395</Company>
  <LinksUpToDate>false</LinksUpToDate>
  <CharactersWithSpaces>19516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 The Seacrest Lodge</dc:title>
  <dc:subject>Financial Management for the Hotel Industry    BMIH5007</dc:subject>
  <dc:creator>Beatrice Crisan</dc:creator>
  <dc:description/>
  <cp:lastModifiedBy>Beatrice Crisan</cp:lastModifiedBy>
  <cp:revision>3</cp:revision>
  <dcterms:created xsi:type="dcterms:W3CDTF">2024-02-29T22:20:00Z</dcterms:created>
  <dcterms:modified xsi:type="dcterms:W3CDTF">2024-02-29T22:37:00Z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8a799969-aa86-4026-b06b-5dd6ddf097e6</vt:lpwstr>
  </property>
</Properties>
</file>