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D2BF6F" w14:textId="38548878" w:rsidR="00BA31CF" w:rsidRPr="00156485" w:rsidRDefault="00BA31CF" w:rsidP="00BA31CF">
      <w:pPr>
        <w:spacing w:line="360" w:lineRule="auto"/>
        <w:rPr>
          <w:rFonts w:ascii="Times New Roman" w:eastAsia="Times New Roman" w:hAnsi="Times New Roman" w:cs="Times New Roman"/>
          <w:b/>
          <w:bCs/>
        </w:rPr>
      </w:pPr>
      <w:r w:rsidRPr="00156485">
        <w:rPr>
          <w:rFonts w:ascii="Times New Roman" w:eastAsia="Times New Roman" w:hAnsi="Times New Roman" w:cs="Times New Roman"/>
          <w:b/>
          <w:bCs/>
        </w:rPr>
        <w:t>Does UNESCO’s ‘cultural landscape’ reflect biocultural heritage? An analysis of two ‘inaugural’ cultural landscapes.</w:t>
      </w:r>
    </w:p>
    <w:p w14:paraId="7B7CAB53" w14:textId="77777777" w:rsidR="005657CF" w:rsidRDefault="00BA31CF" w:rsidP="00BA31CF">
      <w:pPr>
        <w:spacing w:line="360" w:lineRule="auto"/>
        <w:ind w:left="720"/>
        <w:rPr>
          <w:rFonts w:ascii="Times New Roman" w:eastAsia="Times New Roman" w:hAnsi="Times New Roman" w:cs="Times New Roman"/>
          <w:i/>
        </w:rPr>
      </w:pPr>
      <w:r w:rsidRPr="00156485">
        <w:rPr>
          <w:rFonts w:ascii="Times New Roman" w:eastAsia="Times New Roman" w:hAnsi="Times New Roman" w:cs="Times New Roman"/>
          <w:i/>
        </w:rPr>
        <w:t xml:space="preserve">“The current biodiversity crisis can seldom be explained by the loss of uninhabited wildlands, resulting instead from the appropriation, colonization, and intensifying use of the biodiverse cultural landscapes long shaped and sustained by prior societies. Recognizing this deep cultural connection with biodiversity will therefore be essential to resolve the crisis.”  </w:t>
      </w:r>
    </w:p>
    <w:p w14:paraId="0306FEB6" w14:textId="72D89FF0" w:rsidR="00BA31CF" w:rsidRPr="00156485" w:rsidRDefault="00BA31CF" w:rsidP="005657CF">
      <w:pPr>
        <w:spacing w:line="360" w:lineRule="auto"/>
        <w:ind w:left="5760" w:firstLine="720"/>
        <w:rPr>
          <w:rFonts w:ascii="Times New Roman" w:eastAsia="Times New Roman" w:hAnsi="Times New Roman" w:cs="Times New Roman"/>
        </w:rPr>
      </w:pPr>
      <w:r w:rsidRPr="00156485">
        <w:rPr>
          <w:rFonts w:ascii="Times New Roman" w:eastAsia="Times New Roman" w:hAnsi="Times New Roman" w:cs="Times New Roman"/>
        </w:rPr>
        <w:t>(Ellis et al, 2021, p.1)</w:t>
      </w:r>
    </w:p>
    <w:p w14:paraId="3E66497C" w14:textId="77777777" w:rsidR="00BA31CF" w:rsidRPr="00156485" w:rsidRDefault="00BA31CF" w:rsidP="00BA31CF">
      <w:pPr>
        <w:pStyle w:val="Heading2"/>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Introduction</w:t>
      </w:r>
    </w:p>
    <w:p w14:paraId="751DEAD2" w14:textId="77777777" w:rsidR="00BA31CF" w:rsidRPr="00156485" w:rsidRDefault="00BA31CF" w:rsidP="00BA31CF">
      <w:pPr>
        <w:rPr>
          <w:rFonts w:ascii="Times New Roman" w:hAnsi="Times New Roman" w:cs="Times New Roman"/>
        </w:rPr>
      </w:pPr>
    </w:p>
    <w:p w14:paraId="17C663CA" w14:textId="49C1B35C"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Ellis et al (2021) demonstrate how ‘uninhabited wildlands’ have rarely existed.  As social, cultural, and political constructs, however, these imagined ‘wilderness’ spaces untouched by humans have been instrumental in the formation of the dominant heritage conservation paradigms (</w:t>
      </w:r>
      <w:r w:rsidR="00857440">
        <w:rPr>
          <w:rFonts w:ascii="Times New Roman" w:eastAsia="Times New Roman" w:hAnsi="Times New Roman" w:cs="Times New Roman"/>
        </w:rPr>
        <w:t>West</w:t>
      </w:r>
      <w:r w:rsidRPr="00156485">
        <w:rPr>
          <w:rFonts w:ascii="Times New Roman" w:eastAsia="Times New Roman" w:hAnsi="Times New Roman" w:cs="Times New Roman"/>
        </w:rPr>
        <w:t xml:space="preserve"> and Ndlovu, 2010). Scientific theoretical assumptions and empirical limitations regarding histories of land use have resulted in the persistence of a protectionist conservation model. This model seeks to protect areas of the landscape by excluding the ‘damaging’ effects of human interference. But as it lacks “understanding of how ecological systems and their biodiversity relate to the cultural nature of landscapes is hugely problematic” (Rotherham, 2015, p.3405) and “morally questionable” (Wil</w:t>
      </w:r>
      <w:r w:rsidR="0045626D">
        <w:rPr>
          <w:rFonts w:ascii="Times New Roman" w:eastAsia="Times New Roman" w:hAnsi="Times New Roman" w:cs="Times New Roman"/>
        </w:rPr>
        <w:t>shusen</w:t>
      </w:r>
      <w:r w:rsidRPr="00156485">
        <w:rPr>
          <w:rFonts w:ascii="Times New Roman" w:eastAsia="Times New Roman" w:hAnsi="Times New Roman" w:cs="Times New Roman"/>
        </w:rPr>
        <w:t>, 2002</w:t>
      </w:r>
      <w:r w:rsidR="006A5800">
        <w:rPr>
          <w:rFonts w:ascii="Times New Roman" w:eastAsia="Times New Roman" w:hAnsi="Times New Roman" w:cs="Times New Roman"/>
        </w:rPr>
        <w:t>, p.18</w:t>
      </w:r>
      <w:r w:rsidRPr="00156485">
        <w:rPr>
          <w:rFonts w:ascii="Times New Roman" w:eastAsia="Times New Roman" w:hAnsi="Times New Roman" w:cs="Times New Roman"/>
        </w:rPr>
        <w:t xml:space="preserve">). </w:t>
      </w:r>
    </w:p>
    <w:p w14:paraId="30EF0CA2" w14:textId="0CF73987"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The ineffectiveness of the current framework is evidenced by the ‘conservation paradox’ in which protected areas are increasing yet biodiversity is decreasing (Adams, 200</w:t>
      </w:r>
      <w:r w:rsidR="002321F5">
        <w:rPr>
          <w:rFonts w:ascii="Times New Roman" w:eastAsia="Times New Roman" w:hAnsi="Times New Roman" w:cs="Times New Roman"/>
        </w:rPr>
        <w:t>5</w:t>
      </w:r>
      <w:r w:rsidRPr="00156485">
        <w:rPr>
          <w:rFonts w:ascii="Times New Roman" w:eastAsia="Times New Roman" w:hAnsi="Times New Roman" w:cs="Times New Roman"/>
        </w:rPr>
        <w:t>), It also disregards the fact that “areas under Indigenous management today are recognized as some of the most biodiverse areas remaining on the planet” (Ellis et al, 2021). By not recognising biocultural diversity and the inextricable link between nature and culture inherent in traditional practices it threatens not only the landscapes and the biodiversity which inhabits them, but also the cultural diversity required for their creation and maintenance (Bridgewater and Rotherham, 2019). Thus, by situation the cultural, comprising the inherited belief systems, rituals, knowledge, and skills, in opposition to the biological we risk ‘cultural severance’ (Rotherham 2008).</w:t>
      </w:r>
    </w:p>
    <w:p w14:paraId="5DC46AEE" w14:textId="270AB940"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This severance is made possible by the nature-culture dualism that forms a central tenant of Western ontology. These binaries pervade the Authorised Heritage Discourse (AHD) where they have become so naturalised that the existence of additional perspectives is barely considered (Smith, 2006). This imposition of the Western worldview is seen as “one of the most significant acts of colonialism” and where it persists unchallenged in current heritage practices, continues to “act as a tool of colonialism” (Muller et al, 2019, p.399). As a result, the application of AHD in (post)colonial settings such as Australia and Aotearoa-New Zealand must be considerate of Indigenous injustices and the risk of </w:t>
      </w:r>
      <w:r w:rsidRPr="00156485">
        <w:rPr>
          <w:rFonts w:ascii="Times New Roman" w:eastAsia="Times New Roman" w:hAnsi="Times New Roman" w:cs="Times New Roman"/>
        </w:rPr>
        <w:lastRenderedPageBreak/>
        <w:t xml:space="preserve">continuing the dispossession and marginalisation of Indigenous peoples through its practices (Hemming, </w:t>
      </w:r>
      <w:r w:rsidR="0021200C">
        <w:rPr>
          <w:rFonts w:ascii="Times New Roman" w:eastAsia="Times New Roman" w:hAnsi="Times New Roman" w:cs="Times New Roman"/>
        </w:rPr>
        <w:t>2010</w:t>
      </w:r>
      <w:r w:rsidR="006A5800">
        <w:rPr>
          <w:rFonts w:ascii="Times New Roman" w:eastAsia="Times New Roman" w:hAnsi="Times New Roman" w:cs="Times New Roman"/>
        </w:rPr>
        <w:t>)</w:t>
      </w:r>
      <w:r w:rsidRPr="00156485">
        <w:rPr>
          <w:rFonts w:ascii="Times New Roman" w:eastAsia="Times New Roman" w:hAnsi="Times New Roman" w:cs="Times New Roman"/>
        </w:rPr>
        <w:t>.</w:t>
      </w:r>
    </w:p>
    <w:p w14:paraId="5347229F" w14:textId="77777777"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Thus, to address these injustices and achieve more equitable and effective heritage practices, we must consider biocultural heritage which: </w:t>
      </w:r>
    </w:p>
    <w:p w14:paraId="6B0818C2" w14:textId="77777777" w:rsidR="00BA31CF" w:rsidRPr="00156485" w:rsidRDefault="00BA31CF" w:rsidP="00BA31CF">
      <w:pPr>
        <w:spacing w:line="360" w:lineRule="auto"/>
        <w:ind w:left="720"/>
        <w:rPr>
          <w:rFonts w:ascii="Times New Roman" w:eastAsia="Times New Roman" w:hAnsi="Times New Roman" w:cs="Times New Roman"/>
        </w:rPr>
      </w:pPr>
      <w:r w:rsidRPr="00156485">
        <w:rPr>
          <w:rFonts w:ascii="Times New Roman" w:eastAsia="Times New Roman" w:hAnsi="Times New Roman" w:cs="Times New Roman"/>
        </w:rPr>
        <w:t>“</w:t>
      </w:r>
      <w:r w:rsidRPr="00156485">
        <w:rPr>
          <w:rFonts w:ascii="Times New Roman" w:eastAsia="Times New Roman" w:hAnsi="Times New Roman" w:cs="Times New Roman"/>
          <w:i/>
        </w:rPr>
        <w:t xml:space="preserve">reflects the holistic approach of many indigenous peoples and local communities. This holistic and collective conceptual approach also recognizes knowledge as ‘heritage’, thereby reflecting its custodial and intergenerational character. </w:t>
      </w:r>
      <w:r w:rsidRPr="00156485">
        <w:rPr>
          <w:rFonts w:ascii="Times New Roman" w:eastAsia="Times New Roman" w:hAnsi="Times New Roman" w:cs="Times New Roman"/>
          <w:b/>
          <w:i/>
        </w:rPr>
        <w:t xml:space="preserve">The cultural landscapes inscribed under the World Heritage Convention are examples of biocultural heritage’ </w:t>
      </w:r>
      <w:r w:rsidRPr="00156485">
        <w:rPr>
          <w:rFonts w:ascii="Times New Roman" w:eastAsia="Times New Roman" w:hAnsi="Times New Roman" w:cs="Times New Roman"/>
        </w:rPr>
        <w:t>(CBD, 2018 in Bridgwater and Rotherham, 2019, p.297-298, author’s emphasis).</w:t>
      </w:r>
    </w:p>
    <w:p w14:paraId="30AAB301" w14:textId="77777777"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As biocultural heritage here is defined in relation to existing World Heritage concepts, it is important to understand how effective UNESCO’s cultural landscapes are at “[reflecting] the holistic approach of many indigenous peoples”.</w:t>
      </w:r>
    </w:p>
    <w:p w14:paraId="1FA1EFD4" w14:textId="77777777" w:rsidR="00BA31CF" w:rsidRPr="00156485" w:rsidRDefault="00BA31CF" w:rsidP="00BA31CF">
      <w:pPr>
        <w:spacing w:line="360" w:lineRule="auto"/>
        <w:rPr>
          <w:rFonts w:ascii="Times New Roman" w:eastAsia="Times New Roman" w:hAnsi="Times New Roman" w:cs="Times New Roman"/>
          <w:sz w:val="26"/>
          <w:szCs w:val="26"/>
        </w:rPr>
      </w:pPr>
      <w:r w:rsidRPr="00156485">
        <w:rPr>
          <w:rFonts w:ascii="Times New Roman" w:eastAsia="Times New Roman" w:hAnsi="Times New Roman" w:cs="Times New Roman"/>
        </w:rPr>
        <w:t>In considering this question the following study will analyse the ‘inaugural’ UNESCO cultural landscapes: Uluru-Kata Tjuta National Park, Australia and Tongariro National Park, Aotearoa-Aotearoa-New Zealand. The c.40 years since their inscription provides a useful period to assess the impacts of their nomination. To do so, the essay will firstly outline the key implications of situating UNESCO heritage in an indigenous setting. It will then trace each site through three stages in their development as World Heritage: the acquisition as national heritage; the nomination and the subsequent management as World Heritage. Finally, the findings will be discussed as to whether the introduction of UNESCO’S cultural landscapes reflects the approach needed for biocultural heritage.</w:t>
      </w:r>
    </w:p>
    <w:p w14:paraId="227A4FEA" w14:textId="241198DC" w:rsidR="00BA31CF" w:rsidRPr="00156485" w:rsidRDefault="00BA31CF" w:rsidP="00BA31CF">
      <w:pPr>
        <w:pStyle w:val="Heading2"/>
        <w:rPr>
          <w:rFonts w:ascii="Times New Roman" w:hAnsi="Times New Roman" w:cs="Times New Roman"/>
          <w:b/>
          <w:bCs/>
          <w:color w:val="auto"/>
        </w:rPr>
      </w:pPr>
      <w:r w:rsidRPr="00156485">
        <w:rPr>
          <w:rFonts w:ascii="Times New Roman" w:hAnsi="Times New Roman" w:cs="Times New Roman"/>
          <w:b/>
          <w:bCs/>
          <w:color w:val="auto"/>
        </w:rPr>
        <w:t>UNESCO’s World Heritage</w:t>
      </w:r>
    </w:p>
    <w:p w14:paraId="5221F887" w14:textId="77777777" w:rsidR="00CA6B13" w:rsidRPr="00156485" w:rsidRDefault="00CA6B13" w:rsidP="00CA6B13">
      <w:pPr>
        <w:rPr>
          <w:rFonts w:ascii="Times New Roman" w:hAnsi="Times New Roman" w:cs="Times New Roman"/>
        </w:rPr>
      </w:pPr>
    </w:p>
    <w:p w14:paraId="49588AD1" w14:textId="5E60F19E"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The Convention for Biological Diversity’s explicit reference to World Heritage cultural landscapes brings into view UNESCO and all its political machinations. There have already been several international initiatives attempting to integrate indigenous communities and their heritage within UNESCO’s governance (Meskell, 201</w:t>
      </w:r>
      <w:r w:rsidR="00154CEF">
        <w:rPr>
          <w:rFonts w:ascii="Times New Roman" w:eastAsia="Times New Roman" w:hAnsi="Times New Roman" w:cs="Times New Roman"/>
        </w:rPr>
        <w:t>3</w:t>
      </w:r>
      <w:r w:rsidRPr="00156485">
        <w:rPr>
          <w:rFonts w:ascii="Times New Roman" w:eastAsia="Times New Roman" w:hAnsi="Times New Roman" w:cs="Times New Roman"/>
        </w:rPr>
        <w:t xml:space="preserve">). This is challenging particularly in the context of addressing Indigenous injustice because: </w:t>
      </w:r>
    </w:p>
    <w:p w14:paraId="64D2405A" w14:textId="77777777" w:rsidR="00BA31CF" w:rsidRPr="00156485" w:rsidRDefault="00BA31CF" w:rsidP="00BA31CF">
      <w:pPr>
        <w:spacing w:line="360" w:lineRule="auto"/>
        <w:ind w:left="720"/>
        <w:rPr>
          <w:rFonts w:ascii="Times New Roman" w:eastAsia="Times New Roman" w:hAnsi="Times New Roman" w:cs="Times New Roman"/>
        </w:rPr>
      </w:pPr>
      <w:r w:rsidRPr="00156485">
        <w:rPr>
          <w:rFonts w:ascii="Times New Roman" w:eastAsia="Times New Roman" w:hAnsi="Times New Roman" w:cs="Times New Roman"/>
        </w:rPr>
        <w:t xml:space="preserve">“the export of the Western European model of heritage management around the world has been identified as part of the processes of Western colonisation, and an expansion of Western cultural imperialism, that has tended to result in the alienation of the local communities from their cultural heritage” (Smith, 2006, p.279). </w:t>
      </w:r>
    </w:p>
    <w:p w14:paraId="70FBA106" w14:textId="24918061"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Furthermore, </w:t>
      </w:r>
      <w:proofErr w:type="gramStart"/>
      <w:r w:rsidRPr="00156485">
        <w:rPr>
          <w:rFonts w:ascii="Times New Roman" w:eastAsia="Times New Roman" w:hAnsi="Times New Roman" w:cs="Times New Roman"/>
        </w:rPr>
        <w:t>UNESCO’s</w:t>
      </w:r>
      <w:proofErr w:type="gramEnd"/>
      <w:r w:rsidRPr="00156485">
        <w:rPr>
          <w:rFonts w:ascii="Times New Roman" w:eastAsia="Times New Roman" w:hAnsi="Times New Roman" w:cs="Times New Roman"/>
        </w:rPr>
        <w:t xml:space="preserve"> continued and active role in supporting the power and scope of the nation-state and its bureaucracy must be acknowledged. It extends the state’s ability to access previously private, ‘out of reach’ domains (De Cesari</w:t>
      </w:r>
      <w:r w:rsidR="005212CF">
        <w:rPr>
          <w:rFonts w:ascii="Times New Roman" w:eastAsia="Times New Roman" w:hAnsi="Times New Roman" w:cs="Times New Roman"/>
        </w:rPr>
        <w:t>,</w:t>
      </w:r>
      <w:r w:rsidRPr="00156485">
        <w:rPr>
          <w:rFonts w:ascii="Times New Roman" w:eastAsia="Times New Roman" w:hAnsi="Times New Roman" w:cs="Times New Roman"/>
        </w:rPr>
        <w:t xml:space="preserve"> 201</w:t>
      </w:r>
      <w:r w:rsidR="002F5819">
        <w:rPr>
          <w:rFonts w:ascii="Times New Roman" w:eastAsia="Times New Roman" w:hAnsi="Times New Roman" w:cs="Times New Roman"/>
        </w:rPr>
        <w:t>3</w:t>
      </w:r>
      <w:r w:rsidRPr="00156485">
        <w:rPr>
          <w:rFonts w:ascii="Times New Roman" w:eastAsia="Times New Roman" w:hAnsi="Times New Roman" w:cs="Times New Roman"/>
        </w:rPr>
        <w:t xml:space="preserve">) and then insists on ‘proof’ that they are real and </w:t>
      </w:r>
      <w:r w:rsidRPr="00156485">
        <w:rPr>
          <w:rFonts w:ascii="Times New Roman" w:eastAsia="Times New Roman" w:hAnsi="Times New Roman" w:cs="Times New Roman"/>
        </w:rPr>
        <w:lastRenderedPageBreak/>
        <w:t>authentic (Hemming, 2019). Additionally, as a tool for legitimising acts of nation-building through silencing, boundary-drawing, and appropriation (Koch, 2015), UNESCO’s processes turn heritage into ‘property’ of the state (Isar, 201</w:t>
      </w:r>
      <w:r w:rsidR="003451D3">
        <w:rPr>
          <w:rFonts w:ascii="Times New Roman" w:eastAsia="Times New Roman" w:hAnsi="Times New Roman" w:cs="Times New Roman"/>
        </w:rPr>
        <w:t>1</w:t>
      </w:r>
      <w:r w:rsidRPr="00156485">
        <w:rPr>
          <w:rFonts w:ascii="Times New Roman" w:eastAsia="Times New Roman" w:hAnsi="Times New Roman" w:cs="Times New Roman"/>
        </w:rPr>
        <w:t>).</w:t>
      </w:r>
    </w:p>
    <w:p w14:paraId="005D4557" w14:textId="3B7E1603"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As such, careful consideration is required before further implicating UNESCO in situations already marked by marginalisation, assimilation, and oppression at the hands of the nation-state. In (post)colonial contexts, such as Australia and Aotearoa-New Zealand with brutal histories of dispossession and  assimilation by the state, any mechanism that risks perpetuating colonial ‘ways’ necessitates close analysis of the power structures which underpins it (Hemming, </w:t>
      </w:r>
      <w:r w:rsidR="00E063E5">
        <w:rPr>
          <w:rFonts w:ascii="Times New Roman" w:eastAsia="Times New Roman" w:hAnsi="Times New Roman" w:cs="Times New Roman"/>
        </w:rPr>
        <w:t>2010</w:t>
      </w:r>
      <w:r w:rsidRPr="00156485">
        <w:rPr>
          <w:rFonts w:ascii="Times New Roman" w:eastAsia="Times New Roman" w:hAnsi="Times New Roman" w:cs="Times New Roman"/>
        </w:rPr>
        <w:t>).This is candidly cautioned by D</w:t>
      </w:r>
      <w:r w:rsidR="003451D3">
        <w:rPr>
          <w:rFonts w:ascii="Times New Roman" w:eastAsia="Times New Roman" w:hAnsi="Times New Roman" w:cs="Times New Roman"/>
        </w:rPr>
        <w:t xml:space="preserve">e </w:t>
      </w:r>
      <w:r w:rsidRPr="00156485">
        <w:rPr>
          <w:rFonts w:ascii="Times New Roman" w:eastAsia="Times New Roman" w:hAnsi="Times New Roman" w:cs="Times New Roman"/>
        </w:rPr>
        <w:t>Cesari (20</w:t>
      </w:r>
      <w:r w:rsidR="003451D3">
        <w:rPr>
          <w:rFonts w:ascii="Times New Roman" w:eastAsia="Times New Roman" w:hAnsi="Times New Roman" w:cs="Times New Roman"/>
        </w:rPr>
        <w:t>13</w:t>
      </w:r>
      <w:r w:rsidRPr="00156485">
        <w:rPr>
          <w:rFonts w:ascii="Times New Roman" w:eastAsia="Times New Roman" w:hAnsi="Times New Roman" w:cs="Times New Roman"/>
        </w:rPr>
        <w:t xml:space="preserve">) “we still do not know enough about the local impact of UNESCO’s interventions and about what happens with the growing heritagization of places, traditions and cultures worldwide” </w:t>
      </w:r>
      <w:r w:rsidR="00A84D1F">
        <w:rPr>
          <w:rFonts w:ascii="Times New Roman" w:eastAsia="Times New Roman" w:hAnsi="Times New Roman" w:cs="Times New Roman"/>
        </w:rPr>
        <w:t>( p. 402-403).</w:t>
      </w:r>
      <w:r w:rsidRPr="00156485">
        <w:rPr>
          <w:rFonts w:ascii="Times New Roman" w:eastAsia="Times New Roman" w:hAnsi="Times New Roman" w:cs="Times New Roman"/>
        </w:rPr>
        <w:t xml:space="preserve"> Following D</w:t>
      </w:r>
      <w:r w:rsidR="00B8701D">
        <w:rPr>
          <w:rFonts w:ascii="Times New Roman" w:eastAsia="Times New Roman" w:hAnsi="Times New Roman" w:cs="Times New Roman"/>
        </w:rPr>
        <w:t xml:space="preserve">e </w:t>
      </w:r>
      <w:r w:rsidRPr="00156485">
        <w:rPr>
          <w:rFonts w:ascii="Times New Roman" w:eastAsia="Times New Roman" w:hAnsi="Times New Roman" w:cs="Times New Roman"/>
        </w:rPr>
        <w:t>Cesari’s rationale then, it is necessary to look both top-down in terms of how states adopt and adapt ‘heritage’ but also from below to identify if and how “people decide to appropriate the language of heritage to further their goals, and the kinds of imaginaries and expectations elicited by the heritage discourse” (De Cesari, 201</w:t>
      </w:r>
      <w:r w:rsidR="00A84D1F">
        <w:rPr>
          <w:rFonts w:ascii="Times New Roman" w:eastAsia="Times New Roman" w:hAnsi="Times New Roman" w:cs="Times New Roman"/>
        </w:rPr>
        <w:t>3</w:t>
      </w:r>
      <w:r w:rsidRPr="00156485">
        <w:rPr>
          <w:rFonts w:ascii="Times New Roman" w:eastAsia="Times New Roman" w:hAnsi="Times New Roman" w:cs="Times New Roman"/>
        </w:rPr>
        <w:t>, p.</w:t>
      </w:r>
      <w:r w:rsidR="007F5C21">
        <w:rPr>
          <w:rFonts w:ascii="Times New Roman" w:eastAsia="Times New Roman" w:hAnsi="Times New Roman" w:cs="Times New Roman"/>
        </w:rPr>
        <w:t>406</w:t>
      </w:r>
      <w:r w:rsidRPr="00156485">
        <w:rPr>
          <w:rFonts w:ascii="Times New Roman" w:eastAsia="Times New Roman" w:hAnsi="Times New Roman" w:cs="Times New Roman"/>
        </w:rPr>
        <w:t xml:space="preserve">). </w:t>
      </w:r>
    </w:p>
    <w:p w14:paraId="1539CC49" w14:textId="77777777" w:rsidR="00BA31CF" w:rsidRPr="00156485" w:rsidRDefault="00BA31CF" w:rsidP="00BA31CF">
      <w:pPr>
        <w:spacing w:line="360" w:lineRule="auto"/>
        <w:rPr>
          <w:rFonts w:ascii="Times New Roman" w:eastAsia="Times New Roman" w:hAnsi="Times New Roman" w:cs="Times New Roman"/>
        </w:rPr>
      </w:pPr>
    </w:p>
    <w:p w14:paraId="655ED067" w14:textId="77777777" w:rsidR="00BA31CF" w:rsidRPr="00156485" w:rsidRDefault="00BA31CF" w:rsidP="00BA31CF">
      <w:pPr>
        <w:pStyle w:val="Heading3"/>
        <w:rPr>
          <w:rFonts w:ascii="Times New Roman" w:hAnsi="Times New Roman" w:cs="Times New Roman"/>
          <w:b/>
          <w:bCs/>
          <w:color w:val="auto"/>
        </w:rPr>
      </w:pPr>
      <w:r w:rsidRPr="00156485">
        <w:rPr>
          <w:rFonts w:ascii="Times New Roman" w:hAnsi="Times New Roman" w:cs="Times New Roman"/>
          <w:b/>
          <w:bCs/>
          <w:color w:val="auto"/>
        </w:rPr>
        <w:t xml:space="preserve">Cultural Landscapes </w:t>
      </w:r>
    </w:p>
    <w:p w14:paraId="016DFD5C" w14:textId="77777777" w:rsidR="00BA31CF" w:rsidRPr="00156485" w:rsidRDefault="00BA31CF" w:rsidP="00BA31CF">
      <w:pPr>
        <w:spacing w:line="360" w:lineRule="auto"/>
        <w:rPr>
          <w:rFonts w:ascii="Times New Roman" w:eastAsia="Times New Roman" w:hAnsi="Times New Roman" w:cs="Times New Roman"/>
        </w:rPr>
      </w:pPr>
    </w:p>
    <w:p w14:paraId="739D545D" w14:textId="3CD2276F"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An attempt to address the nature-culture binary in heritage discourse, cultural landscapes are recognised as one of the most significant developments in World Heritage (Harrison, 201</w:t>
      </w:r>
      <w:r w:rsidR="004F655F">
        <w:rPr>
          <w:rFonts w:ascii="Times New Roman" w:eastAsia="Times New Roman" w:hAnsi="Times New Roman" w:cs="Times New Roman"/>
        </w:rPr>
        <w:t>3</w:t>
      </w:r>
      <w:r w:rsidRPr="00156485">
        <w:rPr>
          <w:rFonts w:ascii="Times New Roman" w:eastAsia="Times New Roman" w:hAnsi="Times New Roman" w:cs="Times New Roman"/>
        </w:rPr>
        <w:t>). As the “interface between nature and culture, tangible and intangible heritage, biological and cultural diversity” (Rossler, 2006, p.334), this development permitted the nomination of a site as Outstanding Universal Value if it sufficiently met a mixture of ‘natural’ and ‘cultural’ criteria (UNESCO, 1992). As such, it sought to address the forced dichotomy inherent in the original formats of the World Heritage processes. In addition, this introduction resulted the explicit articulation of the involvement of Indigenous Peoples in its processes. This includes a role in the nomination process:</w:t>
      </w:r>
    </w:p>
    <w:p w14:paraId="75BA587D" w14:textId="77777777" w:rsidR="00BA31CF" w:rsidRPr="00156485" w:rsidRDefault="00BA31CF" w:rsidP="00BA31CF">
      <w:pPr>
        <w:spacing w:line="360" w:lineRule="auto"/>
        <w:ind w:left="720"/>
        <w:rPr>
          <w:rFonts w:ascii="Times New Roman" w:eastAsia="Times New Roman" w:hAnsi="Times New Roman" w:cs="Times New Roman"/>
        </w:rPr>
      </w:pPr>
      <w:r w:rsidRPr="00156485">
        <w:rPr>
          <w:rFonts w:ascii="Times New Roman" w:eastAsia="Times New Roman" w:hAnsi="Times New Roman" w:cs="Times New Roman"/>
          <w:i/>
        </w:rPr>
        <w:t xml:space="preserve">“Effective and inclusive participation in the nomination process of local communities, indigenous peoples, […] is essential to enable them to have a shared responsibility with the State Party in the maintenance of the property” </w:t>
      </w:r>
      <w:r w:rsidRPr="00156485">
        <w:rPr>
          <w:rFonts w:ascii="Times New Roman" w:eastAsia="Times New Roman" w:hAnsi="Times New Roman" w:cs="Times New Roman"/>
        </w:rPr>
        <w:t>(UNESCO, 2019, Operational Guidelines, Art. 123)</w:t>
      </w:r>
    </w:p>
    <w:p w14:paraId="08E19D96" w14:textId="77777777"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And, once inscribed, Indigenous Peoples have a role in the management of the site:</w:t>
      </w:r>
    </w:p>
    <w:p w14:paraId="526745CE" w14:textId="77777777" w:rsidR="00BA31CF" w:rsidRPr="00156485" w:rsidRDefault="00BA31CF" w:rsidP="00BA31CF">
      <w:pPr>
        <w:spacing w:line="360" w:lineRule="auto"/>
        <w:ind w:left="720"/>
        <w:rPr>
          <w:rFonts w:ascii="Times New Roman" w:eastAsia="Times New Roman" w:hAnsi="Times New Roman" w:cs="Times New Roman"/>
        </w:rPr>
      </w:pPr>
      <w:r w:rsidRPr="00156485">
        <w:rPr>
          <w:rFonts w:ascii="Times New Roman" w:eastAsia="Times New Roman" w:hAnsi="Times New Roman" w:cs="Times New Roman"/>
          <w:i/>
        </w:rPr>
        <w:t xml:space="preserve">“States Parties are responsible for implementing effective management activities for a World Heritage property. States Parties should do so in close collaboration with property managers, the agency with management authority and other partners, local communities and indigenous peoples, rights-holders and stakeholders in property management, by developing, when </w:t>
      </w:r>
      <w:r w:rsidRPr="00156485">
        <w:rPr>
          <w:rFonts w:ascii="Times New Roman" w:eastAsia="Times New Roman" w:hAnsi="Times New Roman" w:cs="Times New Roman"/>
          <w:i/>
        </w:rPr>
        <w:lastRenderedPageBreak/>
        <w:t xml:space="preserve">appropriate, equitable governance arrangements, collaborative management systems and redress mechanisms”. </w:t>
      </w:r>
      <w:r w:rsidRPr="00156485">
        <w:rPr>
          <w:rFonts w:ascii="Times New Roman" w:eastAsia="Times New Roman" w:hAnsi="Times New Roman" w:cs="Times New Roman"/>
        </w:rPr>
        <w:t>(UNESCO, 2019, Operational Guidelines, Art. 117)</w:t>
      </w:r>
    </w:p>
    <w:p w14:paraId="5EEDC028" w14:textId="77777777"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Thus, the notions of ‘sharing’ and ‘collaboration’ in the nomination and management of cultural landscape sites is put forward as “exemplary for the evolution in protected area thinking and heritage conservation as a whole” (Rossler, 2006, p.340), albeit as “a defensibly imperfect, ‘tweakable’ system that benefits both Indigenous and state parties, and […] a stepping-stone to Indigenous self-determination” (Grey and Kuokkanen. 2020, p.1234). However, beyond descriptive studies of their features, the effectiveness of these collaborative arrangements and their ability to meet indigenous peoples’ aspirations is little researched (Lyver, 2014). </w:t>
      </w:r>
    </w:p>
    <w:p w14:paraId="61F1B3F1" w14:textId="77777777" w:rsidR="00BA31CF" w:rsidRPr="00156485" w:rsidRDefault="00BA31CF" w:rsidP="00BA31CF">
      <w:pPr>
        <w:spacing w:line="360" w:lineRule="auto"/>
        <w:rPr>
          <w:rFonts w:ascii="Times New Roman" w:eastAsia="Times New Roman" w:hAnsi="Times New Roman" w:cs="Times New Roman"/>
        </w:rPr>
      </w:pPr>
    </w:p>
    <w:p w14:paraId="10911698" w14:textId="77777777" w:rsidR="00BA31CF" w:rsidRPr="00156485" w:rsidRDefault="00BA31CF" w:rsidP="00BA31CF">
      <w:pPr>
        <w:pStyle w:val="Heading2"/>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The National Contexts</w:t>
      </w:r>
    </w:p>
    <w:p w14:paraId="291C8A3B" w14:textId="77777777" w:rsidR="00BA31CF" w:rsidRPr="00156485" w:rsidRDefault="00BA31CF" w:rsidP="00BA31CF">
      <w:pPr>
        <w:rPr>
          <w:rFonts w:ascii="Times New Roman" w:hAnsi="Times New Roman" w:cs="Times New Roman"/>
        </w:rPr>
      </w:pPr>
    </w:p>
    <w:p w14:paraId="46EFB813" w14:textId="22DE2663"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To provide some political context surrounding Uluru-Kata Tjuta National Park, Australia and Tongariro National Park, some salient points are summarised here. The intention is not to further appropriate, silence or side-line any </w:t>
      </w:r>
      <w:proofErr w:type="gramStart"/>
      <w:r w:rsidRPr="00156485">
        <w:rPr>
          <w:rFonts w:ascii="Times New Roman" w:eastAsia="Times New Roman" w:hAnsi="Times New Roman" w:cs="Times New Roman"/>
        </w:rPr>
        <w:t>particular narrative</w:t>
      </w:r>
      <w:proofErr w:type="gramEnd"/>
      <w:r w:rsidRPr="00156485">
        <w:rPr>
          <w:rFonts w:ascii="Times New Roman" w:eastAsia="Times New Roman" w:hAnsi="Times New Roman" w:cs="Times New Roman"/>
        </w:rPr>
        <w:t>, although the reliance on academic publications in the English language is acknowledged. The term ‘Indigenous’ relates to “people who are the original or oldest surviving inhabitants of the area, who have lived in a particular homeland for centuries, and who share a language, customs, and history” (after Maybury-Lewis,</w:t>
      </w:r>
      <w:r w:rsidR="00C7515C">
        <w:rPr>
          <w:rFonts w:ascii="Times New Roman" w:eastAsia="Times New Roman" w:hAnsi="Times New Roman" w:cs="Times New Roman"/>
        </w:rPr>
        <w:t xml:space="preserve"> </w:t>
      </w:r>
      <w:r w:rsidRPr="00156485">
        <w:rPr>
          <w:rFonts w:ascii="Times New Roman" w:eastAsia="Times New Roman" w:hAnsi="Times New Roman" w:cs="Times New Roman"/>
        </w:rPr>
        <w:t>2002, in Palmer, 2018, p.82). Where known, local language terms are used.</w:t>
      </w:r>
    </w:p>
    <w:p w14:paraId="7575850B" w14:textId="1B3D11D1"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The (post)colonial contexts of Australia and Aotearoa-New Zealand illustrate the challenges of reconstituting and recontextualizing heritage where “Indigenous peoples are reappropriating their own cultures and working to assert themselves into stronger positions within their contemporary national narratives'' (Wallace, 201</w:t>
      </w:r>
      <w:r w:rsidR="00D86A7D">
        <w:rPr>
          <w:rFonts w:ascii="Times New Roman" w:eastAsia="Times New Roman" w:hAnsi="Times New Roman" w:cs="Times New Roman"/>
        </w:rPr>
        <w:t>4</w:t>
      </w:r>
      <w:r w:rsidRPr="00156485">
        <w:rPr>
          <w:rFonts w:ascii="Times New Roman" w:eastAsia="Times New Roman" w:hAnsi="Times New Roman" w:cs="Times New Roman"/>
        </w:rPr>
        <w:t>, p.1</w:t>
      </w:r>
      <w:r w:rsidR="0028638C">
        <w:rPr>
          <w:rFonts w:ascii="Times New Roman" w:eastAsia="Times New Roman" w:hAnsi="Times New Roman" w:cs="Times New Roman"/>
        </w:rPr>
        <w:t>9</w:t>
      </w:r>
      <w:r w:rsidRPr="00156485">
        <w:rPr>
          <w:rFonts w:ascii="Times New Roman" w:eastAsia="Times New Roman" w:hAnsi="Times New Roman" w:cs="Times New Roman"/>
        </w:rPr>
        <w:t>). In doing so, these communities must devise “their own ‘heritage’ or [require] states to acknowledge and incorporate their own concerns'' (Harrison and Hughes, 2010 p.266). While clearly the issues, structures and cultures are not the same across these national contexts, heritage discourses and practices are influenced by the Indigenous lands and rights and the conservation movements of the 1970s: “This period was one of remarkable intensity for both countries. National revisions of identity, indigenous land rights, and, in the case of Aotearoa-New Zealand, economic restructuring, coincided with international developments in conservation to fundamentally challenge government policy” (Walliss, 2014, p.</w:t>
      </w:r>
      <w:r w:rsidR="006644A3">
        <w:rPr>
          <w:rFonts w:ascii="Times New Roman" w:eastAsia="Times New Roman" w:hAnsi="Times New Roman" w:cs="Times New Roman"/>
        </w:rPr>
        <w:t>281)</w:t>
      </w:r>
      <w:r w:rsidRPr="00156485">
        <w:rPr>
          <w:rFonts w:ascii="Times New Roman" w:eastAsia="Times New Roman" w:hAnsi="Times New Roman" w:cs="Times New Roman"/>
        </w:rPr>
        <w:t>. These ‘revisions’ included reconsideration of ‘premier iconic landscapes’ and defining them as national parks: Tongariro National Park, Aotearoa-New Zealand and Uluru-Kata Tjuta National Park, Australia. As such, these sites become places in which to observe the emerging interactions between “government and indigenous aspirations, authority, and accountability” (Lyver et al, 2014, p.91).</w:t>
      </w:r>
    </w:p>
    <w:p w14:paraId="387DF686" w14:textId="77777777" w:rsidR="00BA31CF" w:rsidRPr="00156485" w:rsidRDefault="00BA31CF" w:rsidP="00BA31CF">
      <w:pPr>
        <w:spacing w:line="360" w:lineRule="auto"/>
        <w:rPr>
          <w:rFonts w:ascii="Times New Roman" w:eastAsia="Times New Roman" w:hAnsi="Times New Roman" w:cs="Times New Roman"/>
        </w:rPr>
      </w:pPr>
    </w:p>
    <w:p w14:paraId="3DD551A5" w14:textId="77777777" w:rsidR="00BA31CF" w:rsidRPr="00156485" w:rsidRDefault="00BA31CF" w:rsidP="00BA31CF">
      <w:pPr>
        <w:pStyle w:val="Heading3"/>
        <w:rPr>
          <w:rFonts w:ascii="Times New Roman" w:hAnsi="Times New Roman" w:cs="Times New Roman"/>
          <w:b/>
          <w:bCs/>
          <w:color w:val="auto"/>
        </w:rPr>
      </w:pPr>
      <w:r w:rsidRPr="00156485">
        <w:rPr>
          <w:rFonts w:ascii="Times New Roman" w:hAnsi="Times New Roman" w:cs="Times New Roman"/>
          <w:b/>
          <w:bCs/>
          <w:color w:val="auto"/>
        </w:rPr>
        <w:t>Australia National Context</w:t>
      </w:r>
    </w:p>
    <w:p w14:paraId="3BA9E98E" w14:textId="77777777" w:rsidR="00BA31CF" w:rsidRPr="00156485" w:rsidRDefault="00BA31CF" w:rsidP="00BA31CF">
      <w:pPr>
        <w:rPr>
          <w:rFonts w:ascii="Times New Roman" w:hAnsi="Times New Roman" w:cs="Times New Roman"/>
        </w:rPr>
      </w:pPr>
    </w:p>
    <w:p w14:paraId="0071B26C" w14:textId="77777777" w:rsidR="00BA31CF" w:rsidRPr="00156485" w:rsidRDefault="00BA31CF" w:rsidP="00BA31CF">
      <w:pPr>
        <w:spacing w:line="360" w:lineRule="auto"/>
        <w:rPr>
          <w:rFonts w:ascii="Times New Roman" w:eastAsia="Times New Roman" w:hAnsi="Times New Roman" w:cs="Times New Roman"/>
          <w:sz w:val="21"/>
          <w:szCs w:val="21"/>
        </w:rPr>
      </w:pPr>
      <w:r w:rsidRPr="00156485">
        <w:rPr>
          <w:rFonts w:ascii="Times New Roman" w:eastAsia="Times New Roman" w:hAnsi="Times New Roman" w:cs="Times New Roman"/>
        </w:rPr>
        <w:t>The Aboriginal and Torres Strait Islander peoples are recognised as the Indigenous peoples of Australia. These communities seek to manage Country according to diverse and dynamic languages, cultures and traditions passed on through generations.</w:t>
      </w:r>
      <w:r w:rsidRPr="00156485">
        <w:rPr>
          <w:rFonts w:ascii="Times New Roman" w:eastAsia="Times New Roman" w:hAnsi="Times New Roman" w:cs="Times New Roman"/>
          <w:sz w:val="21"/>
          <w:szCs w:val="21"/>
        </w:rPr>
        <w:t xml:space="preserve"> </w:t>
      </w:r>
    </w:p>
    <w:p w14:paraId="24D697CD" w14:textId="71DDC885"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sz w:val="21"/>
          <w:szCs w:val="21"/>
        </w:rPr>
        <w:t>As Australia is t</w:t>
      </w:r>
      <w:r w:rsidRPr="00156485">
        <w:rPr>
          <w:rFonts w:ascii="Times New Roman" w:eastAsia="Times New Roman" w:hAnsi="Times New Roman" w:cs="Times New Roman"/>
        </w:rPr>
        <w:t>he only British settler colony to not have any form of constitutional recognition, Indigenous Peoples continue to petition for its creation to achieve “acknowledgement of Aboriginal and Torres Strait Islander peoples’ heritage as part of Australia’s national heritage, including Indigenous Australians’ relationship with their traditional lands and waters” (</w:t>
      </w:r>
      <w:proofErr w:type="spellStart"/>
      <w:r w:rsidRPr="00156485">
        <w:rPr>
          <w:rFonts w:ascii="Times New Roman" w:eastAsia="Times New Roman" w:hAnsi="Times New Roman" w:cs="Times New Roman"/>
        </w:rPr>
        <w:t>Gaussen</w:t>
      </w:r>
      <w:proofErr w:type="spellEnd"/>
      <w:r w:rsidRPr="00156485">
        <w:rPr>
          <w:rFonts w:ascii="Times New Roman" w:eastAsia="Times New Roman" w:hAnsi="Times New Roman" w:cs="Times New Roman"/>
        </w:rPr>
        <w:t xml:space="preserve">, 2017, p.8).  In its absence Aboriginal and Torres Strait Islander peoples rely on the ebbs and flows of a complex suite of federal state and territorial legislation and institutions to seek rights and restitution. (Hemming, </w:t>
      </w:r>
      <w:r w:rsidR="009D01CF">
        <w:rPr>
          <w:rFonts w:ascii="Times New Roman" w:eastAsia="Times New Roman" w:hAnsi="Times New Roman" w:cs="Times New Roman"/>
        </w:rPr>
        <w:t>2010</w:t>
      </w:r>
      <w:r w:rsidRPr="00156485">
        <w:rPr>
          <w:rFonts w:ascii="Times New Roman" w:eastAsia="Times New Roman" w:hAnsi="Times New Roman" w:cs="Times New Roman"/>
        </w:rPr>
        <w:t>).</w:t>
      </w:r>
    </w:p>
    <w:p w14:paraId="578A60A6" w14:textId="77777777" w:rsidR="00BA31CF" w:rsidRPr="00156485" w:rsidRDefault="00BA31CF" w:rsidP="00BA31CF">
      <w:pPr>
        <w:pStyle w:val="Heading3"/>
        <w:rPr>
          <w:rFonts w:ascii="Times New Roman" w:hAnsi="Times New Roman" w:cs="Times New Roman"/>
          <w:color w:val="auto"/>
        </w:rPr>
      </w:pPr>
      <w:r w:rsidRPr="00156485">
        <w:rPr>
          <w:rFonts w:ascii="Times New Roman" w:hAnsi="Times New Roman" w:cs="Times New Roman"/>
          <w:color w:val="auto"/>
        </w:rPr>
        <w:t>Aotearoa-New Zealand National Context</w:t>
      </w:r>
    </w:p>
    <w:p w14:paraId="72AAA917" w14:textId="77777777" w:rsidR="00BA31CF" w:rsidRPr="00156485" w:rsidRDefault="00BA31CF" w:rsidP="00BA31CF">
      <w:pPr>
        <w:rPr>
          <w:rFonts w:ascii="Times New Roman" w:hAnsi="Times New Roman" w:cs="Times New Roman"/>
        </w:rPr>
      </w:pPr>
    </w:p>
    <w:p w14:paraId="1825C55A" w14:textId="77777777" w:rsidR="00BA31CF" w:rsidRPr="00156485" w:rsidRDefault="00BA31CF" w:rsidP="00BA31CF">
      <w:pPr>
        <w:spacing w:line="360" w:lineRule="auto"/>
        <w:rPr>
          <w:rFonts w:ascii="Times New Roman" w:eastAsia="Times New Roman" w:hAnsi="Times New Roman" w:cs="Times New Roman"/>
          <w:sz w:val="21"/>
          <w:szCs w:val="21"/>
        </w:rPr>
      </w:pPr>
      <w:r w:rsidRPr="00156485">
        <w:rPr>
          <w:rFonts w:ascii="Times New Roman" w:eastAsia="Times New Roman" w:hAnsi="Times New Roman" w:cs="Times New Roman"/>
          <w:sz w:val="21"/>
          <w:szCs w:val="21"/>
        </w:rPr>
        <w:t xml:space="preserve">Maori </w:t>
      </w:r>
      <w:r w:rsidRPr="00156485">
        <w:rPr>
          <w:rFonts w:ascii="Times New Roman" w:eastAsia="Times New Roman" w:hAnsi="Times New Roman" w:cs="Times New Roman"/>
          <w:i/>
          <w:sz w:val="21"/>
          <w:szCs w:val="21"/>
        </w:rPr>
        <w:t>iwi</w:t>
      </w:r>
      <w:r w:rsidRPr="00156485">
        <w:rPr>
          <w:rFonts w:ascii="Times New Roman" w:eastAsia="Times New Roman" w:hAnsi="Times New Roman" w:cs="Times New Roman"/>
          <w:sz w:val="21"/>
          <w:szCs w:val="21"/>
        </w:rPr>
        <w:t xml:space="preserve"> (tribes) arrived in Aotearoa-New Zealand throughout thirteenth century as </w:t>
      </w:r>
      <w:proofErr w:type="spellStart"/>
      <w:r w:rsidRPr="00156485">
        <w:rPr>
          <w:rFonts w:ascii="Times New Roman" w:eastAsia="Times New Roman" w:hAnsi="Times New Roman" w:cs="Times New Roman"/>
          <w:i/>
          <w:sz w:val="21"/>
          <w:szCs w:val="21"/>
        </w:rPr>
        <w:t>tengata</w:t>
      </w:r>
      <w:proofErr w:type="spellEnd"/>
      <w:r w:rsidRPr="00156485">
        <w:rPr>
          <w:rFonts w:ascii="Times New Roman" w:eastAsia="Times New Roman" w:hAnsi="Times New Roman" w:cs="Times New Roman"/>
          <w:i/>
          <w:sz w:val="21"/>
          <w:szCs w:val="21"/>
        </w:rPr>
        <w:t xml:space="preserve"> whenua (first peoples of Aotearoa-New Zealand)</w:t>
      </w:r>
      <w:r w:rsidRPr="00156485">
        <w:rPr>
          <w:rFonts w:ascii="Times New Roman" w:eastAsia="Times New Roman" w:hAnsi="Times New Roman" w:cs="Times New Roman"/>
          <w:sz w:val="21"/>
          <w:szCs w:val="21"/>
        </w:rPr>
        <w:t xml:space="preserve">.  Establishing </w:t>
      </w:r>
      <w:r w:rsidRPr="00156485">
        <w:rPr>
          <w:rFonts w:ascii="Times New Roman" w:eastAsia="Times New Roman" w:hAnsi="Times New Roman" w:cs="Times New Roman"/>
          <w:i/>
          <w:sz w:val="21"/>
          <w:szCs w:val="21"/>
        </w:rPr>
        <w:t xml:space="preserve">tikanga, </w:t>
      </w:r>
      <w:r w:rsidRPr="00156485">
        <w:rPr>
          <w:rFonts w:ascii="Times New Roman" w:eastAsia="Times New Roman" w:hAnsi="Times New Roman" w:cs="Times New Roman"/>
          <w:sz w:val="21"/>
          <w:szCs w:val="21"/>
        </w:rPr>
        <w:t xml:space="preserve">broadly conceived as a customary system of values and practices, this first law of Aotearoa-New Zealand. </w:t>
      </w:r>
      <w:r w:rsidRPr="00156485">
        <w:rPr>
          <w:rFonts w:ascii="Times New Roman" w:eastAsia="Times New Roman" w:hAnsi="Times New Roman" w:cs="Times New Roman"/>
          <w:i/>
          <w:sz w:val="21"/>
          <w:szCs w:val="21"/>
        </w:rPr>
        <w:t>Tikanga</w:t>
      </w:r>
      <w:r w:rsidRPr="00156485">
        <w:rPr>
          <w:rFonts w:ascii="Times New Roman" w:eastAsia="Times New Roman" w:hAnsi="Times New Roman" w:cs="Times New Roman"/>
          <w:sz w:val="21"/>
          <w:szCs w:val="21"/>
        </w:rPr>
        <w:t xml:space="preserve"> continues to evolve and inform Maori social and cultural ways as custodians of the land. </w:t>
      </w:r>
    </w:p>
    <w:p w14:paraId="7C10DA0B" w14:textId="77777777" w:rsidR="00BA31CF" w:rsidRPr="00156485" w:rsidRDefault="00BA31CF" w:rsidP="00BA31CF">
      <w:pPr>
        <w:spacing w:line="360" w:lineRule="auto"/>
        <w:rPr>
          <w:rFonts w:ascii="Times New Roman" w:eastAsia="Times New Roman" w:hAnsi="Times New Roman" w:cs="Times New Roman"/>
          <w:sz w:val="21"/>
          <w:szCs w:val="21"/>
        </w:rPr>
      </w:pPr>
      <w:r w:rsidRPr="00156485">
        <w:rPr>
          <w:rFonts w:ascii="Times New Roman" w:eastAsia="Times New Roman" w:hAnsi="Times New Roman" w:cs="Times New Roman"/>
          <w:sz w:val="21"/>
          <w:szCs w:val="21"/>
        </w:rPr>
        <w:t>The Waitangi of Treaty /</w:t>
      </w:r>
      <w:r w:rsidRPr="00156485">
        <w:rPr>
          <w:rFonts w:ascii="Times New Roman" w:eastAsia="Times New Roman" w:hAnsi="Times New Roman" w:cs="Times New Roman"/>
          <w:i/>
          <w:sz w:val="21"/>
          <w:szCs w:val="21"/>
        </w:rPr>
        <w:t>Triti de Waitangi</w:t>
      </w:r>
      <w:r w:rsidRPr="00156485">
        <w:rPr>
          <w:rFonts w:ascii="Times New Roman" w:eastAsia="Times New Roman" w:hAnsi="Times New Roman" w:cs="Times New Roman"/>
          <w:sz w:val="21"/>
          <w:szCs w:val="21"/>
        </w:rPr>
        <w:t xml:space="preserve"> (1840) is generally accepted to be a foundational document of the Aotearoa-New Zealand constitution. Put forward by the government as means of ‘negotiating’ the different system of laws and world views, its varying translations between English and Maori, the manner through which signatures of the Maori chiefs were obtained and the Government’s adherence to it (or lack thereof) have challenged its credibility (Salmond, 2014). Brought to life by continuing actions of Maori peoples, the Treaty Tribunal (1975) was established to determine whether government activities are consistent with the Treaty principles whereby “regaining levels of governance and decision-making for lands and environment […] have been significant parts of Treaty of Waitangi claims” (Lyver, 2019, p.395).</w:t>
      </w:r>
    </w:p>
    <w:p w14:paraId="2D89DBB9" w14:textId="77777777" w:rsidR="00BA31CF" w:rsidRPr="00156485" w:rsidRDefault="00BA31CF" w:rsidP="00BA31CF">
      <w:pPr>
        <w:spacing w:line="360" w:lineRule="auto"/>
        <w:rPr>
          <w:rFonts w:ascii="Times New Roman" w:eastAsia="Times New Roman" w:hAnsi="Times New Roman" w:cs="Times New Roman"/>
        </w:rPr>
      </w:pPr>
    </w:p>
    <w:p w14:paraId="1CBF0846" w14:textId="77777777" w:rsidR="00BA31CF" w:rsidRPr="00156485" w:rsidRDefault="00BA31CF" w:rsidP="00BA31CF">
      <w:pPr>
        <w:pStyle w:val="Heading2"/>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 xml:space="preserve">Uluru-Kata Tjuta National Park </w:t>
      </w:r>
    </w:p>
    <w:p w14:paraId="67AD2484" w14:textId="77777777" w:rsidR="00BA31CF" w:rsidRPr="00156485" w:rsidRDefault="00BA31CF" w:rsidP="00BA31CF">
      <w:pPr>
        <w:pStyle w:val="Heading3"/>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National Park</w:t>
      </w:r>
    </w:p>
    <w:p w14:paraId="785ED9E8" w14:textId="77777777" w:rsidR="00BA31CF" w:rsidRPr="00156485" w:rsidRDefault="00BA31CF" w:rsidP="00BA31CF">
      <w:pPr>
        <w:rPr>
          <w:rFonts w:ascii="Times New Roman" w:hAnsi="Times New Roman" w:cs="Times New Roman"/>
        </w:rPr>
      </w:pPr>
    </w:p>
    <w:p w14:paraId="69DA8015" w14:textId="14E0A183"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Under colonial settlement, an area that included Uluru formed part of an ‘Aboriginal Reserve’ to ‘protect’ the Indigenous peoples who were ‘beyond change’ and so could not be otherwise forced into </w:t>
      </w:r>
      <w:r w:rsidRPr="00156485">
        <w:rPr>
          <w:rFonts w:ascii="Times New Roman" w:eastAsia="Times New Roman" w:hAnsi="Times New Roman" w:cs="Times New Roman"/>
        </w:rPr>
        <w:lastRenderedPageBreak/>
        <w:t xml:space="preserve">the assimilation programmes underway across Australia. Then, following a period of national imagining and revisions, the previously inhospitable desert become “the heart of Australia” and was established as Ayers Rock–Mt. Olga National Park (1958). Essential to this was the presence of the </w:t>
      </w:r>
      <w:proofErr w:type="spellStart"/>
      <w:r w:rsidRPr="00156485">
        <w:rPr>
          <w:rFonts w:ascii="Times New Roman" w:eastAsia="Times New Roman" w:hAnsi="Times New Roman" w:cs="Times New Roman"/>
        </w:rPr>
        <w:t>Pitjantjatjara</w:t>
      </w:r>
      <w:proofErr w:type="spellEnd"/>
      <w:r w:rsidRPr="00156485">
        <w:rPr>
          <w:rFonts w:ascii="Times New Roman" w:eastAsia="Times New Roman" w:hAnsi="Times New Roman" w:cs="Times New Roman"/>
        </w:rPr>
        <w:t xml:space="preserve"> and </w:t>
      </w:r>
      <w:proofErr w:type="spellStart"/>
      <w:r w:rsidRPr="00156485">
        <w:rPr>
          <w:rFonts w:ascii="Times New Roman" w:eastAsia="Times New Roman" w:hAnsi="Times New Roman" w:cs="Times New Roman"/>
        </w:rPr>
        <w:t>Yankuntjatjara</w:t>
      </w:r>
      <w:proofErr w:type="spellEnd"/>
      <w:r w:rsidRPr="00156485">
        <w:rPr>
          <w:rFonts w:ascii="Times New Roman" w:eastAsia="Times New Roman" w:hAnsi="Times New Roman" w:cs="Times New Roman"/>
        </w:rPr>
        <w:t xml:space="preserve"> peoples (forming the linguistic group Anangu) whose Country incorporates Uluru. The association with ‘authentic Aborigines’ and their ‘ancient/prehistoric culture’ described the park’s ‘wilderness’ and ‘timelessness’. To accommodate this revision the Anangu communities were relocated to ‘villages’ built outside the park boundaries but still within its identity (Walliss, 20</w:t>
      </w:r>
      <w:r w:rsidR="009D01CF">
        <w:rPr>
          <w:rFonts w:ascii="Times New Roman" w:eastAsia="Times New Roman" w:hAnsi="Times New Roman" w:cs="Times New Roman"/>
        </w:rPr>
        <w:t>14</w:t>
      </w:r>
      <w:r w:rsidRPr="00156485">
        <w:rPr>
          <w:rFonts w:ascii="Times New Roman" w:eastAsia="Times New Roman" w:hAnsi="Times New Roman" w:cs="Times New Roman"/>
        </w:rPr>
        <w:t>).</w:t>
      </w:r>
    </w:p>
    <w:p w14:paraId="7E70878F" w14:textId="41A0B5D9"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Throughout the 1970s, the Anangu peoples negotiated a precedent that concluded with the ‘hand back’ of native title of the lands from the Australian government to the traditional owners in 1985. Among the associated conditions were rental of the National Park back to the Australian government for an annual fee, the establishment of a Board of Management comprising a majority by traditional owners, and employment and commercial opportunities including a percentage of ticket sales (Baumann and Smyth, 2007 in Lyver, 2014). In addition, the Anangu communities were permitted to live back within the Park boundaries. This agreement is seen as a benchmark in accommodating Indigenous and conservation standards in Australia, referred to as the ‘Uluru effect’ (Lyver, 2014). In 1993, the official name of the site was changed to Uluru-Kata Tjuta National Park.</w:t>
      </w:r>
    </w:p>
    <w:p w14:paraId="4D6D1CF9" w14:textId="77777777" w:rsidR="00CA6B13" w:rsidRPr="00156485" w:rsidRDefault="00CA6B13" w:rsidP="00BA31CF">
      <w:pPr>
        <w:spacing w:line="360" w:lineRule="auto"/>
        <w:rPr>
          <w:rFonts w:ascii="Times New Roman" w:eastAsia="Times New Roman" w:hAnsi="Times New Roman" w:cs="Times New Roman"/>
        </w:rPr>
      </w:pPr>
    </w:p>
    <w:p w14:paraId="3E0D624D" w14:textId="77777777" w:rsidR="00BA31CF" w:rsidRPr="00156485" w:rsidRDefault="00BA31CF" w:rsidP="00BA31CF">
      <w:pPr>
        <w:pStyle w:val="Heading3"/>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World Heritage Nomination - The Promise</w:t>
      </w:r>
    </w:p>
    <w:p w14:paraId="2280E670" w14:textId="77777777" w:rsidR="00BA31CF" w:rsidRPr="00156485" w:rsidRDefault="00BA31CF" w:rsidP="00BA31CF">
      <w:pPr>
        <w:rPr>
          <w:rFonts w:ascii="Times New Roman" w:hAnsi="Times New Roman" w:cs="Times New Roman"/>
        </w:rPr>
      </w:pPr>
    </w:p>
    <w:p w14:paraId="46150E95" w14:textId="77777777" w:rsidR="00BA31CF" w:rsidRPr="00156485" w:rsidRDefault="00BA31CF" w:rsidP="00BA31CF">
      <w:pPr>
        <w:spacing w:after="0"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As detailed in Palmer (2016):  Following petitioning by the Anangu peoples, in response to the 1987 ‘natural site’ inscription, a revised nomination was submitted to UNESCO for recognition as a site with significant natural and cultural values. The Anangu peoples requested more involvement in the park’s management, protection, and decision-making, in keeping with ‘hand back’ agreement. </w:t>
      </w:r>
    </w:p>
    <w:p w14:paraId="30DD574D" w14:textId="77777777" w:rsidR="00BA31CF" w:rsidRPr="00156485" w:rsidRDefault="00BA31CF" w:rsidP="00BA31CF">
      <w:pPr>
        <w:spacing w:after="0"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The revised nomination dossier accordingly made explicit the involvement of the Anangu in various positions in the park’s organisation. It also included development of an ‘information management system’ incorporating </w:t>
      </w:r>
      <w:proofErr w:type="spellStart"/>
      <w:r w:rsidRPr="00156485">
        <w:rPr>
          <w:rFonts w:ascii="Times New Roman" w:eastAsia="Times New Roman" w:hAnsi="Times New Roman" w:cs="Times New Roman"/>
          <w:i/>
        </w:rPr>
        <w:t>Tjukurpa</w:t>
      </w:r>
      <w:proofErr w:type="spellEnd"/>
      <w:r w:rsidRPr="00156485">
        <w:rPr>
          <w:rFonts w:ascii="Times New Roman" w:eastAsia="Times New Roman" w:hAnsi="Times New Roman" w:cs="Times New Roman"/>
        </w:rPr>
        <w:t xml:space="preserve"> (the Anangu philosophy that underpins customary law with which Country is protected). This facilitated the written mapping of Anangu ancestral journeys and the joint production of a wildlife survey that used Western and Anangu classification systems to form ‘hybrid knowledge’ that could be applied to sustainably conserve the lands and as such to evidence the ‘interrelationship’ of the management system with the natural and cultural values necessary to the park’s and the Anangu’s wellbeing. It also “showed proof that sustainable collaborations have occurred between indigenous knowledge holders, scientist, and state actors” (Palmer, 2016, p.22). The revised nomination was accepted by UNESCO and the park became the second World Heritage Cultural Landscape.</w:t>
      </w:r>
    </w:p>
    <w:p w14:paraId="366AF167" w14:textId="77777777" w:rsidR="00BA31CF" w:rsidRPr="00156485" w:rsidRDefault="00BA31CF" w:rsidP="00BA31CF">
      <w:pPr>
        <w:spacing w:after="0" w:line="360" w:lineRule="auto"/>
        <w:rPr>
          <w:rFonts w:ascii="Times New Roman" w:eastAsia="Times New Roman" w:hAnsi="Times New Roman" w:cs="Times New Roman"/>
        </w:rPr>
      </w:pPr>
    </w:p>
    <w:p w14:paraId="3FBBBA62" w14:textId="77777777" w:rsidR="00BA31CF" w:rsidRPr="00156485" w:rsidRDefault="00BA31CF" w:rsidP="00BA31CF">
      <w:pPr>
        <w:pStyle w:val="Heading3"/>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 xml:space="preserve">World Heritage Management - The Actuality </w:t>
      </w:r>
    </w:p>
    <w:p w14:paraId="1FEA23C3" w14:textId="77777777" w:rsidR="00BA31CF" w:rsidRPr="00156485" w:rsidRDefault="00BA31CF" w:rsidP="00BA31CF">
      <w:pPr>
        <w:rPr>
          <w:rFonts w:ascii="Times New Roman" w:hAnsi="Times New Roman" w:cs="Times New Roman"/>
        </w:rPr>
      </w:pPr>
    </w:p>
    <w:p w14:paraId="746AA15D" w14:textId="08A1BAF7"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When the 1994 nomination was accepted it </w:t>
      </w:r>
      <w:r w:rsidR="009D01CF">
        <w:rPr>
          <w:rFonts w:ascii="Times New Roman" w:eastAsia="Times New Roman" w:hAnsi="Times New Roman" w:cs="Times New Roman"/>
        </w:rPr>
        <w:t xml:space="preserve">established </w:t>
      </w:r>
      <w:r w:rsidRPr="00156485">
        <w:rPr>
          <w:rFonts w:ascii="Times New Roman" w:eastAsia="Times New Roman" w:hAnsi="Times New Roman" w:cs="Times New Roman"/>
        </w:rPr>
        <w:t>a new standard for World Heritage management</w:t>
      </w:r>
      <w:r w:rsidR="009D01CF">
        <w:rPr>
          <w:rFonts w:ascii="Times New Roman" w:eastAsia="Times New Roman" w:hAnsi="Times New Roman" w:cs="Times New Roman"/>
        </w:rPr>
        <w:t xml:space="preserve"> </w:t>
      </w:r>
      <w:r w:rsidRPr="00156485">
        <w:rPr>
          <w:rFonts w:ascii="Times New Roman" w:eastAsia="Times New Roman" w:hAnsi="Times New Roman" w:cs="Times New Roman"/>
        </w:rPr>
        <w:t>(Harrison, 2013) due to its declared collaborative management approach and the incorporation of ecosystem and cultural perspectives of the Anangu peoples in its conservation methods.  However, researching the park 30 years later, Lyver (2014) observes how, despite its initial and hard won, achievements, the model has failed to live up to its potential in “instigating cultural and economic resurgence for Anangu” (Lyver, 2014, p.1234).</w:t>
      </w:r>
    </w:p>
    <w:p w14:paraId="39BD6F76" w14:textId="77777777"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The ‘ground-breaking’ collaboration established in the Management Board does not extend to Anangu authority or roles in decision-making, here the government parties still dominate, and the Management Board plays more of an ‘advisory’ role. And although commercial and employment opportunities do exist, employment is mostly in the ‘lower ranking’ jobs with minimal influence and retention is low. Similarly, despite the explicit inclusion in the park’s management plan, Anangu conservation practices are sporadically applied in practice (Lyver, 2014).</w:t>
      </w:r>
    </w:p>
    <w:p w14:paraId="3369D351" w14:textId="77777777"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Perhaps indicative of how the co-management arrangements operates </w:t>
      </w:r>
      <w:proofErr w:type="gramStart"/>
      <w:r w:rsidRPr="00156485">
        <w:rPr>
          <w:rFonts w:ascii="Times New Roman" w:eastAsia="Times New Roman" w:hAnsi="Times New Roman" w:cs="Times New Roman"/>
        </w:rPr>
        <w:t>in reality is</w:t>
      </w:r>
      <w:proofErr w:type="gramEnd"/>
      <w:r w:rsidRPr="00156485">
        <w:rPr>
          <w:rFonts w:ascii="Times New Roman" w:eastAsia="Times New Roman" w:hAnsi="Times New Roman" w:cs="Times New Roman"/>
        </w:rPr>
        <w:t xml:space="preserve"> the ‘Please don’t climb’ campaign. Following decades of requests for visitors not to climb the face of UL, in 2017 the Park’s management board finally agreed to the request. The ‘climb’ was permanently closed and dismantled in 2019. Notably, however, this was only agreed upon </w:t>
      </w:r>
      <w:r w:rsidRPr="00156485">
        <w:rPr>
          <w:rFonts w:ascii="Times New Roman" w:eastAsia="Times New Roman" w:hAnsi="Times New Roman" w:cs="Times New Roman"/>
          <w:i/>
        </w:rPr>
        <w:t>after</w:t>
      </w:r>
      <w:r w:rsidRPr="00156485">
        <w:rPr>
          <w:rFonts w:ascii="Times New Roman" w:eastAsia="Times New Roman" w:hAnsi="Times New Roman" w:cs="Times New Roman"/>
        </w:rPr>
        <w:t xml:space="preserve"> conditions were met such as assurance that less than 20% of visitors would be impacted by the change and evidence that cultural and natural features were the prime drivers for visitors (Bickersteth et al, 2020).</w:t>
      </w:r>
    </w:p>
    <w:p w14:paraId="7DDC8EE8" w14:textId="77777777" w:rsidR="00BA31CF" w:rsidRPr="00156485" w:rsidRDefault="00BA31CF" w:rsidP="00BA31CF">
      <w:pPr>
        <w:spacing w:line="360" w:lineRule="auto"/>
        <w:rPr>
          <w:rFonts w:ascii="Times New Roman" w:eastAsia="Times New Roman" w:hAnsi="Times New Roman" w:cs="Times New Roman"/>
        </w:rPr>
      </w:pPr>
    </w:p>
    <w:p w14:paraId="11635B3C" w14:textId="77777777" w:rsidR="00BA31CF" w:rsidRPr="00156485" w:rsidRDefault="00BA31CF" w:rsidP="00BA31CF">
      <w:pPr>
        <w:pStyle w:val="Heading2"/>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 xml:space="preserve">Tongariro National Park </w:t>
      </w:r>
    </w:p>
    <w:p w14:paraId="13EB2703" w14:textId="77777777" w:rsidR="00BA31CF" w:rsidRPr="00156485" w:rsidRDefault="00BA31CF" w:rsidP="00BA31CF">
      <w:pPr>
        <w:pStyle w:val="Heading3"/>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National Park</w:t>
      </w:r>
    </w:p>
    <w:p w14:paraId="3F446BF1" w14:textId="77777777" w:rsidR="00BA31CF" w:rsidRPr="00156485" w:rsidRDefault="00BA31CF" w:rsidP="00BA31CF">
      <w:pPr>
        <w:rPr>
          <w:rFonts w:ascii="Times New Roman" w:hAnsi="Times New Roman" w:cs="Times New Roman"/>
        </w:rPr>
      </w:pPr>
    </w:p>
    <w:p w14:paraId="3EEDCBD3" w14:textId="77777777" w:rsidR="00BA31CF" w:rsidRPr="00156485" w:rsidRDefault="00BA31CF" w:rsidP="00BA31CF">
      <w:pPr>
        <w:spacing w:after="0" w:line="360" w:lineRule="auto"/>
        <w:rPr>
          <w:rFonts w:ascii="Times New Roman" w:eastAsia="Times New Roman" w:hAnsi="Times New Roman" w:cs="Times New Roman"/>
        </w:rPr>
      </w:pPr>
      <w:r w:rsidRPr="00156485">
        <w:rPr>
          <w:rFonts w:ascii="Times New Roman" w:eastAsia="Times New Roman" w:hAnsi="Times New Roman" w:cs="Times New Roman"/>
          <w:sz w:val="21"/>
          <w:szCs w:val="21"/>
        </w:rPr>
        <w:t xml:space="preserve">One of Aotearoa-New Zealand’s national narratives commonly asserts to it being “the </w:t>
      </w:r>
      <w:r w:rsidRPr="00156485">
        <w:rPr>
          <w:rFonts w:ascii="Times New Roman" w:eastAsia="Times New Roman" w:hAnsi="Times New Roman" w:cs="Times New Roman"/>
        </w:rPr>
        <w:t>first Western country to reserve a national park in cooperation with its indigenous people” (</w:t>
      </w:r>
      <w:proofErr w:type="spellStart"/>
      <w:r w:rsidRPr="00156485">
        <w:rPr>
          <w:rFonts w:ascii="Times New Roman" w:eastAsia="Times New Roman" w:hAnsi="Times New Roman" w:cs="Times New Roman"/>
        </w:rPr>
        <w:t>Ruru</w:t>
      </w:r>
      <w:proofErr w:type="spellEnd"/>
      <w:r w:rsidRPr="00156485">
        <w:rPr>
          <w:rFonts w:ascii="Times New Roman" w:eastAsia="Times New Roman" w:hAnsi="Times New Roman" w:cs="Times New Roman"/>
        </w:rPr>
        <w:t xml:space="preserve">, 2004, p.123). This ‘cooperation’ refers to an offer made by the Paramount Chief of </w:t>
      </w:r>
      <w:proofErr w:type="spellStart"/>
      <w:r w:rsidRPr="00156485">
        <w:rPr>
          <w:rFonts w:ascii="Times New Roman" w:eastAsia="Times New Roman" w:hAnsi="Times New Roman" w:cs="Times New Roman"/>
        </w:rPr>
        <w:t>Ngati</w:t>
      </w:r>
      <w:proofErr w:type="spellEnd"/>
      <w:r w:rsidRPr="00156485">
        <w:rPr>
          <w:rFonts w:ascii="Times New Roman" w:eastAsia="Times New Roman" w:hAnsi="Times New Roman" w:cs="Times New Roman"/>
        </w:rPr>
        <w:t xml:space="preserve"> </w:t>
      </w:r>
      <w:proofErr w:type="spellStart"/>
      <w:r w:rsidRPr="00156485">
        <w:rPr>
          <w:rFonts w:ascii="Times New Roman" w:eastAsia="Times New Roman" w:hAnsi="Times New Roman" w:cs="Times New Roman"/>
        </w:rPr>
        <w:t>Tuwharetoa</w:t>
      </w:r>
      <w:proofErr w:type="spellEnd"/>
      <w:r w:rsidRPr="00156485">
        <w:rPr>
          <w:rFonts w:ascii="Times New Roman" w:eastAsia="Times New Roman" w:hAnsi="Times New Roman" w:cs="Times New Roman"/>
        </w:rPr>
        <w:t xml:space="preserve">. The offer made in 1887 has been ‘interpreted’ as his gifting of ownership of Tongariro’s peaks to the government. In fact, the offer was a suggestion of partnership, made </w:t>
      </w:r>
      <w:proofErr w:type="gramStart"/>
      <w:r w:rsidRPr="00156485">
        <w:rPr>
          <w:rFonts w:ascii="Times New Roman" w:eastAsia="Times New Roman" w:hAnsi="Times New Roman" w:cs="Times New Roman"/>
        </w:rPr>
        <w:t>in an attempt to</w:t>
      </w:r>
      <w:proofErr w:type="gramEnd"/>
      <w:r w:rsidRPr="00156485">
        <w:rPr>
          <w:rFonts w:ascii="Times New Roman" w:eastAsia="Times New Roman" w:hAnsi="Times New Roman" w:cs="Times New Roman"/>
        </w:rPr>
        <w:t xml:space="preserve"> keep intact the lands of the </w:t>
      </w:r>
      <w:proofErr w:type="spellStart"/>
      <w:r w:rsidRPr="00156485">
        <w:rPr>
          <w:rFonts w:ascii="Times New Roman" w:eastAsia="Times New Roman" w:hAnsi="Times New Roman" w:cs="Times New Roman"/>
        </w:rPr>
        <w:t>Ngati</w:t>
      </w:r>
      <w:proofErr w:type="spellEnd"/>
      <w:r w:rsidRPr="00156485">
        <w:rPr>
          <w:rFonts w:ascii="Times New Roman" w:eastAsia="Times New Roman" w:hAnsi="Times New Roman" w:cs="Times New Roman"/>
        </w:rPr>
        <w:t xml:space="preserve"> </w:t>
      </w:r>
      <w:proofErr w:type="spellStart"/>
      <w:r w:rsidRPr="00156485">
        <w:rPr>
          <w:rFonts w:ascii="Times New Roman" w:eastAsia="Times New Roman" w:hAnsi="Times New Roman" w:cs="Times New Roman"/>
        </w:rPr>
        <w:t>Tuwharetoa</w:t>
      </w:r>
      <w:proofErr w:type="spellEnd"/>
      <w:r w:rsidRPr="00156485">
        <w:rPr>
          <w:rFonts w:ascii="Times New Roman" w:eastAsia="Times New Roman" w:hAnsi="Times New Roman" w:cs="Times New Roman"/>
        </w:rPr>
        <w:t xml:space="preserve"> iwi in the face of ongoing Maori dispossession and coercive land title rulings. Following seven embattled years, Tongariro National Park was established by the government in 1894 (</w:t>
      </w:r>
      <w:proofErr w:type="spellStart"/>
      <w:r w:rsidRPr="00156485">
        <w:rPr>
          <w:rFonts w:ascii="Times New Roman" w:eastAsia="Times New Roman" w:hAnsi="Times New Roman" w:cs="Times New Roman"/>
        </w:rPr>
        <w:t>Ruru</w:t>
      </w:r>
      <w:proofErr w:type="spellEnd"/>
      <w:r w:rsidRPr="00156485">
        <w:rPr>
          <w:rFonts w:ascii="Times New Roman" w:eastAsia="Times New Roman" w:hAnsi="Times New Roman" w:cs="Times New Roman"/>
        </w:rPr>
        <w:t xml:space="preserve">, 2004). In the revision of its identity as ‘a park for all New Zealanders’, the first official guidebook (1927, in Walliss, 2013) defines the park solely by the natural wilderness. No </w:t>
      </w:r>
      <w:r w:rsidRPr="00156485">
        <w:rPr>
          <w:rFonts w:ascii="Times New Roman" w:eastAsia="Times New Roman" w:hAnsi="Times New Roman" w:cs="Times New Roman"/>
        </w:rPr>
        <w:lastRenderedPageBreak/>
        <w:t xml:space="preserve">acknowledgement is given to the space as a Maori place of culture, despite first recordings describing a Maori ‘cultural landscape’. As such, the Maori peoples and their histories were written out of the identity of the park. Further instituting the parks’ ‘wilderness’, the National Parks Act 1952 insists that the space “be kept and maintained in a state of nature” (Walliss, 2013, p.283), a state in which it is not or never has been occupied. </w:t>
      </w:r>
    </w:p>
    <w:p w14:paraId="43B13E3C" w14:textId="77777777" w:rsidR="00BA31CF" w:rsidRPr="00156485" w:rsidRDefault="00BA31CF" w:rsidP="00BA31CF">
      <w:pPr>
        <w:spacing w:after="0" w:line="360" w:lineRule="auto"/>
        <w:rPr>
          <w:rFonts w:ascii="Times New Roman" w:eastAsia="Times New Roman" w:hAnsi="Times New Roman" w:cs="Times New Roman"/>
        </w:rPr>
      </w:pPr>
    </w:p>
    <w:p w14:paraId="01AD62CF" w14:textId="77777777" w:rsidR="00BA31CF" w:rsidRPr="00156485" w:rsidRDefault="00BA31CF" w:rsidP="00BA31CF">
      <w:pPr>
        <w:spacing w:after="0" w:line="360" w:lineRule="auto"/>
        <w:rPr>
          <w:rFonts w:ascii="Times New Roman" w:eastAsia="Times New Roman" w:hAnsi="Times New Roman" w:cs="Times New Roman"/>
        </w:rPr>
      </w:pPr>
      <w:r w:rsidRPr="00156485">
        <w:rPr>
          <w:rFonts w:ascii="Times New Roman" w:eastAsia="Times New Roman" w:hAnsi="Times New Roman" w:cs="Times New Roman"/>
        </w:rPr>
        <w:t>More recently, following the establishment of the Treaty Tribunal, the 1987 Conservation Act, established the Department of Conservation (DOC) as the government body charged with the park’s management. Its governance “should give effect to the principles of the Treaty of Waitangi (</w:t>
      </w:r>
      <w:proofErr w:type="spellStart"/>
      <w:r w:rsidRPr="00156485">
        <w:rPr>
          <w:rFonts w:ascii="Times New Roman" w:eastAsia="Times New Roman" w:hAnsi="Times New Roman" w:cs="Times New Roman"/>
        </w:rPr>
        <w:t>Ruru</w:t>
      </w:r>
      <w:proofErr w:type="spellEnd"/>
      <w:r w:rsidRPr="00156485">
        <w:rPr>
          <w:rFonts w:ascii="Times New Roman" w:eastAsia="Times New Roman" w:hAnsi="Times New Roman" w:cs="Times New Roman"/>
        </w:rPr>
        <w:t>, 2004, p.246) and in doing so, DOC was tasked with collaboratively managing the park through consultation with Maori groups (</w:t>
      </w:r>
      <w:proofErr w:type="spellStart"/>
      <w:r w:rsidRPr="00156485">
        <w:rPr>
          <w:rFonts w:ascii="Times New Roman" w:eastAsia="Times New Roman" w:hAnsi="Times New Roman" w:cs="Times New Roman"/>
        </w:rPr>
        <w:t>Ruru</w:t>
      </w:r>
      <w:proofErr w:type="spellEnd"/>
      <w:r w:rsidRPr="00156485">
        <w:rPr>
          <w:rFonts w:ascii="Times New Roman" w:eastAsia="Times New Roman" w:hAnsi="Times New Roman" w:cs="Times New Roman"/>
        </w:rPr>
        <w:t xml:space="preserve">, 2004). However, the Treaty Tribunal found the DOC in breach of its duties and so in settlement with the Maori claimants cultural, </w:t>
      </w:r>
      <w:proofErr w:type="gramStart"/>
      <w:r w:rsidRPr="00156485">
        <w:rPr>
          <w:rFonts w:ascii="Times New Roman" w:eastAsia="Times New Roman" w:hAnsi="Times New Roman" w:cs="Times New Roman"/>
        </w:rPr>
        <w:t>legal</w:t>
      </w:r>
      <w:proofErr w:type="gramEnd"/>
      <w:r w:rsidRPr="00156485">
        <w:rPr>
          <w:rFonts w:ascii="Times New Roman" w:eastAsia="Times New Roman" w:hAnsi="Times New Roman" w:cs="Times New Roman"/>
        </w:rPr>
        <w:t xml:space="preserve"> and financial redress was recommended. As such, the government must formally apologise for perpetuating the myth of ‘the gift of Tongariro ownership’; control of the park is to be moved from Department of Conservation to a new statutory body of Crown and iwi representatives along with new title held jointly by local iwi and the government, and financial settlement was administered.</w:t>
      </w:r>
    </w:p>
    <w:p w14:paraId="73B45EF6" w14:textId="77777777" w:rsidR="00BA31CF" w:rsidRPr="00156485" w:rsidRDefault="00BA31CF" w:rsidP="00BA31CF">
      <w:pPr>
        <w:spacing w:after="0" w:line="360" w:lineRule="auto"/>
        <w:rPr>
          <w:rFonts w:ascii="Times New Roman" w:eastAsia="Times New Roman" w:hAnsi="Times New Roman" w:cs="Times New Roman"/>
          <w:sz w:val="21"/>
          <w:szCs w:val="21"/>
        </w:rPr>
      </w:pPr>
    </w:p>
    <w:p w14:paraId="69ABF34F" w14:textId="77777777" w:rsidR="00BA31CF" w:rsidRPr="00156485" w:rsidRDefault="00BA31CF" w:rsidP="00BA31CF">
      <w:pPr>
        <w:pStyle w:val="Heading3"/>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World Heritage Nomination - The Promise</w:t>
      </w:r>
    </w:p>
    <w:p w14:paraId="04A21CDB" w14:textId="77777777" w:rsidR="00BA31CF" w:rsidRPr="00156485" w:rsidRDefault="00BA31CF" w:rsidP="00BA31CF">
      <w:pPr>
        <w:spacing w:after="0" w:line="360" w:lineRule="auto"/>
        <w:rPr>
          <w:rFonts w:ascii="Times New Roman" w:eastAsia="Times New Roman" w:hAnsi="Times New Roman" w:cs="Times New Roman"/>
        </w:rPr>
      </w:pPr>
    </w:p>
    <w:p w14:paraId="5A39BA66" w14:textId="77777777" w:rsidR="00BA31CF" w:rsidRPr="00156485" w:rsidRDefault="00BA31CF" w:rsidP="00BA31CF">
      <w:pPr>
        <w:spacing w:after="0"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Initially submitted as a site of ‘mixed’ natural and cultural criteria, Tongariro National Park’s 1986 nomination dossier maintained the existing national park’s identity as a “natural, pristine volcanic landscape”, excluding any significant reference to the Maori peoples’ cultural relationship with the land. It was inscribed as ‘natural’ site and the exclusions of its cultural values were so stark that UNESCO’S cultural advisory body (ICOMOS) was absent from the evaluation. (Palmer, 2018). </w:t>
      </w:r>
    </w:p>
    <w:p w14:paraId="73B0C7C6" w14:textId="77777777" w:rsidR="00BA31CF" w:rsidRPr="00156485" w:rsidRDefault="00BA31CF" w:rsidP="00BA31CF">
      <w:pPr>
        <w:spacing w:after="0" w:line="360" w:lineRule="auto"/>
        <w:rPr>
          <w:rFonts w:ascii="Times New Roman" w:eastAsia="Times New Roman" w:hAnsi="Times New Roman" w:cs="Times New Roman"/>
        </w:rPr>
      </w:pPr>
    </w:p>
    <w:p w14:paraId="5FECE646" w14:textId="77777777" w:rsidR="00BA31CF" w:rsidRPr="00156485" w:rsidRDefault="00BA31CF" w:rsidP="00BA31CF">
      <w:pPr>
        <w:spacing w:after="0"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Seven years of deliberations followed in which the Aotearoa-New Zealand government found a satisfactory way to articulate the cultural significance of Tongariro National Park to UNESCO. To do so, the government invited contributions to the nomination from iwi groups, the Paramount Chief of </w:t>
      </w:r>
      <w:proofErr w:type="spellStart"/>
      <w:r w:rsidRPr="00156485">
        <w:rPr>
          <w:rFonts w:ascii="Times New Roman" w:eastAsia="Times New Roman" w:hAnsi="Times New Roman" w:cs="Times New Roman"/>
        </w:rPr>
        <w:t>Ngati</w:t>
      </w:r>
      <w:proofErr w:type="spellEnd"/>
      <w:r w:rsidRPr="00156485">
        <w:rPr>
          <w:rFonts w:ascii="Times New Roman" w:eastAsia="Times New Roman" w:hAnsi="Times New Roman" w:cs="Times New Roman"/>
        </w:rPr>
        <w:t xml:space="preserve"> </w:t>
      </w:r>
      <w:proofErr w:type="spellStart"/>
      <w:r w:rsidRPr="00156485">
        <w:rPr>
          <w:rFonts w:ascii="Times New Roman" w:eastAsia="Times New Roman" w:hAnsi="Times New Roman" w:cs="Times New Roman"/>
        </w:rPr>
        <w:t>Tuwharetoa</w:t>
      </w:r>
      <w:proofErr w:type="spellEnd"/>
      <w:r w:rsidRPr="00156485">
        <w:rPr>
          <w:rFonts w:ascii="Times New Roman" w:eastAsia="Times New Roman" w:hAnsi="Times New Roman" w:cs="Times New Roman"/>
        </w:rPr>
        <w:t xml:space="preserve">, and the </w:t>
      </w:r>
      <w:proofErr w:type="spellStart"/>
      <w:r w:rsidRPr="00156485">
        <w:rPr>
          <w:rFonts w:ascii="Times New Roman" w:eastAsia="Times New Roman" w:hAnsi="Times New Roman" w:cs="Times New Roman"/>
        </w:rPr>
        <w:t>Tuwharetoa</w:t>
      </w:r>
      <w:proofErr w:type="spellEnd"/>
      <w:r w:rsidRPr="00156485">
        <w:rPr>
          <w:rFonts w:ascii="Times New Roman" w:eastAsia="Times New Roman" w:hAnsi="Times New Roman" w:cs="Times New Roman"/>
        </w:rPr>
        <w:t xml:space="preserve"> Maori Trust Board. It also supplemented and augmented its historical and scientific texts with symbols, stories and use of the Maori language. These ‘hybrid maps’ documented scientific values and Maori spiritual values and ways of knowing. As such, they sought to complement each other through the inclusion of Maori origin stories and ancestral journeys along with scientific vegetation categories and topographic maps. Rectifying the previous omission, these representations were placed ‘front and centre’ of the document (Palmer, 2018). This resulted in the nomination of the first World Heritage cultural landscape.</w:t>
      </w:r>
    </w:p>
    <w:p w14:paraId="1E4AE246" w14:textId="77777777" w:rsidR="00BA31CF" w:rsidRPr="00156485" w:rsidRDefault="00BA31CF" w:rsidP="00BA31CF">
      <w:pPr>
        <w:spacing w:after="0" w:line="360" w:lineRule="auto"/>
        <w:rPr>
          <w:rFonts w:ascii="Times New Roman" w:eastAsia="Times New Roman" w:hAnsi="Times New Roman" w:cs="Times New Roman"/>
        </w:rPr>
      </w:pPr>
    </w:p>
    <w:p w14:paraId="1660F56D" w14:textId="77777777" w:rsidR="00BA31CF" w:rsidRPr="00156485" w:rsidRDefault="00BA31CF" w:rsidP="00BA31CF">
      <w:pPr>
        <w:pStyle w:val="Heading3"/>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lastRenderedPageBreak/>
        <w:t xml:space="preserve">World Heritage Management - The Actuality </w:t>
      </w:r>
    </w:p>
    <w:p w14:paraId="20B415D7" w14:textId="77777777" w:rsidR="00BA31CF" w:rsidRPr="00156485" w:rsidRDefault="00BA31CF" w:rsidP="00BA31CF">
      <w:pPr>
        <w:rPr>
          <w:rFonts w:ascii="Times New Roman" w:hAnsi="Times New Roman" w:cs="Times New Roman"/>
        </w:rPr>
      </w:pPr>
    </w:p>
    <w:p w14:paraId="37B69845" w14:textId="23E9F0C8"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 xml:space="preserve">The nomination’s emphasis of Tongariro’s cultural values </w:t>
      </w:r>
      <w:r w:rsidRPr="00156485">
        <w:rPr>
          <w:rFonts w:ascii="Times New Roman" w:eastAsia="Times New Roman" w:hAnsi="Times New Roman" w:cs="Times New Roman"/>
          <w:i/>
        </w:rPr>
        <w:t>i.e.,</w:t>
      </w:r>
      <w:r w:rsidRPr="00156485">
        <w:rPr>
          <w:rFonts w:ascii="Times New Roman" w:eastAsia="Times New Roman" w:hAnsi="Times New Roman" w:cs="Times New Roman"/>
        </w:rPr>
        <w:t xml:space="preserve"> intangible spiritual and cultural elements, alongside the material, tangible, signified its Outstanding Universal Value and justified its inclusion in the World Heritage list. The accommodation of multiple worldviews set an expectation on the ‘new way forward’ for heritage definitions and practices (Rossler, 200</w:t>
      </w:r>
      <w:r w:rsidR="00904432">
        <w:rPr>
          <w:rFonts w:ascii="Times New Roman" w:eastAsia="Times New Roman" w:hAnsi="Times New Roman" w:cs="Times New Roman"/>
        </w:rPr>
        <w:t>6</w:t>
      </w:r>
      <w:r w:rsidRPr="00156485">
        <w:rPr>
          <w:rFonts w:ascii="Times New Roman" w:eastAsia="Times New Roman" w:hAnsi="Times New Roman" w:cs="Times New Roman"/>
        </w:rPr>
        <w:t>). This plurality, however, did not translate to Tongariro National Park’s Management Plan (Wallace, 201</w:t>
      </w:r>
      <w:r w:rsidR="00D86A7D">
        <w:rPr>
          <w:rFonts w:ascii="Times New Roman" w:eastAsia="Times New Roman" w:hAnsi="Times New Roman" w:cs="Times New Roman"/>
        </w:rPr>
        <w:t>4</w:t>
      </w:r>
      <w:r w:rsidRPr="00156485">
        <w:rPr>
          <w:rFonts w:ascii="Times New Roman" w:eastAsia="Times New Roman" w:hAnsi="Times New Roman" w:cs="Times New Roman"/>
        </w:rPr>
        <w:t>). Wallace (210</w:t>
      </w:r>
      <w:r w:rsidR="00D86A7D">
        <w:rPr>
          <w:rFonts w:ascii="Times New Roman" w:eastAsia="Times New Roman" w:hAnsi="Times New Roman" w:cs="Times New Roman"/>
        </w:rPr>
        <w:t>4</w:t>
      </w:r>
      <w:r w:rsidRPr="00156485">
        <w:rPr>
          <w:rFonts w:ascii="Times New Roman" w:eastAsia="Times New Roman" w:hAnsi="Times New Roman" w:cs="Times New Roman"/>
        </w:rPr>
        <w:t>) observes that the DOC makes no reference in the management document to the spiritual or religious dimensions which were key to the site’s inscription. Where there is reference to ‘culture’ it is constrained to a distinct section on ‘Maori Heritage’, a significant change in focus to the ‘front and centre’ presentation in the nomination dossier. The section on ‘Park Heritage’ is articulated through ‘European’ heritage values and history of the park’s infrastructure and as such it maintains the national park’s identity as still aligned with its ‘European’ history. Additionally, in a statement regarding its World Heritage status, the management plan claims that: “UNESCO views the park as a stable site in a protective legislative framework capable of having its attributes maintained in a pristine state in perpetuity” (DOC 2006, p. 26, in Wallace, 201</w:t>
      </w:r>
      <w:r w:rsidR="00D86A7D">
        <w:rPr>
          <w:rFonts w:ascii="Times New Roman" w:eastAsia="Times New Roman" w:hAnsi="Times New Roman" w:cs="Times New Roman"/>
        </w:rPr>
        <w:t>4</w:t>
      </w:r>
      <w:r w:rsidRPr="00156485">
        <w:rPr>
          <w:rFonts w:ascii="Times New Roman" w:eastAsia="Times New Roman" w:hAnsi="Times New Roman" w:cs="Times New Roman"/>
        </w:rPr>
        <w:t xml:space="preserve">, p.202) at once allowing the continuity of the colonial concept of ‘pristine’ (i.e. untouched) lands and denying the dynamic, evolving aspects of Maori culture and also intrinsic to the principles UNESCO’s cultural landscape. </w:t>
      </w:r>
    </w:p>
    <w:p w14:paraId="72FC6DA0" w14:textId="710CE38B" w:rsidR="00BA31CF" w:rsidRPr="00156485" w:rsidRDefault="00BA31CF" w:rsidP="00BA31CF">
      <w:pPr>
        <w:spacing w:after="0" w:line="360" w:lineRule="auto"/>
        <w:rPr>
          <w:rFonts w:ascii="Times New Roman" w:eastAsia="Times New Roman" w:hAnsi="Times New Roman" w:cs="Times New Roman"/>
        </w:rPr>
      </w:pPr>
      <w:r w:rsidRPr="00156485">
        <w:rPr>
          <w:rFonts w:ascii="Times New Roman" w:eastAsia="Times New Roman" w:hAnsi="Times New Roman" w:cs="Times New Roman"/>
          <w:sz w:val="21"/>
          <w:szCs w:val="21"/>
        </w:rPr>
        <w:t xml:space="preserve">While Wallace’s research focussed on the management plan itself, some inferences about its implementation can be observed through the park’s own reporting system. For example, an interim </w:t>
      </w:r>
      <w:r w:rsidRPr="00156485">
        <w:rPr>
          <w:rFonts w:ascii="Times New Roman" w:eastAsia="Times New Roman" w:hAnsi="Times New Roman" w:cs="Times New Roman"/>
        </w:rPr>
        <w:t>report. assessing the status of park management concludes that both Maori and DOC park management were relatively ‘content’ with the joint arrangement (</w:t>
      </w:r>
      <w:r w:rsidR="008C6822">
        <w:rPr>
          <w:rFonts w:ascii="Times New Roman" w:eastAsia="Times New Roman" w:hAnsi="Times New Roman" w:cs="Times New Roman"/>
        </w:rPr>
        <w:t>Bayley and Derby</w:t>
      </w:r>
      <w:r w:rsidRPr="00156485">
        <w:rPr>
          <w:rFonts w:ascii="Times New Roman" w:eastAsia="Times New Roman" w:hAnsi="Times New Roman" w:cs="Times New Roman"/>
        </w:rPr>
        <w:t xml:space="preserve">, 2004). This is then detailed by way of example in the dealing with the aftermath of volcanic eruptions in 1995/1996. The eruptions emptied a crater lake and made a destructive mudflow inevitable at some point in the future. To deal with this risk, a balance had to be struck between the views of </w:t>
      </w:r>
      <w:proofErr w:type="spellStart"/>
      <w:r w:rsidRPr="00156485">
        <w:rPr>
          <w:rFonts w:ascii="Times New Roman" w:eastAsia="Times New Roman" w:hAnsi="Times New Roman" w:cs="Times New Roman"/>
        </w:rPr>
        <w:t>Ngati</w:t>
      </w:r>
      <w:proofErr w:type="spellEnd"/>
      <w:r w:rsidRPr="00156485">
        <w:rPr>
          <w:rFonts w:ascii="Times New Roman" w:eastAsia="Times New Roman" w:hAnsi="Times New Roman" w:cs="Times New Roman"/>
        </w:rPr>
        <w:t xml:space="preserve"> </w:t>
      </w:r>
      <w:proofErr w:type="spellStart"/>
      <w:r w:rsidRPr="00156485">
        <w:rPr>
          <w:rFonts w:ascii="Times New Roman" w:eastAsia="Times New Roman" w:hAnsi="Times New Roman" w:cs="Times New Roman"/>
        </w:rPr>
        <w:t>Tuwharetoa</w:t>
      </w:r>
      <w:proofErr w:type="spellEnd"/>
      <w:r w:rsidRPr="00156485">
        <w:rPr>
          <w:rFonts w:ascii="Times New Roman" w:eastAsia="Times New Roman" w:hAnsi="Times New Roman" w:cs="Times New Roman"/>
        </w:rPr>
        <w:t xml:space="preserve">, for whom the crater is a traditional burial ground, and an engineering solution that would prevent the mudflow. The decision was made to use a warning system and not intervene with the site. So, while the outcome aligns with the wishes of the </w:t>
      </w:r>
      <w:proofErr w:type="spellStart"/>
      <w:r w:rsidRPr="00156485">
        <w:rPr>
          <w:rFonts w:ascii="Times New Roman" w:eastAsia="Times New Roman" w:hAnsi="Times New Roman" w:cs="Times New Roman"/>
        </w:rPr>
        <w:t>Ngati</w:t>
      </w:r>
      <w:proofErr w:type="spellEnd"/>
      <w:r w:rsidRPr="00156485">
        <w:rPr>
          <w:rFonts w:ascii="Times New Roman" w:eastAsia="Times New Roman" w:hAnsi="Times New Roman" w:cs="Times New Roman"/>
        </w:rPr>
        <w:t xml:space="preserve"> </w:t>
      </w:r>
      <w:proofErr w:type="spellStart"/>
      <w:r w:rsidRPr="00156485">
        <w:rPr>
          <w:rFonts w:ascii="Times New Roman" w:eastAsia="Times New Roman" w:hAnsi="Times New Roman" w:cs="Times New Roman"/>
        </w:rPr>
        <w:t>Tuwharetoa</w:t>
      </w:r>
      <w:proofErr w:type="spellEnd"/>
      <w:r w:rsidRPr="00156485">
        <w:rPr>
          <w:rFonts w:ascii="Times New Roman" w:eastAsia="Times New Roman" w:hAnsi="Times New Roman" w:cs="Times New Roman"/>
        </w:rPr>
        <w:t xml:space="preserve"> it should be observed that other interventions to the debate included objections by the World Heritage Committee</w:t>
      </w:r>
      <w:r w:rsidR="00164A43">
        <w:rPr>
          <w:rFonts w:ascii="Times New Roman" w:eastAsia="Times New Roman" w:hAnsi="Times New Roman" w:cs="Times New Roman"/>
        </w:rPr>
        <w:t xml:space="preserve"> (</w:t>
      </w:r>
      <w:r w:rsidR="00164A43">
        <w:rPr>
          <w:rFonts w:ascii="Times New Roman" w:eastAsia="Times New Roman" w:hAnsi="Times New Roman" w:cs="Times New Roman"/>
        </w:rPr>
        <w:t>Bayley and Derby</w:t>
      </w:r>
      <w:r w:rsidR="00164A43" w:rsidRPr="00156485">
        <w:rPr>
          <w:rFonts w:ascii="Times New Roman" w:eastAsia="Times New Roman" w:hAnsi="Times New Roman" w:cs="Times New Roman"/>
        </w:rPr>
        <w:t>, 2004</w:t>
      </w:r>
      <w:r w:rsidR="00164A43">
        <w:rPr>
          <w:rFonts w:ascii="Times New Roman" w:eastAsia="Times New Roman" w:hAnsi="Times New Roman" w:cs="Times New Roman"/>
        </w:rPr>
        <w:t>)</w:t>
      </w:r>
      <w:r w:rsidRPr="00156485">
        <w:rPr>
          <w:rFonts w:ascii="Times New Roman" w:eastAsia="Times New Roman" w:hAnsi="Times New Roman" w:cs="Times New Roman"/>
        </w:rPr>
        <w:t xml:space="preserve">. </w:t>
      </w:r>
    </w:p>
    <w:p w14:paraId="590675CE" w14:textId="77777777" w:rsidR="00BA31CF" w:rsidRPr="00156485" w:rsidRDefault="00BA31CF" w:rsidP="00BA31CF">
      <w:pPr>
        <w:pStyle w:val="Heading2"/>
        <w:spacing w:line="360" w:lineRule="auto"/>
        <w:rPr>
          <w:rFonts w:ascii="Times New Roman" w:eastAsia="Times New Roman" w:hAnsi="Times New Roman" w:cs="Times New Roman"/>
          <w:color w:val="auto"/>
        </w:rPr>
      </w:pPr>
    </w:p>
    <w:p w14:paraId="67E24237" w14:textId="77777777" w:rsidR="00BA31CF" w:rsidRPr="00156485" w:rsidRDefault="00BA31CF" w:rsidP="00BA31CF">
      <w:pPr>
        <w:pStyle w:val="Heading2"/>
        <w:spacing w:line="360" w:lineRule="auto"/>
        <w:rPr>
          <w:rFonts w:ascii="Times New Roman" w:eastAsia="Times New Roman" w:hAnsi="Times New Roman" w:cs="Times New Roman"/>
          <w:b/>
          <w:bCs/>
          <w:color w:val="auto"/>
        </w:rPr>
      </w:pPr>
      <w:r w:rsidRPr="00156485">
        <w:rPr>
          <w:rFonts w:ascii="Times New Roman" w:eastAsia="Times New Roman" w:hAnsi="Times New Roman" w:cs="Times New Roman"/>
          <w:b/>
          <w:bCs/>
          <w:color w:val="auto"/>
        </w:rPr>
        <w:t>Discussion</w:t>
      </w:r>
    </w:p>
    <w:p w14:paraId="6E1324C6" w14:textId="77777777" w:rsidR="00BA31CF" w:rsidRPr="00156485" w:rsidRDefault="00BA31CF" w:rsidP="00BA31CF">
      <w:pPr>
        <w:rPr>
          <w:rFonts w:ascii="Times New Roman" w:hAnsi="Times New Roman" w:cs="Times New Roman"/>
        </w:rPr>
      </w:pPr>
    </w:p>
    <w:p w14:paraId="6F76B63D" w14:textId="16771736" w:rsidR="00BA31CF" w:rsidRPr="00156485" w:rsidRDefault="00BA31CF" w:rsidP="00BA31CF">
      <w:pPr>
        <w:spacing w:line="360" w:lineRule="auto"/>
        <w:rPr>
          <w:rFonts w:ascii="Times New Roman" w:hAnsi="Times New Roman" w:cs="Times New Roman"/>
        </w:rPr>
      </w:pPr>
      <w:r w:rsidRPr="00156485">
        <w:rPr>
          <w:rFonts w:ascii="Times New Roman" w:hAnsi="Times New Roman" w:cs="Times New Roman"/>
        </w:rPr>
        <w:t xml:space="preserve">The introduction of cultural landscapes into the UNESCO World Heritage portfolio has certainly impacted AHD and has brought into awareness “that sites are not isolated islands, but that they have to be seen in the ecological system and with their cultural linkages in time and space beyond single </w:t>
      </w:r>
      <w:r w:rsidRPr="00156485">
        <w:rPr>
          <w:rFonts w:ascii="Times New Roman" w:hAnsi="Times New Roman" w:cs="Times New Roman"/>
        </w:rPr>
        <w:lastRenderedPageBreak/>
        <w:t>monuments and strict nature reserves” (Rossler, 200</w:t>
      </w:r>
      <w:r w:rsidR="00904432">
        <w:rPr>
          <w:rFonts w:ascii="Times New Roman" w:hAnsi="Times New Roman" w:cs="Times New Roman"/>
        </w:rPr>
        <w:t>6</w:t>
      </w:r>
      <w:r w:rsidRPr="00156485">
        <w:rPr>
          <w:rFonts w:ascii="Times New Roman" w:hAnsi="Times New Roman" w:cs="Times New Roman"/>
        </w:rPr>
        <w:t xml:space="preserve">, p.340). This principle underpins the concept of ‘biocultural heritage’ </w:t>
      </w:r>
      <w:proofErr w:type="gramStart"/>
      <w:r w:rsidRPr="00156485">
        <w:rPr>
          <w:rFonts w:ascii="Times New Roman" w:hAnsi="Times New Roman" w:cs="Times New Roman"/>
        </w:rPr>
        <w:t>in an effort to</w:t>
      </w:r>
      <w:proofErr w:type="gramEnd"/>
      <w:r w:rsidRPr="00156485">
        <w:rPr>
          <w:rFonts w:ascii="Times New Roman" w:hAnsi="Times New Roman" w:cs="Times New Roman"/>
        </w:rPr>
        <w:t xml:space="preserve"> bring together the multiple worldviews that co-exist across societies. However, beyond the contribution to discourse, it is not clear that UNESCO’s cultural landscapes contribute </w:t>
      </w:r>
      <w:proofErr w:type="gramStart"/>
      <w:r w:rsidRPr="00156485">
        <w:rPr>
          <w:rFonts w:ascii="Times New Roman" w:hAnsi="Times New Roman" w:cs="Times New Roman"/>
        </w:rPr>
        <w:t>in</w:t>
      </w:r>
      <w:proofErr w:type="gramEnd"/>
      <w:r w:rsidRPr="00156485">
        <w:rPr>
          <w:rFonts w:ascii="Times New Roman" w:hAnsi="Times New Roman" w:cs="Times New Roman"/>
        </w:rPr>
        <w:t xml:space="preserve"> practice.</w:t>
      </w:r>
    </w:p>
    <w:p w14:paraId="383A3B2C" w14:textId="77777777" w:rsidR="00BA31CF" w:rsidRPr="00156485" w:rsidRDefault="00BA31CF" w:rsidP="00BA31CF">
      <w:pPr>
        <w:spacing w:line="360" w:lineRule="auto"/>
        <w:rPr>
          <w:rFonts w:ascii="Times New Roman" w:eastAsia="Times New Roman" w:hAnsi="Times New Roman" w:cs="Times New Roman"/>
        </w:rPr>
      </w:pPr>
      <w:r w:rsidRPr="00156485">
        <w:rPr>
          <w:rFonts w:ascii="Times New Roman" w:hAnsi="Times New Roman" w:cs="Times New Roman"/>
        </w:rPr>
        <w:t xml:space="preserve">The collaborative management approach between state bodies and Indigenous groups is seen as pivotal to the future of protected area management (Ross et al 2012). However, what becomes clear on closer inspection, is that developing an approach that aligns with Indigenous goals and ways of governing does not necessarily result in its consistent and sustainable implementation. </w:t>
      </w:r>
      <w:r w:rsidRPr="00156485">
        <w:rPr>
          <w:rFonts w:ascii="Times New Roman" w:eastAsia="Times New Roman" w:hAnsi="Times New Roman" w:cs="Times New Roman"/>
        </w:rPr>
        <w:t xml:space="preserve">To nominate a site for official recognition as a cultural landscape, the Operational Guidelines state it is ‘essential’ that Indigenous communities are involved in the process such they can ‘share’ responsibility with the state party. However, only the state party can engage directly with UNESCO and only the state party submits the final nomination so this process of ‘sharing’ is, by definition, inequitable. </w:t>
      </w:r>
    </w:p>
    <w:p w14:paraId="2CFCC7F3" w14:textId="3B3FE4D8" w:rsidR="00BA31CF" w:rsidRPr="00156485" w:rsidRDefault="00BA31CF" w:rsidP="00BA31CF">
      <w:pPr>
        <w:spacing w:line="360" w:lineRule="auto"/>
        <w:rPr>
          <w:rFonts w:ascii="Times New Roman" w:eastAsia="Times New Roman" w:hAnsi="Times New Roman" w:cs="Times New Roman"/>
        </w:rPr>
      </w:pPr>
      <w:r w:rsidRPr="00156485">
        <w:rPr>
          <w:rFonts w:ascii="Times New Roman" w:eastAsia="Times New Roman" w:hAnsi="Times New Roman" w:cs="Times New Roman"/>
        </w:rPr>
        <w:t>Once invited to participate in the process, Indigenous groups must comply with UNESCO concepts and systems such as nomination dossiers, management boards, and management plans. While clearly not beyond the comprehension of other worldviews, these mechanisms may have no use or equivalence there. Yet, they are so familiar and automatic to the non-indigenous parties that it is assumed other knowledge systems can be ‘slotted in’ (Lyver, 201</w:t>
      </w:r>
      <w:r w:rsidR="00181978">
        <w:rPr>
          <w:rFonts w:ascii="Times New Roman" w:eastAsia="Times New Roman" w:hAnsi="Times New Roman" w:cs="Times New Roman"/>
        </w:rPr>
        <w:t>4</w:t>
      </w:r>
      <w:r w:rsidRPr="00156485">
        <w:rPr>
          <w:rFonts w:ascii="Times New Roman" w:eastAsia="Times New Roman" w:hAnsi="Times New Roman" w:cs="Times New Roman"/>
        </w:rPr>
        <w:t xml:space="preserve">). The dependence on structured, documented forms fails to account for the orality, non-linearity inherent in many traditional practices and the insistence on making “the intangible tangible” (Palmer, 2018, p.81) treads closely to assimilations of the past. </w:t>
      </w:r>
    </w:p>
    <w:p w14:paraId="788F7B42" w14:textId="35F53BD5" w:rsidR="00BA31CF" w:rsidRPr="00156485" w:rsidRDefault="00BA31CF" w:rsidP="00BA31CF">
      <w:pPr>
        <w:spacing w:line="360" w:lineRule="auto"/>
        <w:rPr>
          <w:rFonts w:ascii="Times New Roman" w:hAnsi="Times New Roman" w:cs="Times New Roman"/>
        </w:rPr>
      </w:pPr>
      <w:r w:rsidRPr="00156485">
        <w:rPr>
          <w:rFonts w:ascii="Times New Roman" w:eastAsia="Times New Roman" w:hAnsi="Times New Roman" w:cs="Times New Roman"/>
        </w:rPr>
        <w:t xml:space="preserve">Once nominated, ‘effective’ management is required by UNESCO for which the state party is responsible. But how this effectiveness if defined and evaluated is not articulated and lines of accountability unclear. From the evidence presented above it is difficult to trace positive inputs made by the indigenous contributors through to positive outputs they could expect to receive. Lyver (2104), explains how in Uluru-Kata Tjuta National Park employment opportunities are made available within the government’s recruitment processes. Levels of authority increase as job grades increase, with more senior job roles commanding more respect and acquiring influence. However, to </w:t>
      </w:r>
      <w:proofErr w:type="gramStart"/>
      <w:r w:rsidRPr="00156485">
        <w:rPr>
          <w:rFonts w:ascii="Times New Roman" w:eastAsia="Times New Roman" w:hAnsi="Times New Roman" w:cs="Times New Roman"/>
        </w:rPr>
        <w:t>enter into</w:t>
      </w:r>
      <w:proofErr w:type="gramEnd"/>
      <w:r w:rsidRPr="00156485">
        <w:rPr>
          <w:rFonts w:ascii="Times New Roman" w:eastAsia="Times New Roman" w:hAnsi="Times New Roman" w:cs="Times New Roman"/>
        </w:rPr>
        <w:t xml:space="preserve"> this process requires specificity of skills and levels literacy which, after decades of educational impoverishment, social exclusion, and economic disadvantage, are still not available to many Indigenous peoples in Australia. Wall</w:t>
      </w:r>
      <w:r w:rsidR="00181978">
        <w:rPr>
          <w:rFonts w:ascii="Times New Roman" w:eastAsia="Times New Roman" w:hAnsi="Times New Roman" w:cs="Times New Roman"/>
        </w:rPr>
        <w:t>iss</w:t>
      </w:r>
      <w:r w:rsidRPr="00156485">
        <w:rPr>
          <w:rFonts w:ascii="Times New Roman" w:eastAsia="Times New Roman" w:hAnsi="Times New Roman" w:cs="Times New Roman"/>
        </w:rPr>
        <w:t xml:space="preserve"> (20</w:t>
      </w:r>
      <w:r w:rsidR="00A62F8C">
        <w:rPr>
          <w:rFonts w:ascii="Times New Roman" w:eastAsia="Times New Roman" w:hAnsi="Times New Roman" w:cs="Times New Roman"/>
        </w:rPr>
        <w:t>1</w:t>
      </w:r>
      <w:r w:rsidR="00181978">
        <w:rPr>
          <w:rFonts w:ascii="Times New Roman" w:eastAsia="Times New Roman" w:hAnsi="Times New Roman" w:cs="Times New Roman"/>
        </w:rPr>
        <w:t>3</w:t>
      </w:r>
      <w:r w:rsidRPr="00156485">
        <w:rPr>
          <w:rFonts w:ascii="Times New Roman" w:eastAsia="Times New Roman" w:hAnsi="Times New Roman" w:cs="Times New Roman"/>
        </w:rPr>
        <w:t xml:space="preserve">) observes that for Tongariro, the </w:t>
      </w:r>
      <w:r w:rsidRPr="00156485">
        <w:rPr>
          <w:rFonts w:ascii="Times New Roman" w:hAnsi="Times New Roman" w:cs="Times New Roman"/>
        </w:rPr>
        <w:t xml:space="preserve">DOC’s management approach is heavily controlled by the government and hence its priorities are short-term and political. The Maori peoples now rely on the Tribunal process, outside of the heritage system, to effect the change required to meet their aspirations. And in both cases, little evidence prevails regarding the significance of Indigenous cultural values in the application to conservation practices. </w:t>
      </w:r>
    </w:p>
    <w:p w14:paraId="337885D8" w14:textId="77777777" w:rsidR="00BA31CF" w:rsidRPr="00156485" w:rsidRDefault="00BA31CF" w:rsidP="00BA31CF">
      <w:pPr>
        <w:spacing w:line="360" w:lineRule="auto"/>
        <w:rPr>
          <w:rFonts w:ascii="Times New Roman" w:hAnsi="Times New Roman" w:cs="Times New Roman"/>
        </w:rPr>
      </w:pPr>
      <w:r w:rsidRPr="00156485">
        <w:rPr>
          <w:rFonts w:ascii="Times New Roman" w:hAnsi="Times New Roman" w:cs="Times New Roman"/>
        </w:rPr>
        <w:lastRenderedPageBreak/>
        <w:t xml:space="preserve">Therefore, if biocultural heritage is the new framework to be used by heritage practitioners in addressing the current biocultural crises, UNESCO’s cultural landscape is unlikely the appropriate exemplar. The reliance on the nation-state inherent in UNESCO systems means the power imbalances and political priorities are likely to perpetuate the side-lining and marginalisation of the Indigenous peoples. And these are the very people biocultural heritage needs. </w:t>
      </w:r>
    </w:p>
    <w:p w14:paraId="31B3747B" w14:textId="77777777" w:rsidR="00BA31CF" w:rsidRPr="00156485" w:rsidRDefault="00BA31CF" w:rsidP="00BA31CF">
      <w:pPr>
        <w:spacing w:line="360" w:lineRule="auto"/>
        <w:rPr>
          <w:rFonts w:ascii="Times New Roman" w:eastAsia="Times New Roman" w:hAnsi="Times New Roman" w:cs="Times New Roman"/>
        </w:rPr>
      </w:pPr>
    </w:p>
    <w:p w14:paraId="138D3560" w14:textId="20C4EAB4" w:rsidR="00156485" w:rsidRPr="00156485" w:rsidRDefault="00156485">
      <w:pPr>
        <w:rPr>
          <w:rFonts w:ascii="Times New Roman" w:hAnsi="Times New Roman" w:cs="Times New Roman"/>
        </w:rPr>
      </w:pPr>
      <w:r w:rsidRPr="00156485">
        <w:rPr>
          <w:rFonts w:ascii="Times New Roman" w:hAnsi="Times New Roman" w:cs="Times New Roman"/>
        </w:rPr>
        <w:br w:type="page"/>
      </w:r>
    </w:p>
    <w:p w14:paraId="3D6CB516" w14:textId="15B9325E" w:rsidR="00776E1D" w:rsidRPr="00CD450D" w:rsidRDefault="00156485" w:rsidP="00CD450D">
      <w:pPr>
        <w:spacing w:line="360" w:lineRule="auto"/>
        <w:rPr>
          <w:rFonts w:ascii="Times New Roman" w:hAnsi="Times New Roman" w:cs="Times New Roman"/>
          <w:b/>
          <w:bCs/>
        </w:rPr>
      </w:pPr>
      <w:r w:rsidRPr="00156485">
        <w:rPr>
          <w:rFonts w:ascii="Times New Roman" w:hAnsi="Times New Roman" w:cs="Times New Roman"/>
          <w:b/>
          <w:bCs/>
        </w:rPr>
        <w:lastRenderedPageBreak/>
        <w:t>Bibliography</w:t>
      </w:r>
    </w:p>
    <w:p w14:paraId="49E10DEA" w14:textId="1F6B134B"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Adams, M. (2005), "Beyond Yellowstone? Conservation and Indigenous rights in Australia and Sweden"</w:t>
      </w:r>
      <w:r w:rsidRPr="00CD450D">
        <w:rPr>
          <w:i/>
          <w:iCs/>
          <w:sz w:val="22"/>
          <w:szCs w:val="22"/>
        </w:rPr>
        <w:t>, University of Wollongong Australia, Faculty of Science - Papers (Archive), </w:t>
      </w:r>
      <w:r w:rsidRPr="00CD450D">
        <w:rPr>
          <w:sz w:val="22"/>
          <w:szCs w:val="22"/>
        </w:rPr>
        <w:t>available at: </w:t>
      </w:r>
      <w:hyperlink r:id="rId7" w:tgtFrame="_blank" w:history="1">
        <w:r w:rsidRPr="00CD450D">
          <w:rPr>
            <w:rStyle w:val="Hyperlink"/>
            <w:color w:val="auto"/>
            <w:sz w:val="22"/>
            <w:szCs w:val="22"/>
          </w:rPr>
          <w:t>https://ro.uow.edu.au/scipapers/27</w:t>
        </w:r>
      </w:hyperlink>
      <w:r w:rsidRPr="00CD450D">
        <w:rPr>
          <w:sz w:val="22"/>
          <w:szCs w:val="22"/>
        </w:rPr>
        <w:t>. (accessed Apr 30, 2021).</w:t>
      </w:r>
    </w:p>
    <w:p w14:paraId="65D8A2C6" w14:textId="2284153D" w:rsidR="00076FE5" w:rsidRPr="00CD450D" w:rsidRDefault="00076FE5" w:rsidP="00CD450D">
      <w:pPr>
        <w:spacing w:line="360" w:lineRule="auto"/>
        <w:ind w:left="450" w:hanging="450"/>
        <w:rPr>
          <w:rFonts w:ascii="Times New Roman" w:hAnsi="Times New Roman" w:cs="Times New Roman"/>
          <w:i/>
          <w:iCs/>
        </w:rPr>
      </w:pPr>
      <w:r w:rsidRPr="00CD450D">
        <w:rPr>
          <w:rFonts w:ascii="Times New Roman" w:hAnsi="Times New Roman" w:cs="Times New Roman"/>
        </w:rPr>
        <w:t xml:space="preserve">Bayley, N. and Derby, M. (2004) </w:t>
      </w:r>
      <w:r w:rsidRPr="00CD450D">
        <w:rPr>
          <w:rFonts w:ascii="Times New Roman" w:hAnsi="Times New Roman" w:cs="Times New Roman"/>
          <w:i/>
          <w:iCs/>
        </w:rPr>
        <w:t xml:space="preserve">Tongariro National Park Management from 1980 to the Present. </w:t>
      </w:r>
      <w:r w:rsidRPr="00CD450D">
        <w:rPr>
          <w:rFonts w:ascii="Times New Roman" w:hAnsi="Times New Roman" w:cs="Times New Roman"/>
        </w:rPr>
        <w:t xml:space="preserve">Waitangi Tribunal Reports. The Waitangi Tribunal, Ministry of Justice. Wellington. New Zealand. (accessed Apr </w:t>
      </w:r>
      <w:r w:rsidR="008C6358" w:rsidRPr="00CD450D">
        <w:rPr>
          <w:rFonts w:ascii="Times New Roman" w:hAnsi="Times New Roman" w:cs="Times New Roman"/>
        </w:rPr>
        <w:t>26</w:t>
      </w:r>
      <w:r w:rsidRPr="00CD450D">
        <w:rPr>
          <w:rFonts w:ascii="Times New Roman" w:hAnsi="Times New Roman" w:cs="Times New Roman"/>
        </w:rPr>
        <w:t>, 2021)</w:t>
      </w:r>
    </w:p>
    <w:p w14:paraId="71C062F8"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Bickersteth, J., West, D. and Wallis, D. (2020), "Returning Uluru"</w:t>
      </w:r>
      <w:r w:rsidRPr="00CD450D">
        <w:rPr>
          <w:i/>
          <w:iCs/>
          <w:sz w:val="22"/>
          <w:szCs w:val="22"/>
        </w:rPr>
        <w:t>, Studies in Conservation, </w:t>
      </w:r>
      <w:r w:rsidRPr="00CD450D">
        <w:rPr>
          <w:sz w:val="22"/>
          <w:szCs w:val="22"/>
        </w:rPr>
        <w:t>Vol. 65, No. sup1, pp. P9-P17. available at: </w:t>
      </w:r>
      <w:hyperlink r:id="rId8" w:tgtFrame="_blank" w:history="1">
        <w:r w:rsidRPr="00CD450D">
          <w:rPr>
            <w:rStyle w:val="Hyperlink"/>
            <w:color w:val="auto"/>
            <w:sz w:val="22"/>
            <w:szCs w:val="22"/>
          </w:rPr>
          <w:t>https://doi.org/10.1080/00393630.2020.1774102</w:t>
        </w:r>
      </w:hyperlink>
      <w:r w:rsidRPr="00CD450D">
        <w:rPr>
          <w:sz w:val="22"/>
          <w:szCs w:val="22"/>
        </w:rPr>
        <w:t>. (accessed May 7, 2021).</w:t>
      </w:r>
    </w:p>
    <w:p w14:paraId="7CA1BD66"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Bridgewater, P. and Rotherham, I.D. (2019), "A critical perspective on the concept of biocultural diversity and its emerging role in nature and heritage conservation"</w:t>
      </w:r>
      <w:r w:rsidRPr="00CD450D">
        <w:rPr>
          <w:i/>
          <w:iCs/>
          <w:sz w:val="22"/>
          <w:szCs w:val="22"/>
        </w:rPr>
        <w:t>, People and Nature, </w:t>
      </w:r>
      <w:r w:rsidRPr="00CD450D">
        <w:rPr>
          <w:sz w:val="22"/>
          <w:szCs w:val="22"/>
        </w:rPr>
        <w:t>Vol. 1, No. 3, pp. 291-304. available at: </w:t>
      </w:r>
      <w:hyperlink r:id="rId9" w:tgtFrame="_blank" w:history="1">
        <w:r w:rsidRPr="00CD450D">
          <w:rPr>
            <w:rStyle w:val="Hyperlink"/>
            <w:color w:val="auto"/>
            <w:sz w:val="22"/>
            <w:szCs w:val="22"/>
          </w:rPr>
          <w:t>https://besjournals.onlinelibrary.wiley.com/doi/abs/10.1002/pan3.10040</w:t>
        </w:r>
      </w:hyperlink>
      <w:r w:rsidRPr="00CD450D">
        <w:rPr>
          <w:sz w:val="22"/>
          <w:szCs w:val="22"/>
        </w:rPr>
        <w:t>. (accessed Mar 15, 2021).</w:t>
      </w:r>
    </w:p>
    <w:p w14:paraId="03FC0A9E" w14:textId="3EFC66E7" w:rsidR="008C6358" w:rsidRDefault="008C6358"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 xml:space="preserve">De Cesari, C. (2013) </w:t>
      </w:r>
      <w:r w:rsidRPr="00CD450D">
        <w:rPr>
          <w:i/>
          <w:iCs/>
          <w:sz w:val="22"/>
          <w:szCs w:val="22"/>
          <w:shd w:val="clear" w:color="auto" w:fill="FFFFFF"/>
        </w:rPr>
        <w:t>Thinking Through Heritage Regimes</w:t>
      </w:r>
      <w:r w:rsidRPr="00CD450D">
        <w:rPr>
          <w:sz w:val="22"/>
          <w:szCs w:val="22"/>
          <w:shd w:val="clear" w:color="auto" w:fill="FFFFFF"/>
        </w:rPr>
        <w:t xml:space="preserve"> </w:t>
      </w:r>
      <w:r w:rsidR="00EF0314">
        <w:rPr>
          <w:sz w:val="22"/>
          <w:szCs w:val="22"/>
          <w:shd w:val="clear" w:color="auto" w:fill="FFFFFF"/>
        </w:rPr>
        <w:t xml:space="preserve">In. </w:t>
      </w:r>
      <w:r w:rsidRPr="00CD450D">
        <w:rPr>
          <w:sz w:val="22"/>
          <w:szCs w:val="22"/>
        </w:rPr>
        <w:t xml:space="preserve">Bendix, R., Eggert, A. and </w:t>
      </w:r>
      <w:proofErr w:type="spellStart"/>
      <w:r w:rsidRPr="00CD450D">
        <w:rPr>
          <w:sz w:val="22"/>
          <w:szCs w:val="22"/>
        </w:rPr>
        <w:t>Peselmann</w:t>
      </w:r>
      <w:proofErr w:type="spellEnd"/>
      <w:r w:rsidRPr="00CD450D">
        <w:rPr>
          <w:sz w:val="22"/>
          <w:szCs w:val="22"/>
        </w:rPr>
        <w:t>, A. (2013)</w:t>
      </w:r>
      <w:proofErr w:type="gramStart"/>
      <w:r w:rsidRPr="00CD450D">
        <w:rPr>
          <w:sz w:val="22"/>
          <w:szCs w:val="22"/>
        </w:rPr>
        <w:t>, </w:t>
      </w:r>
      <w:r w:rsidRPr="00CD450D">
        <w:rPr>
          <w:i/>
          <w:iCs/>
          <w:sz w:val="22"/>
          <w:szCs w:val="22"/>
        </w:rPr>
        <w:t>,</w:t>
      </w:r>
      <w:proofErr w:type="gramEnd"/>
      <w:r w:rsidRPr="00CD450D">
        <w:rPr>
          <w:i/>
          <w:iCs/>
          <w:sz w:val="22"/>
          <w:szCs w:val="22"/>
        </w:rPr>
        <w:t xml:space="preserve"> Heritage Regimes and the State</w:t>
      </w:r>
      <w:r w:rsidRPr="00CD450D">
        <w:rPr>
          <w:sz w:val="22"/>
          <w:szCs w:val="22"/>
        </w:rPr>
        <w:t> [Homepage of Univ.-Verl. Göttingen], PP399-413 [Online]. Available: </w:t>
      </w:r>
      <w:hyperlink r:id="rId10" w:tgtFrame="_blank" w:history="1">
        <w:r w:rsidRPr="00CD450D">
          <w:rPr>
            <w:rStyle w:val="Hyperlink"/>
            <w:color w:val="auto"/>
            <w:sz w:val="22"/>
            <w:szCs w:val="22"/>
          </w:rPr>
          <w:t>https://nbn-resolving.org/urn:nbn:de:gbv:7-isbn-978-3-86395-122-1-7</w:t>
        </w:r>
      </w:hyperlink>
      <w:r w:rsidRPr="00CD450D">
        <w:rPr>
          <w:sz w:val="22"/>
          <w:szCs w:val="22"/>
        </w:rPr>
        <w:t>.</w:t>
      </w:r>
    </w:p>
    <w:p w14:paraId="046B9D13" w14:textId="4D778B67" w:rsidR="0060452E" w:rsidRDefault="0060452E" w:rsidP="00CD450D">
      <w:pPr>
        <w:pStyle w:val="NormalWeb"/>
        <w:shd w:val="clear" w:color="auto" w:fill="FFFFFF"/>
        <w:spacing w:before="0" w:beforeAutospacing="0" w:after="173" w:afterAutospacing="0" w:line="360" w:lineRule="auto"/>
        <w:ind w:left="450" w:hanging="450"/>
        <w:rPr>
          <w:sz w:val="22"/>
          <w:szCs w:val="22"/>
        </w:rPr>
      </w:pPr>
      <w:r w:rsidRPr="00427AE7">
        <w:rPr>
          <w:sz w:val="22"/>
          <w:szCs w:val="22"/>
        </w:rPr>
        <w:t xml:space="preserve">Ellis EC, Gauthier N, Klein </w:t>
      </w:r>
      <w:proofErr w:type="spellStart"/>
      <w:r w:rsidRPr="00427AE7">
        <w:rPr>
          <w:sz w:val="22"/>
          <w:szCs w:val="22"/>
        </w:rPr>
        <w:t>Goldewijk</w:t>
      </w:r>
      <w:proofErr w:type="spellEnd"/>
      <w:r w:rsidRPr="00427AE7">
        <w:rPr>
          <w:sz w:val="22"/>
          <w:szCs w:val="22"/>
        </w:rPr>
        <w:t xml:space="preserve"> K, </w:t>
      </w:r>
      <w:proofErr w:type="spellStart"/>
      <w:r w:rsidRPr="00427AE7">
        <w:rPr>
          <w:sz w:val="22"/>
          <w:szCs w:val="22"/>
        </w:rPr>
        <w:t>Bliege</w:t>
      </w:r>
      <w:proofErr w:type="spellEnd"/>
      <w:r w:rsidRPr="00427AE7">
        <w:rPr>
          <w:sz w:val="22"/>
          <w:szCs w:val="22"/>
        </w:rPr>
        <w:t xml:space="preserve"> Bird R, Boivin N, Díaz S, Fuller DQ, Gill JL, Kaplan JO, Kingston N, Locke H, McMichael CNH, </w:t>
      </w:r>
      <w:proofErr w:type="spellStart"/>
      <w:r w:rsidRPr="00427AE7">
        <w:rPr>
          <w:sz w:val="22"/>
          <w:szCs w:val="22"/>
        </w:rPr>
        <w:t>Ranco</w:t>
      </w:r>
      <w:proofErr w:type="spellEnd"/>
      <w:r w:rsidRPr="00427AE7">
        <w:rPr>
          <w:sz w:val="22"/>
          <w:szCs w:val="22"/>
        </w:rPr>
        <w:t xml:space="preserve"> D, Rick TC, Shaw MR, Stephens L, Svenning JC, Watson JEM. </w:t>
      </w:r>
      <w:r w:rsidR="00427AE7" w:rsidRPr="00427AE7">
        <w:rPr>
          <w:sz w:val="22"/>
          <w:szCs w:val="22"/>
        </w:rPr>
        <w:t>(20</w:t>
      </w:r>
      <w:r w:rsidR="00427AE7">
        <w:rPr>
          <w:sz w:val="22"/>
          <w:szCs w:val="22"/>
        </w:rPr>
        <w:t>2</w:t>
      </w:r>
      <w:r w:rsidR="00427AE7" w:rsidRPr="00427AE7">
        <w:rPr>
          <w:sz w:val="22"/>
          <w:szCs w:val="22"/>
        </w:rPr>
        <w:t xml:space="preserve">1) </w:t>
      </w:r>
      <w:r w:rsidR="00427AE7">
        <w:rPr>
          <w:sz w:val="22"/>
          <w:szCs w:val="22"/>
        </w:rPr>
        <w:t>“</w:t>
      </w:r>
      <w:r w:rsidRPr="00427AE7">
        <w:rPr>
          <w:sz w:val="22"/>
          <w:szCs w:val="22"/>
        </w:rPr>
        <w:t>People have shaped most of terrestrial nature for at least 12,000 years</w:t>
      </w:r>
      <w:r w:rsidR="00427AE7">
        <w:rPr>
          <w:sz w:val="22"/>
          <w:szCs w:val="22"/>
        </w:rPr>
        <w:t>”</w:t>
      </w:r>
      <w:r w:rsidRPr="00427AE7">
        <w:rPr>
          <w:sz w:val="22"/>
          <w:szCs w:val="22"/>
        </w:rPr>
        <w:t xml:space="preserve">. </w:t>
      </w:r>
      <w:r w:rsidRPr="00427AE7">
        <w:rPr>
          <w:i/>
          <w:iCs/>
          <w:sz w:val="22"/>
          <w:szCs w:val="22"/>
        </w:rPr>
        <w:t xml:space="preserve">Proc Natl </w:t>
      </w:r>
      <w:proofErr w:type="spellStart"/>
      <w:r w:rsidRPr="00427AE7">
        <w:rPr>
          <w:i/>
          <w:iCs/>
          <w:sz w:val="22"/>
          <w:szCs w:val="22"/>
        </w:rPr>
        <w:t>Acad</w:t>
      </w:r>
      <w:proofErr w:type="spellEnd"/>
      <w:r w:rsidRPr="00427AE7">
        <w:rPr>
          <w:i/>
          <w:iCs/>
          <w:sz w:val="22"/>
          <w:szCs w:val="22"/>
        </w:rPr>
        <w:t xml:space="preserve"> Sci U S A</w:t>
      </w:r>
      <w:r w:rsidRPr="00427AE7">
        <w:rPr>
          <w:sz w:val="22"/>
          <w:szCs w:val="22"/>
        </w:rPr>
        <w:t xml:space="preserve">. </w:t>
      </w:r>
      <w:r w:rsidR="00062049">
        <w:rPr>
          <w:sz w:val="22"/>
          <w:szCs w:val="22"/>
        </w:rPr>
        <w:t xml:space="preserve">Vol. </w:t>
      </w:r>
      <w:r w:rsidRPr="00427AE7">
        <w:rPr>
          <w:sz w:val="22"/>
          <w:szCs w:val="22"/>
        </w:rPr>
        <w:t>118</w:t>
      </w:r>
      <w:r w:rsidR="00062049">
        <w:rPr>
          <w:sz w:val="22"/>
          <w:szCs w:val="22"/>
        </w:rPr>
        <w:t xml:space="preserve">, No. </w:t>
      </w:r>
      <w:r w:rsidRPr="00427AE7">
        <w:rPr>
          <w:sz w:val="22"/>
          <w:szCs w:val="22"/>
        </w:rPr>
        <w:t>17)</w:t>
      </w:r>
      <w:r w:rsidR="00062049">
        <w:rPr>
          <w:sz w:val="22"/>
          <w:szCs w:val="22"/>
        </w:rPr>
        <w:t xml:space="preserve"> </w:t>
      </w:r>
      <w:r w:rsidRPr="00427AE7">
        <w:rPr>
          <w:sz w:val="22"/>
          <w:szCs w:val="22"/>
        </w:rPr>
        <w:t xml:space="preserve">e2023483118. </w:t>
      </w:r>
      <w:proofErr w:type="spellStart"/>
      <w:r w:rsidRPr="00427AE7">
        <w:rPr>
          <w:sz w:val="22"/>
          <w:szCs w:val="22"/>
        </w:rPr>
        <w:t>doi</w:t>
      </w:r>
      <w:proofErr w:type="spellEnd"/>
      <w:r w:rsidRPr="00427AE7">
        <w:rPr>
          <w:sz w:val="22"/>
          <w:szCs w:val="22"/>
        </w:rPr>
        <w:t>: 10.1073/pnas.2023483118. PMID: 33875599.</w:t>
      </w:r>
      <w:r w:rsidR="004E0662">
        <w:rPr>
          <w:sz w:val="22"/>
          <w:szCs w:val="22"/>
        </w:rPr>
        <w:t xml:space="preserve"> </w:t>
      </w:r>
      <w:r w:rsidR="004E0662" w:rsidRPr="00CD450D">
        <w:rPr>
          <w:sz w:val="22"/>
          <w:szCs w:val="22"/>
        </w:rPr>
        <w:t xml:space="preserve">(accessed </w:t>
      </w:r>
      <w:r w:rsidR="004E0662">
        <w:rPr>
          <w:sz w:val="22"/>
          <w:szCs w:val="22"/>
        </w:rPr>
        <w:t>April</w:t>
      </w:r>
      <w:r w:rsidR="004E0662" w:rsidRPr="00CD450D">
        <w:rPr>
          <w:sz w:val="22"/>
          <w:szCs w:val="22"/>
        </w:rPr>
        <w:t xml:space="preserve"> </w:t>
      </w:r>
      <w:r w:rsidR="004E0662">
        <w:rPr>
          <w:sz w:val="22"/>
          <w:szCs w:val="22"/>
        </w:rPr>
        <w:t>27</w:t>
      </w:r>
      <w:r w:rsidR="004E0662" w:rsidRPr="00CD450D">
        <w:rPr>
          <w:sz w:val="22"/>
          <w:szCs w:val="22"/>
        </w:rPr>
        <w:t>, 2021).</w:t>
      </w:r>
    </w:p>
    <w:p w14:paraId="6E2C9A8C"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Grey, S. and Kuokkanen, R. (2020), "Indigenous governance of cultural heritage: searching for alternatives to co-management"</w:t>
      </w:r>
      <w:r w:rsidRPr="00CD450D">
        <w:rPr>
          <w:i/>
          <w:iCs/>
          <w:sz w:val="22"/>
          <w:szCs w:val="22"/>
        </w:rPr>
        <w:t>, International Journal of Heritage Studies, </w:t>
      </w:r>
      <w:r w:rsidRPr="00CD450D">
        <w:rPr>
          <w:sz w:val="22"/>
          <w:szCs w:val="22"/>
        </w:rPr>
        <w:t>Vol. 26, No. 10, pp. 919-941. available at: </w:t>
      </w:r>
      <w:hyperlink r:id="rId11" w:tgtFrame="_blank" w:history="1">
        <w:r w:rsidRPr="00CD450D">
          <w:rPr>
            <w:rStyle w:val="Hyperlink"/>
            <w:color w:val="auto"/>
            <w:sz w:val="22"/>
            <w:szCs w:val="22"/>
          </w:rPr>
          <w:t>https://doi.org/10.1080/13527258.2019.1703202</w:t>
        </w:r>
      </w:hyperlink>
      <w:r w:rsidRPr="00CD450D">
        <w:rPr>
          <w:sz w:val="22"/>
          <w:szCs w:val="22"/>
        </w:rPr>
        <w:t>. (accessed May 4, 2021).</w:t>
      </w:r>
    </w:p>
    <w:p w14:paraId="4031E831" w14:textId="47325B21"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Harrison, R. (2013),</w:t>
      </w:r>
      <w:r w:rsidRPr="00CD450D">
        <w:rPr>
          <w:i/>
          <w:iCs/>
          <w:sz w:val="22"/>
          <w:szCs w:val="22"/>
        </w:rPr>
        <w:t> </w:t>
      </w:r>
      <w:proofErr w:type="gramStart"/>
      <w:r w:rsidRPr="00CD450D">
        <w:rPr>
          <w:i/>
          <w:iCs/>
          <w:sz w:val="22"/>
          <w:szCs w:val="22"/>
        </w:rPr>
        <w:t>Heritage :</w:t>
      </w:r>
      <w:proofErr w:type="gramEnd"/>
      <w:r w:rsidRPr="00CD450D">
        <w:rPr>
          <w:i/>
          <w:iCs/>
          <w:sz w:val="22"/>
          <w:szCs w:val="22"/>
        </w:rPr>
        <w:t xml:space="preserve"> Critical Approaches</w:t>
      </w:r>
      <w:r w:rsidRPr="00CD450D">
        <w:rPr>
          <w:sz w:val="22"/>
          <w:szCs w:val="22"/>
        </w:rPr>
        <w:t> translated by Anonymous Routledge, Milton Park, Abingdon.</w:t>
      </w:r>
    </w:p>
    <w:p w14:paraId="4133AEAE" w14:textId="77777777" w:rsidR="00662FF4" w:rsidRPr="00CD450D" w:rsidRDefault="00662FF4" w:rsidP="00EF0314">
      <w:pPr>
        <w:spacing w:line="360" w:lineRule="auto"/>
        <w:ind w:left="567" w:hanging="567"/>
        <w:rPr>
          <w:rFonts w:ascii="Times New Roman" w:eastAsia="Times New Roman" w:hAnsi="Times New Roman" w:cs="Times New Roman"/>
        </w:rPr>
      </w:pPr>
      <w:r w:rsidRPr="00CD450D">
        <w:rPr>
          <w:rFonts w:ascii="Times New Roman" w:eastAsia="Times New Roman" w:hAnsi="Times New Roman" w:cs="Times New Roman"/>
        </w:rPr>
        <w:t>Harrison, R., and Hughes, L., (2010) ‘</w:t>
      </w:r>
      <w:r w:rsidRPr="00CD450D">
        <w:rPr>
          <w:rFonts w:ascii="Times New Roman" w:hAnsi="Times New Roman" w:cs="Times New Roman"/>
          <w:shd w:val="clear" w:color="auto" w:fill="FFFFFF"/>
        </w:rPr>
        <w:t>Heritage, colonialism and postcolonialism’ </w:t>
      </w:r>
      <w:r w:rsidRPr="00CD450D">
        <w:rPr>
          <w:rFonts w:ascii="Times New Roman" w:eastAsia="Times New Roman" w:hAnsi="Times New Roman" w:cs="Times New Roman"/>
        </w:rPr>
        <w:t xml:space="preserve">In Harrison, R., (2010) </w:t>
      </w:r>
      <w:r w:rsidRPr="00CD450D">
        <w:rPr>
          <w:rFonts w:ascii="Times New Roman" w:eastAsia="Times New Roman" w:hAnsi="Times New Roman" w:cs="Times New Roman"/>
          <w:i/>
          <w:iCs/>
        </w:rPr>
        <w:t>Understanding the politics of heritage.</w:t>
      </w:r>
      <w:r w:rsidRPr="00CD450D">
        <w:rPr>
          <w:rFonts w:ascii="Times New Roman" w:eastAsia="Times New Roman" w:hAnsi="Times New Roman" w:cs="Times New Roman"/>
        </w:rPr>
        <w:t xml:space="preserve"> Manchester: Manchester University Press.</w:t>
      </w:r>
    </w:p>
    <w:p w14:paraId="55A5790A"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Helmut, K.A. and Yudhishthir, R.I. (2011),</w:t>
      </w:r>
      <w:r w:rsidRPr="00CD450D">
        <w:rPr>
          <w:i/>
          <w:iCs/>
          <w:sz w:val="22"/>
          <w:szCs w:val="22"/>
        </w:rPr>
        <w:t xml:space="preserve"> Cultures and </w:t>
      </w:r>
      <w:proofErr w:type="gramStart"/>
      <w:r w:rsidRPr="00CD450D">
        <w:rPr>
          <w:i/>
          <w:iCs/>
          <w:sz w:val="22"/>
          <w:szCs w:val="22"/>
        </w:rPr>
        <w:t>Globalization :</w:t>
      </w:r>
      <w:proofErr w:type="gramEnd"/>
      <w:r w:rsidRPr="00CD450D">
        <w:rPr>
          <w:i/>
          <w:iCs/>
          <w:sz w:val="22"/>
          <w:szCs w:val="22"/>
        </w:rPr>
        <w:t xml:space="preserve"> Heritage, Memory and Identity</w:t>
      </w:r>
      <w:r w:rsidRPr="00CD450D">
        <w:rPr>
          <w:sz w:val="22"/>
          <w:szCs w:val="22"/>
        </w:rPr>
        <w:t> translated by Anonymous SAGE Publications Ltd, Los Angeles, CA.</w:t>
      </w:r>
    </w:p>
    <w:p w14:paraId="48215B49" w14:textId="4760546A" w:rsidR="00D11362"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lastRenderedPageBreak/>
        <w:t>Hemming, S. and Rigney, D. (2010), "Decentring the new protectors: transforming Aboriginal heritage in South Australia"</w:t>
      </w:r>
      <w:r w:rsidRPr="00CD450D">
        <w:rPr>
          <w:i/>
          <w:iCs/>
          <w:sz w:val="22"/>
          <w:szCs w:val="22"/>
        </w:rPr>
        <w:t>, International Journal of Heritage Studies, </w:t>
      </w:r>
      <w:r w:rsidRPr="00CD450D">
        <w:rPr>
          <w:sz w:val="22"/>
          <w:szCs w:val="22"/>
        </w:rPr>
        <w:t>Vol. 16, No. 1-2, pp. 90-106. available at: </w:t>
      </w:r>
      <w:hyperlink r:id="rId12" w:tgtFrame="_blank" w:history="1">
        <w:r w:rsidRPr="00CD450D">
          <w:rPr>
            <w:rStyle w:val="Hyperlink"/>
            <w:color w:val="auto"/>
            <w:sz w:val="22"/>
            <w:szCs w:val="22"/>
          </w:rPr>
          <w:t>https://www-tandfonline-com.ezproxy.uwtsd.ac.uk/doi/full/10.1080/13527250903441804</w:t>
        </w:r>
      </w:hyperlink>
      <w:r w:rsidRPr="00CD450D">
        <w:rPr>
          <w:sz w:val="22"/>
          <w:szCs w:val="22"/>
        </w:rPr>
        <w:t>. (accessed Apr 10, 2021).</w:t>
      </w:r>
    </w:p>
    <w:p w14:paraId="55933854" w14:textId="5338D165" w:rsidR="00B2273B" w:rsidRPr="00B2273B" w:rsidRDefault="00B2273B" w:rsidP="00CD450D">
      <w:pPr>
        <w:pStyle w:val="NormalWeb"/>
        <w:shd w:val="clear" w:color="auto" w:fill="FFFFFF"/>
        <w:spacing w:before="0" w:beforeAutospacing="0" w:after="173" w:afterAutospacing="0" w:line="360" w:lineRule="auto"/>
        <w:ind w:left="450" w:hanging="450"/>
        <w:rPr>
          <w:sz w:val="22"/>
          <w:szCs w:val="22"/>
        </w:rPr>
      </w:pPr>
      <w:r w:rsidRPr="00B2273B">
        <w:rPr>
          <w:sz w:val="21"/>
          <w:szCs w:val="21"/>
          <w:shd w:val="clear" w:color="auto" w:fill="FFFFFF"/>
        </w:rPr>
        <w:t>Koch, N. (2015), "Gulf Nationalism and the Geopolitics of Constructing Falconry as a ‘Heritage Sport’"</w:t>
      </w:r>
      <w:r w:rsidRPr="00B2273B">
        <w:rPr>
          <w:i/>
          <w:iCs/>
          <w:sz w:val="21"/>
          <w:szCs w:val="21"/>
          <w:shd w:val="clear" w:color="auto" w:fill="FFFFFF"/>
        </w:rPr>
        <w:t>, Studies in ethnicity and nationalism, </w:t>
      </w:r>
      <w:r w:rsidRPr="00B2273B">
        <w:rPr>
          <w:sz w:val="21"/>
          <w:szCs w:val="21"/>
          <w:shd w:val="clear" w:color="auto" w:fill="FFFFFF"/>
        </w:rPr>
        <w:t>Vol. 15, No. 3, pp. 522-539.</w:t>
      </w:r>
      <w:r w:rsidRPr="00B2273B">
        <w:rPr>
          <w:sz w:val="21"/>
          <w:szCs w:val="21"/>
          <w:shd w:val="clear" w:color="auto" w:fill="FFFFFF"/>
        </w:rPr>
        <w:t xml:space="preserve"> </w:t>
      </w:r>
      <w:r w:rsidRPr="00B2273B">
        <w:rPr>
          <w:sz w:val="22"/>
          <w:szCs w:val="22"/>
        </w:rPr>
        <w:t xml:space="preserve">(accessed </w:t>
      </w:r>
      <w:r w:rsidRPr="00B2273B">
        <w:rPr>
          <w:sz w:val="22"/>
          <w:szCs w:val="22"/>
        </w:rPr>
        <w:t>Mar</w:t>
      </w:r>
      <w:r w:rsidRPr="00B2273B">
        <w:rPr>
          <w:sz w:val="22"/>
          <w:szCs w:val="22"/>
        </w:rPr>
        <w:t xml:space="preserve"> 10, 2021)</w:t>
      </w:r>
    </w:p>
    <w:p w14:paraId="42B7D384"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 xml:space="preserve">Lyver, P.O., Davies, </w:t>
      </w:r>
      <w:proofErr w:type="gramStart"/>
      <w:r w:rsidRPr="00CD450D">
        <w:rPr>
          <w:sz w:val="22"/>
          <w:szCs w:val="22"/>
        </w:rPr>
        <w:t>J.</w:t>
      </w:r>
      <w:proofErr w:type="gramEnd"/>
      <w:r w:rsidRPr="00CD450D">
        <w:rPr>
          <w:sz w:val="22"/>
          <w:szCs w:val="22"/>
        </w:rPr>
        <w:t xml:space="preserve"> and Allen, R.B. (2014), "Settling Indigenous Claims to Protected Areas: Weighing Māori Aspirations Against Australian Experiences"</w:t>
      </w:r>
      <w:r w:rsidRPr="00CD450D">
        <w:rPr>
          <w:i/>
          <w:iCs/>
          <w:sz w:val="22"/>
          <w:szCs w:val="22"/>
        </w:rPr>
        <w:t>, Conservation and Society, </w:t>
      </w:r>
      <w:r w:rsidRPr="00CD450D">
        <w:rPr>
          <w:sz w:val="22"/>
          <w:szCs w:val="22"/>
        </w:rPr>
        <w:t>Vol. 12, No. 1, pp. 89-106. available at: </w:t>
      </w:r>
      <w:hyperlink r:id="rId13" w:tgtFrame="_blank" w:history="1">
        <w:r w:rsidRPr="00CD450D">
          <w:rPr>
            <w:rStyle w:val="Hyperlink"/>
            <w:color w:val="auto"/>
            <w:sz w:val="22"/>
            <w:szCs w:val="22"/>
          </w:rPr>
          <w:t>https://www.jstor.org/stable/26393145</w:t>
        </w:r>
      </w:hyperlink>
      <w:r w:rsidRPr="00CD450D">
        <w:rPr>
          <w:sz w:val="22"/>
          <w:szCs w:val="22"/>
        </w:rPr>
        <w:t>. (accessed May 2, 2021).</w:t>
      </w:r>
    </w:p>
    <w:p w14:paraId="213A3A2F"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 xml:space="preserve">Lyver, P.O., </w:t>
      </w:r>
      <w:proofErr w:type="spellStart"/>
      <w:r w:rsidRPr="00CD450D">
        <w:rPr>
          <w:sz w:val="22"/>
          <w:szCs w:val="22"/>
        </w:rPr>
        <w:t>Ruru</w:t>
      </w:r>
      <w:proofErr w:type="spellEnd"/>
      <w:r w:rsidRPr="00CD450D">
        <w:rPr>
          <w:sz w:val="22"/>
          <w:szCs w:val="22"/>
        </w:rPr>
        <w:t xml:space="preserve">, J., Scott, N., </w:t>
      </w:r>
      <w:proofErr w:type="spellStart"/>
      <w:r w:rsidRPr="00CD450D">
        <w:rPr>
          <w:sz w:val="22"/>
          <w:szCs w:val="22"/>
        </w:rPr>
        <w:t>Tylianakis</w:t>
      </w:r>
      <w:proofErr w:type="spellEnd"/>
      <w:r w:rsidRPr="00CD450D">
        <w:rPr>
          <w:sz w:val="22"/>
          <w:szCs w:val="22"/>
        </w:rPr>
        <w:t>, J.M., Arnold, J., Malinen, S.K., Bataille, C.Y., Herse, M.R., Jones, C.J., Gormley, A.M., Peltzer, D.A., Taura, Y., Timoti, P., Stone, C., Wilcox, M. and Moller, H. (2019), "Building biocultural approaches into Aotearoa – New Zealand’s conservation future"</w:t>
      </w:r>
      <w:r w:rsidRPr="00CD450D">
        <w:rPr>
          <w:i/>
          <w:iCs/>
          <w:sz w:val="22"/>
          <w:szCs w:val="22"/>
        </w:rPr>
        <w:t>, Journal of the Royal Society of New Zealand, </w:t>
      </w:r>
      <w:r w:rsidRPr="00CD450D">
        <w:rPr>
          <w:sz w:val="22"/>
          <w:szCs w:val="22"/>
        </w:rPr>
        <w:t>Vol. 49, No. 3, pp. 394-411. available at: </w:t>
      </w:r>
      <w:hyperlink r:id="rId14" w:tgtFrame="_blank" w:history="1">
        <w:r w:rsidRPr="00CD450D">
          <w:rPr>
            <w:rStyle w:val="Hyperlink"/>
            <w:color w:val="auto"/>
            <w:sz w:val="22"/>
            <w:szCs w:val="22"/>
          </w:rPr>
          <w:t>https://doi.org/10.1080/03036758.2018.1539405</w:t>
        </w:r>
      </w:hyperlink>
      <w:r w:rsidRPr="00CD450D">
        <w:rPr>
          <w:sz w:val="22"/>
          <w:szCs w:val="22"/>
        </w:rPr>
        <w:t>. (accessed Mar 21, 2021).</w:t>
      </w:r>
    </w:p>
    <w:p w14:paraId="51D6DEA3"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Meskell, L. (2013), "UNESCO and the Fate of the World Heritage Indigenous Peoples Council of Experts (WHIPCOE)"</w:t>
      </w:r>
      <w:r w:rsidRPr="00CD450D">
        <w:rPr>
          <w:i/>
          <w:iCs/>
          <w:sz w:val="22"/>
          <w:szCs w:val="22"/>
        </w:rPr>
        <w:t>, International Journal of Cultural Property, </w:t>
      </w:r>
      <w:r w:rsidRPr="00CD450D">
        <w:rPr>
          <w:sz w:val="22"/>
          <w:szCs w:val="22"/>
        </w:rPr>
        <w:t>Vol. 20. (accessed May 7, 2021).</w:t>
      </w:r>
    </w:p>
    <w:p w14:paraId="3B27EA95"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Muller, S., Hemming, S. and Rigney, D. (2019), "Indigenous sovereignties: relational ontologies and environmental management"</w:t>
      </w:r>
      <w:r w:rsidRPr="00CD450D">
        <w:rPr>
          <w:i/>
          <w:iCs/>
          <w:sz w:val="22"/>
          <w:szCs w:val="22"/>
        </w:rPr>
        <w:t>, Geographical Research, </w:t>
      </w:r>
      <w:r w:rsidRPr="00CD450D">
        <w:rPr>
          <w:sz w:val="22"/>
          <w:szCs w:val="22"/>
        </w:rPr>
        <w:t>Vol. 57, No. 4, pp. 399-410. available at: </w:t>
      </w:r>
      <w:hyperlink r:id="rId15" w:tgtFrame="_blank" w:history="1">
        <w:r w:rsidRPr="00CD450D">
          <w:rPr>
            <w:rStyle w:val="Hyperlink"/>
            <w:color w:val="auto"/>
            <w:sz w:val="22"/>
            <w:szCs w:val="22"/>
          </w:rPr>
          <w:t>https://onlinelibrary.wiley.com/doi/abs/10.1111/1745-5871.12362</w:t>
        </w:r>
      </w:hyperlink>
      <w:r w:rsidRPr="00CD450D">
        <w:rPr>
          <w:sz w:val="22"/>
          <w:szCs w:val="22"/>
        </w:rPr>
        <w:t>. (accessed May 7, 2021).</w:t>
      </w:r>
    </w:p>
    <w:p w14:paraId="055F2808"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Palmer, M.H. and Feyerherm, A. (2018), "Visual convincing of intangible cultural relationships using maps: A case study of the Tongariro National Park World Heritage nomination dossier"</w:t>
      </w:r>
      <w:r w:rsidRPr="00CD450D">
        <w:rPr>
          <w:i/>
          <w:iCs/>
          <w:sz w:val="22"/>
          <w:szCs w:val="22"/>
        </w:rPr>
        <w:t xml:space="preserve">, The Canadian Geographer / Le </w:t>
      </w:r>
      <w:proofErr w:type="spellStart"/>
      <w:r w:rsidRPr="00CD450D">
        <w:rPr>
          <w:i/>
          <w:iCs/>
          <w:sz w:val="22"/>
          <w:szCs w:val="22"/>
        </w:rPr>
        <w:t>Géographe</w:t>
      </w:r>
      <w:proofErr w:type="spellEnd"/>
      <w:r w:rsidRPr="00CD450D">
        <w:rPr>
          <w:i/>
          <w:iCs/>
          <w:sz w:val="22"/>
          <w:szCs w:val="22"/>
        </w:rPr>
        <w:t xml:space="preserve"> </w:t>
      </w:r>
      <w:proofErr w:type="spellStart"/>
      <w:r w:rsidRPr="00CD450D">
        <w:rPr>
          <w:i/>
          <w:iCs/>
          <w:sz w:val="22"/>
          <w:szCs w:val="22"/>
        </w:rPr>
        <w:t>canadien</w:t>
      </w:r>
      <w:proofErr w:type="spellEnd"/>
      <w:r w:rsidRPr="00CD450D">
        <w:rPr>
          <w:i/>
          <w:iCs/>
          <w:sz w:val="22"/>
          <w:szCs w:val="22"/>
        </w:rPr>
        <w:t>, </w:t>
      </w:r>
      <w:r w:rsidRPr="00CD450D">
        <w:rPr>
          <w:sz w:val="22"/>
          <w:szCs w:val="22"/>
        </w:rPr>
        <w:t>Vol. 62, No. 1, pp. 81-92. available at: </w:t>
      </w:r>
      <w:hyperlink r:id="rId16" w:tgtFrame="_blank" w:history="1">
        <w:r w:rsidRPr="00CD450D">
          <w:rPr>
            <w:rStyle w:val="Hyperlink"/>
            <w:color w:val="auto"/>
            <w:sz w:val="22"/>
            <w:szCs w:val="22"/>
          </w:rPr>
          <w:t>https://onlinelibrary.wiley.com/doi/abs/10.1111/cag.12439</w:t>
        </w:r>
      </w:hyperlink>
      <w:r w:rsidRPr="00CD450D">
        <w:rPr>
          <w:sz w:val="22"/>
          <w:szCs w:val="22"/>
        </w:rPr>
        <w:t>. (accessed Apr 16, 2021).</w:t>
      </w:r>
    </w:p>
    <w:p w14:paraId="2E8F5C7A" w14:textId="6CD259F1"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Pascual, U., Adams, W.M., Díaz, S., Lele, S., Mace, G.M. and Turnhout, E. (2021), "Biodiversity and the challenge of pluralism"</w:t>
      </w:r>
      <w:r w:rsidRPr="00CD450D">
        <w:rPr>
          <w:i/>
          <w:iCs/>
          <w:sz w:val="22"/>
          <w:szCs w:val="22"/>
        </w:rPr>
        <w:t>, Nature Sustainability</w:t>
      </w:r>
      <w:proofErr w:type="gramStart"/>
      <w:r w:rsidRPr="00CD450D">
        <w:rPr>
          <w:i/>
          <w:iCs/>
          <w:sz w:val="22"/>
          <w:szCs w:val="22"/>
        </w:rPr>
        <w:t>, </w:t>
      </w:r>
      <w:r w:rsidRPr="00CD450D">
        <w:rPr>
          <w:sz w:val="22"/>
          <w:szCs w:val="22"/>
        </w:rPr>
        <w:t>,</w:t>
      </w:r>
      <w:proofErr w:type="gramEnd"/>
      <w:r w:rsidRPr="00CD450D">
        <w:rPr>
          <w:sz w:val="22"/>
          <w:szCs w:val="22"/>
        </w:rPr>
        <w:t xml:space="preserve"> pp. 1-6. available at: </w:t>
      </w:r>
      <w:hyperlink r:id="rId17" w:tgtFrame="_blank" w:history="1">
        <w:r w:rsidRPr="00CD450D">
          <w:rPr>
            <w:rStyle w:val="Hyperlink"/>
            <w:color w:val="auto"/>
            <w:sz w:val="22"/>
            <w:szCs w:val="22"/>
          </w:rPr>
          <w:t>https://www.nature.com/articles/s41893-021-00694-7</w:t>
        </w:r>
      </w:hyperlink>
      <w:r w:rsidRPr="00CD450D">
        <w:rPr>
          <w:sz w:val="22"/>
          <w:szCs w:val="22"/>
        </w:rPr>
        <w:t>. (accessed May 7, 2021).</w:t>
      </w:r>
    </w:p>
    <w:p w14:paraId="653E408F" w14:textId="77777777" w:rsidR="008C6358" w:rsidRPr="00CD450D" w:rsidRDefault="008C6358"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Rossler, D.M.R. (2006), "World Heritage cultural landscapes: A UNESCO flagship programme 1992 – 2006"</w:t>
      </w:r>
      <w:r w:rsidRPr="00CD450D">
        <w:rPr>
          <w:i/>
          <w:iCs/>
          <w:sz w:val="22"/>
          <w:szCs w:val="22"/>
        </w:rPr>
        <w:t>, Landscape Research, </w:t>
      </w:r>
      <w:r w:rsidRPr="00CD450D">
        <w:rPr>
          <w:sz w:val="22"/>
          <w:szCs w:val="22"/>
        </w:rPr>
        <w:t>Vol. 31, No. 4, pp. 333-353. available at: </w:t>
      </w:r>
      <w:hyperlink r:id="rId18" w:tgtFrame="_blank" w:history="1">
        <w:r w:rsidRPr="00CD450D">
          <w:rPr>
            <w:rStyle w:val="Hyperlink"/>
            <w:color w:val="auto"/>
            <w:sz w:val="22"/>
            <w:szCs w:val="22"/>
          </w:rPr>
          <w:t>https://doi.org/10.1080/01426390601004210</w:t>
        </w:r>
      </w:hyperlink>
      <w:r w:rsidRPr="00CD450D">
        <w:rPr>
          <w:sz w:val="22"/>
          <w:szCs w:val="22"/>
        </w:rPr>
        <w:t>. (accessed Apr 16, 2021).</w:t>
      </w:r>
    </w:p>
    <w:p w14:paraId="4CDB762F"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lastRenderedPageBreak/>
        <w:t>Rotherham, I. (2015), "Bio-cultural heritage and biodiversity: emerging paradigms in conservation and planning"</w:t>
      </w:r>
      <w:r w:rsidRPr="00CD450D">
        <w:rPr>
          <w:i/>
          <w:iCs/>
          <w:sz w:val="22"/>
          <w:szCs w:val="22"/>
        </w:rPr>
        <w:t>, Biodiversity and conservation, </w:t>
      </w:r>
      <w:r w:rsidRPr="00CD450D">
        <w:rPr>
          <w:sz w:val="22"/>
          <w:szCs w:val="22"/>
        </w:rPr>
        <w:t>Vol. 24, No. 13, pp. 3405-3429. available at: </w:t>
      </w:r>
      <w:hyperlink r:id="rId19" w:tgtFrame="_blank" w:history="1">
        <w:r w:rsidRPr="00CD450D">
          <w:rPr>
            <w:rStyle w:val="Hyperlink"/>
            <w:color w:val="auto"/>
            <w:sz w:val="22"/>
            <w:szCs w:val="22"/>
          </w:rPr>
          <w:t>https://search.proquest.com/docview/1727348407</w:t>
        </w:r>
      </w:hyperlink>
      <w:r w:rsidRPr="00CD450D">
        <w:rPr>
          <w:sz w:val="22"/>
          <w:szCs w:val="22"/>
        </w:rPr>
        <w:t>.</w:t>
      </w:r>
    </w:p>
    <w:p w14:paraId="1A51B5F4"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proofErr w:type="spellStart"/>
      <w:r w:rsidRPr="00CD450D">
        <w:rPr>
          <w:sz w:val="22"/>
          <w:szCs w:val="22"/>
        </w:rPr>
        <w:t>Ruru</w:t>
      </w:r>
      <w:proofErr w:type="spellEnd"/>
      <w:r w:rsidRPr="00CD450D">
        <w:rPr>
          <w:sz w:val="22"/>
          <w:szCs w:val="22"/>
        </w:rPr>
        <w:t>, J. (2004), "Managing Our Treasured Home: The Conservation Estate and the Principles of the Treaty of Waitangi"</w:t>
      </w:r>
      <w:r w:rsidRPr="00CD450D">
        <w:rPr>
          <w:i/>
          <w:iCs/>
          <w:sz w:val="22"/>
          <w:szCs w:val="22"/>
        </w:rPr>
        <w:t>, New Zealand Journal of Environmental Law, </w:t>
      </w:r>
      <w:r w:rsidRPr="00CD450D">
        <w:rPr>
          <w:sz w:val="22"/>
          <w:szCs w:val="22"/>
        </w:rPr>
        <w:t>available at: </w:t>
      </w:r>
      <w:hyperlink r:id="rId20" w:tgtFrame="_blank" w:history="1">
        <w:r w:rsidRPr="00CD450D">
          <w:rPr>
            <w:rStyle w:val="Hyperlink"/>
            <w:color w:val="auto"/>
            <w:sz w:val="22"/>
            <w:szCs w:val="22"/>
          </w:rPr>
          <w:t>https://search.informit.org/doi/abs/10.3316/INFORMIT.361324299662045</w:t>
        </w:r>
      </w:hyperlink>
      <w:r w:rsidRPr="00CD450D">
        <w:rPr>
          <w:sz w:val="22"/>
          <w:szCs w:val="22"/>
        </w:rPr>
        <w:t>. (accessed May 7, 2021).</w:t>
      </w:r>
    </w:p>
    <w:p w14:paraId="4BBE130D" w14:textId="049228A8" w:rsidR="00D11362"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Salmond, A. (2014), "Tears of Rangi: Water, power, and people in New Zealand"</w:t>
      </w:r>
      <w:r w:rsidRPr="00CD450D">
        <w:rPr>
          <w:i/>
          <w:iCs/>
          <w:sz w:val="22"/>
          <w:szCs w:val="22"/>
        </w:rPr>
        <w:t>, HAU: Journal of Ethnographic Theory, </w:t>
      </w:r>
      <w:r w:rsidRPr="00CD450D">
        <w:rPr>
          <w:sz w:val="22"/>
          <w:szCs w:val="22"/>
        </w:rPr>
        <w:t>Vol. 4, No. 3, pp. 285-309. available at: </w:t>
      </w:r>
      <w:hyperlink r:id="rId21" w:tgtFrame="_blank" w:history="1">
        <w:r w:rsidRPr="00CD450D">
          <w:rPr>
            <w:rStyle w:val="Hyperlink"/>
            <w:color w:val="auto"/>
            <w:sz w:val="22"/>
            <w:szCs w:val="22"/>
          </w:rPr>
          <w:t>https://www.journals.uchicago.edu/doi/full/10.14318/hau4.3.017</w:t>
        </w:r>
      </w:hyperlink>
      <w:r w:rsidRPr="00CD450D">
        <w:rPr>
          <w:sz w:val="22"/>
          <w:szCs w:val="22"/>
        </w:rPr>
        <w:t>. (accessed Apr 28, 2021).</w:t>
      </w:r>
    </w:p>
    <w:p w14:paraId="762E63DC" w14:textId="6EF224B3" w:rsidR="00370FD5" w:rsidRPr="00CD450D" w:rsidRDefault="00370FD5" w:rsidP="00CD450D">
      <w:pPr>
        <w:pStyle w:val="NormalWeb"/>
        <w:shd w:val="clear" w:color="auto" w:fill="FFFFFF"/>
        <w:spacing w:before="0" w:beforeAutospacing="0" w:after="173" w:afterAutospacing="0" w:line="360" w:lineRule="auto"/>
        <w:ind w:left="450" w:hanging="450"/>
        <w:rPr>
          <w:sz w:val="22"/>
          <w:szCs w:val="22"/>
        </w:rPr>
      </w:pPr>
      <w:r w:rsidRPr="00EF0314">
        <w:rPr>
          <w:sz w:val="22"/>
          <w:szCs w:val="22"/>
        </w:rPr>
        <w:t>Smith, L</w:t>
      </w:r>
      <w:r w:rsidR="00EF0314">
        <w:rPr>
          <w:sz w:val="22"/>
          <w:szCs w:val="22"/>
        </w:rPr>
        <w:t>.,</w:t>
      </w:r>
      <w:r w:rsidRPr="00EF0314">
        <w:rPr>
          <w:sz w:val="22"/>
          <w:szCs w:val="22"/>
        </w:rPr>
        <w:t xml:space="preserve"> </w:t>
      </w:r>
      <w:r w:rsidR="00EF0314">
        <w:rPr>
          <w:sz w:val="22"/>
          <w:szCs w:val="22"/>
        </w:rPr>
        <w:t>(</w:t>
      </w:r>
      <w:r w:rsidRPr="00EF0314">
        <w:rPr>
          <w:sz w:val="22"/>
          <w:szCs w:val="22"/>
        </w:rPr>
        <w:t>2006</w:t>
      </w:r>
      <w:r w:rsidR="00EF0314">
        <w:rPr>
          <w:sz w:val="22"/>
          <w:szCs w:val="22"/>
        </w:rPr>
        <w:t>)</w:t>
      </w:r>
      <w:r w:rsidRPr="00EF0314">
        <w:rPr>
          <w:sz w:val="22"/>
          <w:szCs w:val="22"/>
        </w:rPr>
        <w:t xml:space="preserve"> </w:t>
      </w:r>
      <w:r w:rsidRPr="00EF0314">
        <w:rPr>
          <w:i/>
          <w:iCs/>
          <w:sz w:val="22"/>
          <w:szCs w:val="22"/>
        </w:rPr>
        <w:t>Uses of Heritage</w:t>
      </w:r>
      <w:r w:rsidRPr="00EF0314">
        <w:rPr>
          <w:sz w:val="22"/>
          <w:szCs w:val="22"/>
        </w:rPr>
        <w:t xml:space="preserve">. Routledge, </w:t>
      </w:r>
      <w:proofErr w:type="gramStart"/>
      <w:r w:rsidRPr="00EF0314">
        <w:rPr>
          <w:sz w:val="22"/>
          <w:szCs w:val="22"/>
        </w:rPr>
        <w:t>Abingdon</w:t>
      </w:r>
      <w:proofErr w:type="gramEnd"/>
      <w:r w:rsidRPr="00EF0314">
        <w:rPr>
          <w:sz w:val="22"/>
          <w:szCs w:val="22"/>
        </w:rPr>
        <w:t xml:space="preserve"> and New York.</w:t>
      </w:r>
    </w:p>
    <w:p w14:paraId="55EDC984" w14:textId="3AF2C30E"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Wallace, P. (2014), </w:t>
      </w:r>
      <w:r w:rsidRPr="00CD450D">
        <w:rPr>
          <w:i/>
          <w:iCs/>
          <w:sz w:val="22"/>
          <w:szCs w:val="22"/>
        </w:rPr>
        <w:t>Approaching cultural landscapes in post-settler societies: ideas, policies, practices</w:t>
      </w:r>
      <w:r w:rsidRPr="00CD450D">
        <w:rPr>
          <w:sz w:val="22"/>
          <w:szCs w:val="22"/>
        </w:rPr>
        <w:t>.</w:t>
      </w:r>
      <w:r w:rsidR="00260367" w:rsidRPr="00CD450D">
        <w:rPr>
          <w:sz w:val="22"/>
          <w:szCs w:val="22"/>
        </w:rPr>
        <w:t xml:space="preserve"> </w:t>
      </w:r>
      <w:r w:rsidR="00260367" w:rsidRPr="00CD450D">
        <w:rPr>
          <w:sz w:val="22"/>
          <w:szCs w:val="22"/>
        </w:rPr>
        <w:t>Ph.D. thesis, School of Humanities and Social Sciences, Deakin University.</w:t>
      </w:r>
      <w:r w:rsidR="006B0599" w:rsidRPr="00CD450D">
        <w:rPr>
          <w:sz w:val="22"/>
          <w:szCs w:val="22"/>
        </w:rPr>
        <w:t xml:space="preserve"> </w:t>
      </w:r>
      <w:r w:rsidR="006B0599" w:rsidRPr="00CD450D">
        <w:rPr>
          <w:sz w:val="22"/>
          <w:szCs w:val="22"/>
        </w:rPr>
        <w:t>(accessed Apr 28, 2021).</w:t>
      </w:r>
    </w:p>
    <w:p w14:paraId="1E58A718" w14:textId="4A6374F8"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Walliss, J. (2014), "Transformative Landscapes: Postcolonial Representations of Uluru-Kata Tjuta and Tongariro National Parks"</w:t>
      </w:r>
      <w:r w:rsidRPr="00CD450D">
        <w:rPr>
          <w:i/>
          <w:iCs/>
          <w:sz w:val="22"/>
          <w:szCs w:val="22"/>
        </w:rPr>
        <w:t>, Space and Culture, </w:t>
      </w:r>
      <w:r w:rsidRPr="00CD450D">
        <w:rPr>
          <w:sz w:val="22"/>
          <w:szCs w:val="22"/>
        </w:rPr>
        <w:t>Vol. 17, No. 3, pp. 280-296. available at: </w:t>
      </w:r>
      <w:hyperlink r:id="rId22" w:tgtFrame="_blank" w:history="1">
        <w:r w:rsidRPr="00CD450D">
          <w:rPr>
            <w:rStyle w:val="Hyperlink"/>
            <w:color w:val="auto"/>
            <w:sz w:val="22"/>
            <w:szCs w:val="22"/>
          </w:rPr>
          <w:t>https://doi.org/10.1177/1206331213499470</w:t>
        </w:r>
      </w:hyperlink>
      <w:r w:rsidRPr="00CD450D">
        <w:rPr>
          <w:sz w:val="22"/>
          <w:szCs w:val="22"/>
        </w:rPr>
        <w:t>. (accessed May 4, 2021).</w:t>
      </w:r>
    </w:p>
    <w:p w14:paraId="49EF48D7" w14:textId="53DE1DB8" w:rsidR="00674237" w:rsidRPr="00CD450D" w:rsidRDefault="00674237" w:rsidP="004E0662">
      <w:pPr>
        <w:spacing w:line="360" w:lineRule="auto"/>
        <w:ind w:left="426" w:hanging="426"/>
        <w:rPr>
          <w:rFonts w:ascii="Times New Roman" w:eastAsia="Times New Roman" w:hAnsi="Times New Roman" w:cs="Times New Roman"/>
        </w:rPr>
      </w:pPr>
      <w:r w:rsidRPr="00CD450D">
        <w:rPr>
          <w:rFonts w:ascii="Times New Roman" w:hAnsi="Times New Roman" w:cs="Times New Roman"/>
          <w:shd w:val="clear" w:color="auto" w:fill="FFFFFF"/>
        </w:rPr>
        <w:t xml:space="preserve">West, S., and Ndlovu, S., (2010) ‘Heritage, landscape and memory’ </w:t>
      </w:r>
      <w:r w:rsidRPr="00CD450D">
        <w:rPr>
          <w:rFonts w:ascii="Times New Roman" w:eastAsia="Times New Roman" w:hAnsi="Times New Roman" w:cs="Times New Roman"/>
        </w:rPr>
        <w:t>In Benton, T., (2010</w:t>
      </w:r>
      <w:proofErr w:type="gramStart"/>
      <w:r w:rsidRPr="00CD450D">
        <w:rPr>
          <w:rFonts w:ascii="Times New Roman" w:eastAsia="Times New Roman" w:hAnsi="Times New Roman" w:cs="Times New Roman"/>
        </w:rPr>
        <w:t xml:space="preserve">) </w:t>
      </w:r>
      <w:r w:rsidR="004E0662">
        <w:rPr>
          <w:rFonts w:ascii="Times New Roman" w:eastAsia="Times New Roman" w:hAnsi="Times New Roman" w:cs="Times New Roman"/>
        </w:rPr>
        <w:t xml:space="preserve"> U</w:t>
      </w:r>
      <w:r w:rsidRPr="00CD450D">
        <w:rPr>
          <w:rFonts w:ascii="Times New Roman" w:eastAsia="Times New Roman" w:hAnsi="Times New Roman" w:cs="Times New Roman"/>
          <w:i/>
          <w:iCs/>
        </w:rPr>
        <w:t>nderstanding</w:t>
      </w:r>
      <w:proofErr w:type="gramEnd"/>
      <w:r w:rsidRPr="00CD450D">
        <w:rPr>
          <w:rFonts w:ascii="Times New Roman" w:eastAsia="Times New Roman" w:hAnsi="Times New Roman" w:cs="Times New Roman"/>
          <w:i/>
          <w:iCs/>
        </w:rPr>
        <w:t xml:space="preserve"> heritage and memory.</w:t>
      </w:r>
      <w:r w:rsidRPr="00CD450D">
        <w:rPr>
          <w:rFonts w:ascii="Times New Roman" w:eastAsia="Times New Roman" w:hAnsi="Times New Roman" w:cs="Times New Roman"/>
        </w:rPr>
        <w:t xml:space="preserve"> Manchester: Manchester University Press.</w:t>
      </w:r>
    </w:p>
    <w:p w14:paraId="4A0F0AE6" w14:textId="77777777" w:rsidR="00D11362" w:rsidRPr="00CD450D" w:rsidRDefault="00D11362" w:rsidP="00CD450D">
      <w:pPr>
        <w:pStyle w:val="NormalWeb"/>
        <w:shd w:val="clear" w:color="auto" w:fill="FFFFFF"/>
        <w:spacing w:before="0" w:beforeAutospacing="0" w:after="173" w:afterAutospacing="0" w:line="360" w:lineRule="auto"/>
        <w:ind w:left="450" w:hanging="450"/>
        <w:rPr>
          <w:sz w:val="22"/>
          <w:szCs w:val="22"/>
        </w:rPr>
      </w:pPr>
      <w:r w:rsidRPr="00CD450D">
        <w:rPr>
          <w:sz w:val="22"/>
          <w:szCs w:val="22"/>
        </w:rPr>
        <w:t xml:space="preserve">Wilshusen, P.R., Brechin, S.R., </w:t>
      </w:r>
      <w:proofErr w:type="spellStart"/>
      <w:r w:rsidRPr="00CD450D">
        <w:rPr>
          <w:sz w:val="22"/>
          <w:szCs w:val="22"/>
        </w:rPr>
        <w:t>Fortwangler</w:t>
      </w:r>
      <w:proofErr w:type="spellEnd"/>
      <w:r w:rsidRPr="00CD450D">
        <w:rPr>
          <w:sz w:val="22"/>
          <w:szCs w:val="22"/>
        </w:rPr>
        <w:t>, C.L. and West, P.C. (2002), "Reinventing a Square Wheel: Critique of a Resurgent "Protection Paradigm" in International Biodiversity Conservation"</w:t>
      </w:r>
      <w:r w:rsidRPr="00CD450D">
        <w:rPr>
          <w:i/>
          <w:iCs/>
          <w:sz w:val="22"/>
          <w:szCs w:val="22"/>
        </w:rPr>
        <w:t>, Society &amp; Natural Resources, </w:t>
      </w:r>
      <w:r w:rsidRPr="00CD450D">
        <w:rPr>
          <w:sz w:val="22"/>
          <w:szCs w:val="22"/>
        </w:rPr>
        <w:t>Vol. 15, No. 1, pp. 17-40. available at: </w:t>
      </w:r>
      <w:hyperlink r:id="rId23" w:tgtFrame="_blank" w:history="1">
        <w:r w:rsidRPr="00CD450D">
          <w:rPr>
            <w:rStyle w:val="Hyperlink"/>
            <w:color w:val="auto"/>
            <w:sz w:val="22"/>
            <w:szCs w:val="22"/>
          </w:rPr>
          <w:t>https://doi.org/10.1080/089419202317174002</w:t>
        </w:r>
      </w:hyperlink>
      <w:r w:rsidRPr="00CD450D">
        <w:rPr>
          <w:sz w:val="22"/>
          <w:szCs w:val="22"/>
        </w:rPr>
        <w:t>. (accessed May 7, 2021).</w:t>
      </w:r>
    </w:p>
    <w:p w14:paraId="7CCDFC50" w14:textId="77777777" w:rsidR="00156485" w:rsidRPr="00CD450D" w:rsidRDefault="00156485" w:rsidP="00CD450D">
      <w:pPr>
        <w:spacing w:line="360" w:lineRule="auto"/>
        <w:rPr>
          <w:rFonts w:ascii="Times New Roman" w:hAnsi="Times New Roman" w:cs="Times New Roman"/>
        </w:rPr>
      </w:pPr>
    </w:p>
    <w:sectPr w:rsidR="00156485" w:rsidRPr="00CD450D">
      <w:footerReference w:type="default" r:id="rId24"/>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85153" w14:textId="77777777" w:rsidR="00FD7FA2" w:rsidRDefault="00EF6086">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24A4B14C" w14:textId="77777777" w:rsidR="00FD7FA2" w:rsidRDefault="00EF6086">
    <w:pPr>
      <w:pBdr>
        <w:top w:val="nil"/>
        <w:left w:val="nil"/>
        <w:bottom w:val="nil"/>
        <w:right w:val="nil"/>
        <w:between w:val="nil"/>
      </w:pBdr>
      <w:tabs>
        <w:tab w:val="center" w:pos="4513"/>
        <w:tab w:val="right" w:pos="9026"/>
      </w:tabs>
      <w:spacing w:after="0" w:line="240" w:lineRule="auto"/>
      <w:rPr>
        <w:color w:val="000000"/>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1CF"/>
    <w:rsid w:val="00062049"/>
    <w:rsid w:val="00076FE5"/>
    <w:rsid w:val="00154CEF"/>
    <w:rsid w:val="00156485"/>
    <w:rsid w:val="00164A43"/>
    <w:rsid w:val="00181978"/>
    <w:rsid w:val="00197F9B"/>
    <w:rsid w:val="001E1FE8"/>
    <w:rsid w:val="0021200C"/>
    <w:rsid w:val="002321F5"/>
    <w:rsid w:val="00260367"/>
    <w:rsid w:val="0028638C"/>
    <w:rsid w:val="002F5819"/>
    <w:rsid w:val="003451D3"/>
    <w:rsid w:val="00370FD5"/>
    <w:rsid w:val="00427AE7"/>
    <w:rsid w:val="0045626D"/>
    <w:rsid w:val="004E0662"/>
    <w:rsid w:val="004F58EC"/>
    <w:rsid w:val="004F655F"/>
    <w:rsid w:val="005212CF"/>
    <w:rsid w:val="005657CF"/>
    <w:rsid w:val="0060452E"/>
    <w:rsid w:val="00662FF4"/>
    <w:rsid w:val="006644A3"/>
    <w:rsid w:val="00674237"/>
    <w:rsid w:val="006A0CE6"/>
    <w:rsid w:val="006A5800"/>
    <w:rsid w:val="006B0599"/>
    <w:rsid w:val="00776E1D"/>
    <w:rsid w:val="007F5C21"/>
    <w:rsid w:val="00857440"/>
    <w:rsid w:val="008C6358"/>
    <w:rsid w:val="008C6822"/>
    <w:rsid w:val="00904432"/>
    <w:rsid w:val="009D01CF"/>
    <w:rsid w:val="00A62F8C"/>
    <w:rsid w:val="00A84D1F"/>
    <w:rsid w:val="00B2273B"/>
    <w:rsid w:val="00B8701D"/>
    <w:rsid w:val="00BA31CF"/>
    <w:rsid w:val="00C7515C"/>
    <w:rsid w:val="00C9032B"/>
    <w:rsid w:val="00CA6B13"/>
    <w:rsid w:val="00CD450D"/>
    <w:rsid w:val="00D11362"/>
    <w:rsid w:val="00D86A7D"/>
    <w:rsid w:val="00D9557F"/>
    <w:rsid w:val="00E063E5"/>
    <w:rsid w:val="00EA3C37"/>
    <w:rsid w:val="00EF0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5FD15"/>
  <w15:chartTrackingRefBased/>
  <w15:docId w15:val="{15BB5B53-4F6E-494E-BF0D-7C5D16A74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1CF"/>
    <w:rPr>
      <w:rFonts w:ascii="Calibri" w:eastAsia="Calibri" w:hAnsi="Calibri" w:cs="Calibri"/>
      <w:lang w:eastAsia="en-GB"/>
    </w:rPr>
  </w:style>
  <w:style w:type="paragraph" w:styleId="Heading2">
    <w:name w:val="heading 2"/>
    <w:basedOn w:val="Normal"/>
    <w:next w:val="Normal"/>
    <w:link w:val="Heading2Char"/>
    <w:uiPriority w:val="9"/>
    <w:unhideWhenUsed/>
    <w:qFormat/>
    <w:rsid w:val="00BA31CF"/>
    <w:pPr>
      <w:keepNext/>
      <w:keepLines/>
      <w:spacing w:before="40" w:after="0"/>
      <w:outlineLvl w:val="1"/>
    </w:pPr>
    <w:rPr>
      <w:color w:val="2F5496"/>
      <w:sz w:val="26"/>
      <w:szCs w:val="26"/>
    </w:rPr>
  </w:style>
  <w:style w:type="paragraph" w:styleId="Heading3">
    <w:name w:val="heading 3"/>
    <w:basedOn w:val="Normal"/>
    <w:next w:val="Normal"/>
    <w:link w:val="Heading3Char"/>
    <w:uiPriority w:val="9"/>
    <w:unhideWhenUsed/>
    <w:qFormat/>
    <w:rsid w:val="00BA31CF"/>
    <w:pPr>
      <w:keepNext/>
      <w:keepLines/>
      <w:spacing w:before="40" w:after="0"/>
      <w:outlineLvl w:val="2"/>
    </w:pPr>
    <w:rPr>
      <w:color w:val="1F38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A31CF"/>
    <w:rPr>
      <w:rFonts w:ascii="Calibri" w:eastAsia="Calibri" w:hAnsi="Calibri" w:cs="Calibri"/>
      <w:color w:val="2F5496"/>
      <w:sz w:val="26"/>
      <w:szCs w:val="26"/>
      <w:lang w:eastAsia="en-GB"/>
    </w:rPr>
  </w:style>
  <w:style w:type="character" w:customStyle="1" w:styleId="Heading3Char">
    <w:name w:val="Heading 3 Char"/>
    <w:basedOn w:val="DefaultParagraphFont"/>
    <w:link w:val="Heading3"/>
    <w:uiPriority w:val="9"/>
    <w:rsid w:val="00BA31CF"/>
    <w:rPr>
      <w:rFonts w:ascii="Calibri" w:eastAsia="Calibri" w:hAnsi="Calibri" w:cs="Calibri"/>
      <w:color w:val="1F3863"/>
      <w:sz w:val="24"/>
      <w:szCs w:val="24"/>
      <w:lang w:eastAsia="en-GB"/>
    </w:rPr>
  </w:style>
  <w:style w:type="paragraph" w:styleId="NormalWeb">
    <w:name w:val="Normal (Web)"/>
    <w:basedOn w:val="Normal"/>
    <w:uiPriority w:val="99"/>
    <w:semiHidden/>
    <w:unhideWhenUsed/>
    <w:rsid w:val="00D1136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D113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427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393630.2020.1774102" TargetMode="External"/><Relationship Id="rId13" Type="http://schemas.openxmlformats.org/officeDocument/2006/relationships/hyperlink" Target="https://www.jstor.org/stable/26393145" TargetMode="External"/><Relationship Id="rId18" Type="http://schemas.openxmlformats.org/officeDocument/2006/relationships/hyperlink" Target="https://doi.org/10.1080/0142639060100421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journals.uchicago.edu/doi/full/10.14318/hau4.3.017" TargetMode="External"/><Relationship Id="rId7" Type="http://schemas.openxmlformats.org/officeDocument/2006/relationships/hyperlink" Target="https://ro.uow.edu.au/scipapers/27" TargetMode="External"/><Relationship Id="rId12" Type="http://schemas.openxmlformats.org/officeDocument/2006/relationships/hyperlink" Target="https://www-tandfonline-com.ezproxy.uwtsd.ac.uk/doi/full/10.1080/13527250903441804" TargetMode="External"/><Relationship Id="rId17" Type="http://schemas.openxmlformats.org/officeDocument/2006/relationships/hyperlink" Target="https://www.nature.com/articles/s41893-021-00694-7"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onlinelibrary.wiley.com/doi/abs/10.1111/cag.12439" TargetMode="External"/><Relationship Id="rId20" Type="http://schemas.openxmlformats.org/officeDocument/2006/relationships/hyperlink" Target="https://search.informit.org/doi/abs/10.3316/INFORMIT.36132429966204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13527258.2019.1703202"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onlinelibrary.wiley.com/doi/abs/10.1111/1745-5871.12362" TargetMode="External"/><Relationship Id="rId23" Type="http://schemas.openxmlformats.org/officeDocument/2006/relationships/hyperlink" Target="https://doi.org/10.1080/089419202317174002" TargetMode="External"/><Relationship Id="rId10" Type="http://schemas.openxmlformats.org/officeDocument/2006/relationships/hyperlink" Target="https://nbn-resolving.org/urn:nbn:de:gbv:7-isbn-978-3-86395-122-1-7" TargetMode="External"/><Relationship Id="rId19" Type="http://schemas.openxmlformats.org/officeDocument/2006/relationships/hyperlink" Target="https://search.proquest.com/docview/1727348407" TargetMode="External"/><Relationship Id="rId4" Type="http://schemas.openxmlformats.org/officeDocument/2006/relationships/styles" Target="styles.xml"/><Relationship Id="rId9" Type="http://schemas.openxmlformats.org/officeDocument/2006/relationships/hyperlink" Target="https://besjournals.onlinelibrary.wiley.com/doi/abs/10.1002/pan3.10040" TargetMode="External"/><Relationship Id="rId14" Type="http://schemas.openxmlformats.org/officeDocument/2006/relationships/hyperlink" Target="https://doi.org/10.1080/03036758.2018.1539405" TargetMode="External"/><Relationship Id="rId22" Type="http://schemas.openxmlformats.org/officeDocument/2006/relationships/hyperlink" Target="https://doi.org/10.1177/12063312134994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ba2bcd7f9634471c56ffe81f16ae00a">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75dea095cf65ad8ed0b83ac9c4f885b3"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0526AC6-18FD-4C51-8CDA-8482A6E5D3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73C0FB-F96F-43E0-8AA5-52DF23D3E5DC}">
  <ds:schemaRefs>
    <ds:schemaRef ds:uri="http://schemas.microsoft.com/sharepoint/v3/contenttype/forms"/>
  </ds:schemaRefs>
</ds:datastoreItem>
</file>

<file path=customXml/itemProps3.xml><?xml version="1.0" encoding="utf-8"?>
<ds:datastoreItem xmlns:ds="http://schemas.openxmlformats.org/officeDocument/2006/customXml" ds:itemID="{0BFDB2CE-C801-4F51-B487-5C47BBF0B225}">
  <ds:schemaRefs>
    <ds:schemaRef ds:uri="http://schemas.microsoft.com/office/infopath/2007/PartnerControls"/>
    <ds:schemaRef ds:uri="dd7bbc2b-1d05-4a2b-aef3-b6f0207d1649"/>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purl.org/dc/elements/1.1/"/>
    <ds:schemaRef ds:uri="d6f7a6e2-a2bb-432a-b406-760b1b1769a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5541</Words>
  <Characters>31586</Characters>
  <Application>Microsoft Office Word</Application>
  <DocSecurity>0</DocSecurity>
  <Lines>263</Lines>
  <Paragraphs>74</Paragraphs>
  <ScaleCrop>false</ScaleCrop>
  <Company/>
  <LinksUpToDate>false</LinksUpToDate>
  <CharactersWithSpaces>37053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Hilary Elizabeth Sweetnam (2024458)</dc:creator>
  <cp:keywords/>
  <dc:description/>
  <cp:lastModifiedBy>Hilary Elizabeth Sweetnam (2024458)</cp:lastModifiedBy>
  <cp:revision>2</cp:revision>
  <cp:lastPrinted>2021-05-07T21:59:00Z</cp:lastPrinted>
  <dcterms:created xsi:type="dcterms:W3CDTF">2021-05-07T22:00:00Z</dcterms:created>
  <dcterms:modified xsi:type="dcterms:W3CDTF">2021-05-07T22:00:00Z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