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E2980" w14:textId="5A93A073" w:rsidR="004F1B07" w:rsidRDefault="004F1B07" w:rsidP="004F1B07">
      <w:pPr>
        <w:autoSpaceDE w:val="0"/>
        <w:autoSpaceDN w:val="0"/>
        <w:adjustRightInd w:val="0"/>
        <w:spacing w:after="80" w:line="640" w:lineRule="atLeast"/>
        <w:rPr>
          <w:rFonts w:ascii="Arial" w:hAnsi="Arial" w:cs="Arial"/>
          <w:b/>
          <w:bCs/>
          <w:color w:val="000000"/>
          <w:kern w:val="0"/>
          <w:sz w:val="42"/>
          <w:szCs w:val="42"/>
        </w:rPr>
      </w:pPr>
      <w:r>
        <w:rPr>
          <w:rFonts w:ascii="Arial" w:hAnsi="Arial" w:cs="Arial"/>
          <w:b/>
          <w:bCs/>
          <w:color w:val="000000"/>
          <w:kern w:val="0"/>
          <w:sz w:val="42"/>
          <w:szCs w:val="42"/>
        </w:rPr>
        <w:t xml:space="preserve">                </w:t>
      </w:r>
      <w:r>
        <w:rPr>
          <w:rFonts w:ascii="Arial" w:hAnsi="Arial" w:cs="Arial"/>
          <w:b/>
          <w:bCs/>
          <w:noProof/>
          <w:color w:val="000000"/>
          <w:kern w:val="0"/>
          <w:sz w:val="42"/>
          <w:szCs w:val="42"/>
        </w:rPr>
        <w:drawing>
          <wp:inline distT="0" distB="0" distL="0" distR="0" wp14:anchorId="3159C2B0" wp14:editId="12EA8CAC">
            <wp:extent cx="2954216" cy="1417955"/>
            <wp:effectExtent l="0" t="0" r="5080" b="4445"/>
            <wp:docPr id="674283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5307" cy="1476076"/>
                    </a:xfrm>
                    <a:prstGeom prst="rect">
                      <a:avLst/>
                    </a:prstGeom>
                    <a:noFill/>
                    <a:ln>
                      <a:noFill/>
                    </a:ln>
                  </pic:spPr>
                </pic:pic>
              </a:graphicData>
            </a:graphic>
          </wp:inline>
        </w:drawing>
      </w:r>
    </w:p>
    <w:p w14:paraId="6A607BBA" w14:textId="77777777" w:rsidR="004F1B07" w:rsidRDefault="004F1B07" w:rsidP="004F1B07">
      <w:pPr>
        <w:autoSpaceDE w:val="0"/>
        <w:autoSpaceDN w:val="0"/>
        <w:adjustRightInd w:val="0"/>
        <w:spacing w:after="80" w:line="640" w:lineRule="atLeast"/>
        <w:jc w:val="center"/>
        <w:rPr>
          <w:rFonts w:ascii="Arial" w:hAnsi="Arial" w:cs="Arial"/>
          <w:b/>
          <w:bCs/>
          <w:color w:val="000000"/>
          <w:kern w:val="0"/>
          <w:sz w:val="42"/>
          <w:szCs w:val="42"/>
        </w:rPr>
      </w:pPr>
    </w:p>
    <w:p w14:paraId="6B1CFE94" w14:textId="6C7F4AAB" w:rsidR="004F1B07" w:rsidRDefault="004F1B07" w:rsidP="004F1B07">
      <w:pPr>
        <w:autoSpaceDE w:val="0"/>
        <w:autoSpaceDN w:val="0"/>
        <w:adjustRightInd w:val="0"/>
        <w:spacing w:after="80" w:line="640" w:lineRule="atLeast"/>
        <w:jc w:val="center"/>
        <w:rPr>
          <w:rFonts w:ascii="Arial" w:hAnsi="Arial" w:cs="Arial"/>
          <w:b/>
          <w:bCs/>
          <w:color w:val="000000"/>
          <w:kern w:val="0"/>
          <w:sz w:val="42"/>
          <w:szCs w:val="42"/>
        </w:rPr>
      </w:pPr>
      <w:r>
        <w:rPr>
          <w:rFonts w:ascii="Arial" w:hAnsi="Arial" w:cs="Arial"/>
          <w:b/>
          <w:bCs/>
          <w:color w:val="000000"/>
          <w:kern w:val="0"/>
          <w:sz w:val="42"/>
          <w:szCs w:val="42"/>
        </w:rPr>
        <w:t>MASTER OF BUSINESS ADMINISTRATION</w:t>
      </w:r>
    </w:p>
    <w:p w14:paraId="525F7265" w14:textId="77777777" w:rsidR="004F1B07" w:rsidRDefault="004F1B07" w:rsidP="004F1B07">
      <w:pPr>
        <w:autoSpaceDE w:val="0"/>
        <w:autoSpaceDN w:val="0"/>
        <w:adjustRightInd w:val="0"/>
        <w:spacing w:after="0" w:line="480" w:lineRule="atLeast"/>
        <w:jc w:val="center"/>
        <w:rPr>
          <w:rFonts w:ascii="Arial" w:hAnsi="Arial" w:cs="Arial"/>
          <w:color w:val="000000"/>
          <w:kern w:val="0"/>
          <w:sz w:val="32"/>
          <w:szCs w:val="32"/>
        </w:rPr>
      </w:pPr>
      <w:r>
        <w:rPr>
          <w:rFonts w:ascii="Arial" w:hAnsi="Arial" w:cs="Arial"/>
          <w:color w:val="000000"/>
          <w:kern w:val="0"/>
          <w:sz w:val="32"/>
          <w:szCs w:val="32"/>
        </w:rPr>
        <w:t> </w:t>
      </w:r>
    </w:p>
    <w:p w14:paraId="32B4657C" w14:textId="77777777" w:rsidR="004F1B07" w:rsidRDefault="004F1B07" w:rsidP="004F1B07">
      <w:pPr>
        <w:autoSpaceDE w:val="0"/>
        <w:autoSpaceDN w:val="0"/>
        <w:adjustRightInd w:val="0"/>
        <w:spacing w:after="80" w:line="640" w:lineRule="atLeast"/>
        <w:jc w:val="center"/>
        <w:rPr>
          <w:rFonts w:ascii="Arial" w:hAnsi="Arial" w:cs="Arial"/>
          <w:b/>
          <w:bCs/>
          <w:color w:val="000000"/>
          <w:kern w:val="0"/>
          <w:sz w:val="42"/>
          <w:szCs w:val="42"/>
        </w:rPr>
      </w:pPr>
      <w:r>
        <w:rPr>
          <w:rFonts w:ascii="Arial" w:hAnsi="Arial" w:cs="Arial"/>
          <w:b/>
          <w:bCs/>
          <w:color w:val="000000"/>
          <w:kern w:val="0"/>
          <w:sz w:val="42"/>
          <w:szCs w:val="42"/>
        </w:rPr>
        <w:t>MARKETING MANAGEMENT</w:t>
      </w:r>
    </w:p>
    <w:p w14:paraId="4DA602E3" w14:textId="77777777" w:rsidR="004F1B07" w:rsidRDefault="004F1B07" w:rsidP="004F1B07">
      <w:pPr>
        <w:autoSpaceDE w:val="0"/>
        <w:autoSpaceDN w:val="0"/>
        <w:adjustRightInd w:val="0"/>
        <w:spacing w:after="80" w:line="640" w:lineRule="atLeast"/>
        <w:jc w:val="center"/>
        <w:rPr>
          <w:rFonts w:ascii="Arial" w:hAnsi="Arial" w:cs="Arial"/>
          <w:b/>
          <w:bCs/>
          <w:color w:val="000000"/>
          <w:kern w:val="0"/>
          <w:sz w:val="42"/>
          <w:szCs w:val="42"/>
        </w:rPr>
      </w:pPr>
      <w:r>
        <w:rPr>
          <w:rFonts w:ascii="Arial" w:hAnsi="Arial" w:cs="Arial"/>
          <w:b/>
          <w:bCs/>
          <w:color w:val="000000"/>
          <w:kern w:val="0"/>
          <w:sz w:val="42"/>
          <w:szCs w:val="42"/>
        </w:rPr>
        <w:t>LCMB7024</w:t>
      </w:r>
    </w:p>
    <w:p w14:paraId="74C9AB2F" w14:textId="77777777" w:rsidR="004F1B07" w:rsidRDefault="004F1B07" w:rsidP="004F1B07">
      <w:pPr>
        <w:autoSpaceDE w:val="0"/>
        <w:autoSpaceDN w:val="0"/>
        <w:adjustRightInd w:val="0"/>
        <w:spacing w:after="0" w:line="640" w:lineRule="atLeast"/>
        <w:jc w:val="center"/>
        <w:rPr>
          <w:rFonts w:ascii="Arial" w:hAnsi="Arial" w:cs="Arial"/>
          <w:color w:val="000000"/>
          <w:kern w:val="0"/>
          <w:sz w:val="32"/>
          <w:szCs w:val="32"/>
        </w:rPr>
      </w:pPr>
      <w:r>
        <w:rPr>
          <w:rFonts w:ascii="Arial" w:hAnsi="Arial" w:cs="Arial"/>
          <w:color w:val="000000"/>
          <w:kern w:val="0"/>
          <w:sz w:val="42"/>
          <w:szCs w:val="42"/>
        </w:rPr>
        <w:t> </w:t>
      </w:r>
    </w:p>
    <w:p w14:paraId="77B9196A" w14:textId="77777777" w:rsidR="004F1B07" w:rsidRDefault="004F1B07" w:rsidP="004F1B07">
      <w:pPr>
        <w:autoSpaceDE w:val="0"/>
        <w:autoSpaceDN w:val="0"/>
        <w:adjustRightInd w:val="0"/>
        <w:spacing w:after="80" w:line="640" w:lineRule="atLeast"/>
        <w:jc w:val="center"/>
        <w:rPr>
          <w:rFonts w:ascii="Arial" w:hAnsi="Arial" w:cs="Arial"/>
          <w:b/>
          <w:bCs/>
          <w:color w:val="000000"/>
          <w:kern w:val="0"/>
          <w:sz w:val="42"/>
          <w:szCs w:val="42"/>
        </w:rPr>
      </w:pPr>
      <w:r>
        <w:rPr>
          <w:rFonts w:ascii="Arial" w:hAnsi="Arial" w:cs="Arial"/>
          <w:b/>
          <w:bCs/>
          <w:color w:val="000000"/>
          <w:kern w:val="0"/>
          <w:sz w:val="42"/>
          <w:szCs w:val="42"/>
        </w:rPr>
        <w:t>ASSESSMENT COMPONENT 2: MARKETING STRATEGIES PORTFOLIO</w:t>
      </w:r>
    </w:p>
    <w:p w14:paraId="1310F491" w14:textId="77777777" w:rsidR="004F1B07" w:rsidRDefault="004F1B07" w:rsidP="004F1B07">
      <w:pPr>
        <w:autoSpaceDE w:val="0"/>
        <w:autoSpaceDN w:val="0"/>
        <w:adjustRightInd w:val="0"/>
        <w:spacing w:after="80" w:line="640" w:lineRule="atLeast"/>
        <w:jc w:val="center"/>
        <w:rPr>
          <w:rFonts w:ascii="Arial" w:hAnsi="Arial" w:cs="Arial"/>
          <w:b/>
          <w:bCs/>
          <w:color w:val="000000"/>
          <w:kern w:val="0"/>
          <w:sz w:val="42"/>
          <w:szCs w:val="42"/>
        </w:rPr>
      </w:pPr>
      <w:r>
        <w:rPr>
          <w:rFonts w:ascii="Arial" w:hAnsi="Arial" w:cs="Arial"/>
          <w:b/>
          <w:bCs/>
          <w:color w:val="000000"/>
          <w:kern w:val="0"/>
          <w:sz w:val="42"/>
          <w:szCs w:val="42"/>
        </w:rPr>
        <w:t> </w:t>
      </w:r>
    </w:p>
    <w:p w14:paraId="0C83184D" w14:textId="77777777" w:rsidR="004F1B07" w:rsidRDefault="004F1B07" w:rsidP="004F1B07">
      <w:pPr>
        <w:autoSpaceDE w:val="0"/>
        <w:autoSpaceDN w:val="0"/>
        <w:adjustRightInd w:val="0"/>
        <w:spacing w:after="80" w:line="640" w:lineRule="atLeast"/>
        <w:jc w:val="center"/>
        <w:rPr>
          <w:rFonts w:ascii="Arial" w:hAnsi="Arial" w:cs="Arial"/>
          <w:b/>
          <w:bCs/>
          <w:color w:val="000000"/>
          <w:kern w:val="0"/>
          <w:sz w:val="42"/>
          <w:szCs w:val="42"/>
        </w:rPr>
      </w:pPr>
      <w:r>
        <w:rPr>
          <w:rFonts w:ascii="Arial" w:hAnsi="Arial" w:cs="Arial"/>
          <w:b/>
          <w:bCs/>
          <w:color w:val="000000"/>
          <w:kern w:val="0"/>
          <w:sz w:val="42"/>
          <w:szCs w:val="42"/>
        </w:rPr>
        <w:t>BRAND EXTENSION: ATHER ENERGY</w:t>
      </w:r>
    </w:p>
    <w:p w14:paraId="0DCB8388" w14:textId="516773A4" w:rsidR="004F1B07" w:rsidRPr="00E95E6D" w:rsidRDefault="004F1B07" w:rsidP="00E95E6D">
      <w:pPr>
        <w:autoSpaceDE w:val="0"/>
        <w:autoSpaceDN w:val="0"/>
        <w:adjustRightInd w:val="0"/>
        <w:spacing w:after="80" w:line="480" w:lineRule="atLeast"/>
        <w:jc w:val="center"/>
        <w:rPr>
          <w:rFonts w:ascii="Arial" w:hAnsi="Arial" w:cs="Arial"/>
          <w:b/>
          <w:bCs/>
          <w:color w:val="000000"/>
          <w:kern w:val="0"/>
          <w:sz w:val="42"/>
          <w:szCs w:val="42"/>
        </w:rPr>
      </w:pPr>
      <w:r>
        <w:rPr>
          <w:rFonts w:ascii="Arial" w:hAnsi="Arial" w:cs="Arial"/>
          <w:b/>
          <w:bCs/>
          <w:color w:val="000000"/>
          <w:kern w:val="0"/>
          <w:sz w:val="32"/>
          <w:szCs w:val="32"/>
        </w:rPr>
        <w:t> </w:t>
      </w:r>
    </w:p>
    <w:p w14:paraId="5381BEFD" w14:textId="77777777" w:rsidR="004F1B07" w:rsidRDefault="004F1B07" w:rsidP="004F1B07">
      <w:pPr>
        <w:autoSpaceDE w:val="0"/>
        <w:autoSpaceDN w:val="0"/>
        <w:adjustRightInd w:val="0"/>
        <w:spacing w:after="0" w:line="480" w:lineRule="atLeast"/>
        <w:jc w:val="center"/>
        <w:rPr>
          <w:rFonts w:ascii="Arial" w:hAnsi="Arial" w:cs="Arial"/>
          <w:color w:val="000000"/>
          <w:kern w:val="0"/>
          <w:sz w:val="32"/>
          <w:szCs w:val="32"/>
        </w:rPr>
      </w:pPr>
      <w:r>
        <w:rPr>
          <w:rFonts w:ascii="Arial" w:hAnsi="Arial" w:cs="Arial"/>
          <w:color w:val="000000"/>
          <w:kern w:val="0"/>
          <w:sz w:val="32"/>
          <w:szCs w:val="32"/>
        </w:rPr>
        <w:t> </w:t>
      </w:r>
    </w:p>
    <w:p w14:paraId="3388CDCC" w14:textId="77777777" w:rsidR="004F1B07" w:rsidRDefault="004F1B07" w:rsidP="004F1B07">
      <w:pPr>
        <w:autoSpaceDE w:val="0"/>
        <w:autoSpaceDN w:val="0"/>
        <w:adjustRightInd w:val="0"/>
        <w:spacing w:after="80" w:line="640" w:lineRule="atLeast"/>
        <w:jc w:val="center"/>
        <w:rPr>
          <w:rFonts w:ascii="Arial" w:hAnsi="Arial" w:cs="Arial"/>
          <w:b/>
          <w:bCs/>
          <w:color w:val="000000"/>
          <w:kern w:val="0"/>
          <w:sz w:val="42"/>
          <w:szCs w:val="42"/>
        </w:rPr>
      </w:pPr>
      <w:r>
        <w:rPr>
          <w:rFonts w:ascii="Arial" w:hAnsi="Arial" w:cs="Arial"/>
          <w:b/>
          <w:bCs/>
          <w:color w:val="000000"/>
          <w:kern w:val="0"/>
          <w:sz w:val="42"/>
          <w:szCs w:val="42"/>
        </w:rPr>
        <w:t>Lecturer name: Dr. Laila Maazouz</w:t>
      </w:r>
    </w:p>
    <w:p w14:paraId="224BD571" w14:textId="77777777" w:rsidR="004F1B07" w:rsidRDefault="004F1B07" w:rsidP="004F1B07">
      <w:pPr>
        <w:autoSpaceDE w:val="0"/>
        <w:autoSpaceDN w:val="0"/>
        <w:adjustRightInd w:val="0"/>
        <w:spacing w:after="80" w:line="640" w:lineRule="atLeast"/>
        <w:jc w:val="center"/>
        <w:rPr>
          <w:rFonts w:ascii="Arial" w:hAnsi="Arial" w:cs="Arial"/>
          <w:b/>
          <w:bCs/>
          <w:color w:val="000000"/>
          <w:kern w:val="0"/>
          <w:sz w:val="42"/>
          <w:szCs w:val="42"/>
        </w:rPr>
      </w:pPr>
      <w:r>
        <w:rPr>
          <w:rFonts w:ascii="Arial" w:hAnsi="Arial" w:cs="Arial"/>
          <w:b/>
          <w:bCs/>
          <w:color w:val="000000"/>
          <w:kern w:val="0"/>
          <w:sz w:val="42"/>
          <w:szCs w:val="42"/>
        </w:rPr>
        <w:t> </w:t>
      </w:r>
    </w:p>
    <w:p w14:paraId="52480AB8" w14:textId="77777777" w:rsidR="004F1B07" w:rsidRDefault="004F1B07" w:rsidP="004F1B07">
      <w:pPr>
        <w:autoSpaceDE w:val="0"/>
        <w:autoSpaceDN w:val="0"/>
        <w:adjustRightInd w:val="0"/>
        <w:spacing w:after="80" w:line="640" w:lineRule="atLeast"/>
        <w:jc w:val="center"/>
        <w:rPr>
          <w:rFonts w:ascii="Arial" w:hAnsi="Arial" w:cs="Arial"/>
          <w:b/>
          <w:bCs/>
          <w:color w:val="000000"/>
          <w:kern w:val="0"/>
          <w:sz w:val="42"/>
          <w:szCs w:val="42"/>
        </w:rPr>
      </w:pPr>
      <w:r>
        <w:rPr>
          <w:rFonts w:ascii="Arial" w:hAnsi="Arial" w:cs="Arial"/>
          <w:b/>
          <w:bCs/>
          <w:color w:val="000000"/>
          <w:kern w:val="0"/>
          <w:sz w:val="42"/>
          <w:szCs w:val="42"/>
        </w:rPr>
        <w:t xml:space="preserve">Student name: Vishal </w:t>
      </w:r>
      <w:proofErr w:type="spellStart"/>
      <w:r>
        <w:rPr>
          <w:rFonts w:ascii="Arial" w:hAnsi="Arial" w:cs="Arial"/>
          <w:b/>
          <w:bCs/>
          <w:color w:val="000000"/>
          <w:kern w:val="0"/>
          <w:sz w:val="42"/>
          <w:szCs w:val="42"/>
        </w:rPr>
        <w:t>Sapkal</w:t>
      </w:r>
      <w:proofErr w:type="spellEnd"/>
    </w:p>
    <w:p w14:paraId="30D0174D" w14:textId="77777777" w:rsidR="004F1B07" w:rsidRDefault="004F1B07" w:rsidP="004F1B07">
      <w:pPr>
        <w:autoSpaceDE w:val="0"/>
        <w:autoSpaceDN w:val="0"/>
        <w:adjustRightInd w:val="0"/>
        <w:spacing w:after="80" w:line="640" w:lineRule="atLeast"/>
        <w:jc w:val="center"/>
        <w:rPr>
          <w:rFonts w:ascii="Arial" w:hAnsi="Arial" w:cs="Arial"/>
          <w:b/>
          <w:bCs/>
          <w:color w:val="000000"/>
          <w:kern w:val="0"/>
          <w:sz w:val="42"/>
          <w:szCs w:val="42"/>
        </w:rPr>
      </w:pPr>
      <w:r>
        <w:rPr>
          <w:rFonts w:ascii="Arial" w:hAnsi="Arial" w:cs="Arial"/>
          <w:b/>
          <w:bCs/>
          <w:color w:val="000000"/>
          <w:kern w:val="0"/>
          <w:sz w:val="42"/>
          <w:szCs w:val="42"/>
        </w:rPr>
        <w:t>Student ID: 2521152</w:t>
      </w:r>
    </w:p>
    <w:p w14:paraId="4A911E4E" w14:textId="0F5A1D0E" w:rsidR="00E95E6D" w:rsidRDefault="00E95E6D" w:rsidP="004F1B07">
      <w:pPr>
        <w:autoSpaceDE w:val="0"/>
        <w:autoSpaceDN w:val="0"/>
        <w:adjustRightInd w:val="0"/>
        <w:spacing w:after="80" w:line="640" w:lineRule="atLeast"/>
        <w:jc w:val="center"/>
        <w:rPr>
          <w:rFonts w:ascii="Arial" w:hAnsi="Arial" w:cs="Arial"/>
          <w:b/>
          <w:bCs/>
          <w:color w:val="000000"/>
          <w:kern w:val="0"/>
          <w:sz w:val="42"/>
          <w:szCs w:val="42"/>
        </w:rPr>
      </w:pPr>
      <w:r>
        <w:rPr>
          <w:rFonts w:ascii="Arial" w:hAnsi="Arial" w:cs="Arial"/>
          <w:b/>
          <w:bCs/>
          <w:color w:val="000000"/>
          <w:kern w:val="0"/>
          <w:sz w:val="42"/>
          <w:szCs w:val="42"/>
        </w:rPr>
        <w:t>Word count: 2713.</w:t>
      </w:r>
    </w:p>
    <w:p w14:paraId="2182A696" w14:textId="77777777" w:rsidR="004F1B07" w:rsidRDefault="004F1B07" w:rsidP="004F1B07">
      <w:pPr>
        <w:autoSpaceDE w:val="0"/>
        <w:autoSpaceDN w:val="0"/>
        <w:adjustRightInd w:val="0"/>
        <w:spacing w:after="80" w:line="276" w:lineRule="auto"/>
        <w:jc w:val="both"/>
        <w:rPr>
          <w:rFonts w:ascii="Arial" w:hAnsi="Arial" w:cs="Arial"/>
          <w:b/>
          <w:bCs/>
          <w:color w:val="000000"/>
          <w:kern w:val="0"/>
        </w:rPr>
      </w:pPr>
      <w:r w:rsidRPr="004F1B07">
        <w:rPr>
          <w:rFonts w:ascii="Arial" w:hAnsi="Arial" w:cs="Arial"/>
          <w:b/>
          <w:bCs/>
          <w:color w:val="000000"/>
          <w:kern w:val="0"/>
        </w:rPr>
        <w:t> </w:t>
      </w:r>
    </w:p>
    <w:sdt>
      <w:sdtPr>
        <w:rPr>
          <w:rFonts w:asciiTheme="minorHAnsi" w:eastAsiaTheme="minorHAnsi" w:hAnsiTheme="minorHAnsi" w:cstheme="minorBidi"/>
          <w:b w:val="0"/>
          <w:bCs w:val="0"/>
          <w:color w:val="auto"/>
          <w:kern w:val="2"/>
          <w:sz w:val="24"/>
          <w:szCs w:val="24"/>
          <w:lang w:val="en-GB"/>
          <w14:ligatures w14:val="standardContextual"/>
        </w:rPr>
        <w:id w:val="-1305618362"/>
        <w:docPartObj>
          <w:docPartGallery w:val="Table of Contents"/>
          <w:docPartUnique/>
        </w:docPartObj>
      </w:sdtPr>
      <w:sdtEndPr>
        <w:rPr>
          <w:noProof/>
        </w:rPr>
      </w:sdtEndPr>
      <w:sdtContent>
        <w:p w14:paraId="4B53AF34" w14:textId="5DC9C600" w:rsidR="005139BD" w:rsidRPr="00E95E6D" w:rsidRDefault="005139BD">
          <w:pPr>
            <w:pStyle w:val="TOCHeading"/>
            <w:rPr>
              <w:color w:val="000000" w:themeColor="text1"/>
            </w:rPr>
          </w:pPr>
          <w:r w:rsidRPr="00E95E6D">
            <w:rPr>
              <w:color w:val="000000" w:themeColor="text1"/>
            </w:rPr>
            <w:t>Table of Contents</w:t>
          </w:r>
        </w:p>
        <w:p w14:paraId="4F91CE1E" w14:textId="705EA84F" w:rsidR="00E95E6D" w:rsidRDefault="005139BD">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8710772" w:history="1">
            <w:r w:rsidR="00E95E6D" w:rsidRPr="00D22911">
              <w:rPr>
                <w:rStyle w:val="Hyperlink"/>
                <w:rFonts w:ascii="Arial" w:hAnsi="Arial" w:cs="Arial"/>
                <w:noProof/>
              </w:rPr>
              <w:t>Element 1: Brand Extension Poster Presentation</w:t>
            </w:r>
            <w:r w:rsidR="00E95E6D">
              <w:rPr>
                <w:noProof/>
                <w:webHidden/>
              </w:rPr>
              <w:tab/>
            </w:r>
            <w:r w:rsidR="00E95E6D">
              <w:rPr>
                <w:noProof/>
                <w:webHidden/>
              </w:rPr>
              <w:fldChar w:fldCharType="begin"/>
            </w:r>
            <w:r w:rsidR="00E95E6D">
              <w:rPr>
                <w:noProof/>
                <w:webHidden/>
              </w:rPr>
              <w:instrText xml:space="preserve"> PAGEREF _Toc228710772 \h </w:instrText>
            </w:r>
            <w:r w:rsidR="00E95E6D">
              <w:rPr>
                <w:noProof/>
                <w:webHidden/>
              </w:rPr>
            </w:r>
            <w:r w:rsidR="00E95E6D">
              <w:rPr>
                <w:noProof/>
                <w:webHidden/>
              </w:rPr>
              <w:fldChar w:fldCharType="separate"/>
            </w:r>
            <w:r w:rsidR="00E95E6D">
              <w:rPr>
                <w:noProof/>
                <w:webHidden/>
              </w:rPr>
              <w:t>3</w:t>
            </w:r>
            <w:r w:rsidR="00E95E6D">
              <w:rPr>
                <w:noProof/>
                <w:webHidden/>
              </w:rPr>
              <w:fldChar w:fldCharType="end"/>
            </w:r>
          </w:hyperlink>
        </w:p>
        <w:p w14:paraId="279D31E3" w14:textId="12A46B86" w:rsidR="00E95E6D" w:rsidRDefault="00E95E6D">
          <w:pPr>
            <w:pStyle w:val="TOC1"/>
            <w:tabs>
              <w:tab w:val="right" w:leader="dot" w:pos="9016"/>
            </w:tabs>
            <w:rPr>
              <w:rFonts w:eastAsiaTheme="minorEastAsia"/>
              <w:b w:val="0"/>
              <w:bCs w:val="0"/>
              <w:i w:val="0"/>
              <w:iCs w:val="0"/>
              <w:noProof/>
              <w:lang w:eastAsia="en-GB"/>
            </w:rPr>
          </w:pPr>
          <w:hyperlink w:anchor="_Toc228710773" w:history="1">
            <w:r w:rsidRPr="00D2291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_Toc228710773 \h </w:instrText>
            </w:r>
            <w:r>
              <w:rPr>
                <w:noProof/>
                <w:webHidden/>
              </w:rPr>
            </w:r>
            <w:r>
              <w:rPr>
                <w:noProof/>
                <w:webHidden/>
              </w:rPr>
              <w:fldChar w:fldCharType="separate"/>
            </w:r>
            <w:r>
              <w:rPr>
                <w:noProof/>
                <w:webHidden/>
              </w:rPr>
              <w:t>4</w:t>
            </w:r>
            <w:r>
              <w:rPr>
                <w:noProof/>
                <w:webHidden/>
              </w:rPr>
              <w:fldChar w:fldCharType="end"/>
            </w:r>
          </w:hyperlink>
        </w:p>
        <w:p w14:paraId="548F94E6" w14:textId="2D86496E" w:rsidR="00E95E6D" w:rsidRDefault="00E95E6D">
          <w:pPr>
            <w:pStyle w:val="TOC1"/>
            <w:tabs>
              <w:tab w:val="right" w:leader="dot" w:pos="9016"/>
            </w:tabs>
            <w:rPr>
              <w:rFonts w:eastAsiaTheme="minorEastAsia"/>
              <w:b w:val="0"/>
              <w:bCs w:val="0"/>
              <w:i w:val="0"/>
              <w:iCs w:val="0"/>
              <w:noProof/>
              <w:lang w:eastAsia="en-GB"/>
            </w:rPr>
          </w:pPr>
          <w:hyperlink w:anchor="_Toc228710774" w:history="1">
            <w:r w:rsidRPr="00D22911">
              <w:rPr>
                <w:rStyle w:val="Hyperlink"/>
                <w:noProof/>
              </w:rPr>
              <w:t>Element 2: STDP Analysis</w:t>
            </w:r>
            <w:r>
              <w:rPr>
                <w:noProof/>
                <w:webHidden/>
              </w:rPr>
              <w:tab/>
            </w:r>
            <w:r>
              <w:rPr>
                <w:noProof/>
                <w:webHidden/>
              </w:rPr>
              <w:fldChar w:fldCharType="begin"/>
            </w:r>
            <w:r>
              <w:rPr>
                <w:noProof/>
                <w:webHidden/>
              </w:rPr>
              <w:instrText xml:space="preserve"> PAGEREF _Toc228710774 \h </w:instrText>
            </w:r>
            <w:r>
              <w:rPr>
                <w:noProof/>
                <w:webHidden/>
              </w:rPr>
            </w:r>
            <w:r>
              <w:rPr>
                <w:noProof/>
                <w:webHidden/>
              </w:rPr>
              <w:fldChar w:fldCharType="separate"/>
            </w:r>
            <w:r>
              <w:rPr>
                <w:noProof/>
                <w:webHidden/>
              </w:rPr>
              <w:t>4</w:t>
            </w:r>
            <w:r>
              <w:rPr>
                <w:noProof/>
                <w:webHidden/>
              </w:rPr>
              <w:fldChar w:fldCharType="end"/>
            </w:r>
          </w:hyperlink>
        </w:p>
        <w:p w14:paraId="235027AE" w14:textId="27A64914" w:rsidR="00E95E6D" w:rsidRDefault="00E95E6D">
          <w:pPr>
            <w:pStyle w:val="TOC1"/>
            <w:tabs>
              <w:tab w:val="right" w:leader="dot" w:pos="9016"/>
            </w:tabs>
            <w:rPr>
              <w:rFonts w:eastAsiaTheme="minorEastAsia"/>
              <w:b w:val="0"/>
              <w:bCs w:val="0"/>
              <w:i w:val="0"/>
              <w:iCs w:val="0"/>
              <w:noProof/>
              <w:lang w:eastAsia="en-GB"/>
            </w:rPr>
          </w:pPr>
          <w:hyperlink w:anchor="_Toc228710775" w:history="1">
            <w:r w:rsidRPr="00D22911">
              <w:rPr>
                <w:rStyle w:val="Hyperlink"/>
                <w:noProof/>
              </w:rPr>
              <w:t>Element 3. Marketing Mix</w:t>
            </w:r>
            <w:r>
              <w:rPr>
                <w:noProof/>
                <w:webHidden/>
              </w:rPr>
              <w:tab/>
            </w:r>
            <w:r>
              <w:rPr>
                <w:noProof/>
                <w:webHidden/>
              </w:rPr>
              <w:fldChar w:fldCharType="begin"/>
            </w:r>
            <w:r>
              <w:rPr>
                <w:noProof/>
                <w:webHidden/>
              </w:rPr>
              <w:instrText xml:space="preserve"> PAGEREF _Toc228710775 \h </w:instrText>
            </w:r>
            <w:r>
              <w:rPr>
                <w:noProof/>
                <w:webHidden/>
              </w:rPr>
            </w:r>
            <w:r>
              <w:rPr>
                <w:noProof/>
                <w:webHidden/>
              </w:rPr>
              <w:fldChar w:fldCharType="separate"/>
            </w:r>
            <w:r>
              <w:rPr>
                <w:noProof/>
                <w:webHidden/>
              </w:rPr>
              <w:t>8</w:t>
            </w:r>
            <w:r>
              <w:rPr>
                <w:noProof/>
                <w:webHidden/>
              </w:rPr>
              <w:fldChar w:fldCharType="end"/>
            </w:r>
          </w:hyperlink>
        </w:p>
        <w:p w14:paraId="550EF5CF" w14:textId="24F05554" w:rsidR="00E95E6D" w:rsidRDefault="00E95E6D">
          <w:pPr>
            <w:pStyle w:val="TOC1"/>
            <w:tabs>
              <w:tab w:val="right" w:leader="dot" w:pos="9016"/>
            </w:tabs>
            <w:rPr>
              <w:rFonts w:eastAsiaTheme="minorEastAsia"/>
              <w:b w:val="0"/>
              <w:bCs w:val="0"/>
              <w:i w:val="0"/>
              <w:iCs w:val="0"/>
              <w:noProof/>
              <w:lang w:eastAsia="en-GB"/>
            </w:rPr>
          </w:pPr>
          <w:hyperlink w:anchor="_Toc228710776" w:history="1">
            <w:r w:rsidRPr="00D22911">
              <w:rPr>
                <w:rStyle w:val="Hyperlink"/>
                <w:noProof/>
              </w:rPr>
              <w:t>Element 4: Reflection</w:t>
            </w:r>
            <w:r>
              <w:rPr>
                <w:noProof/>
                <w:webHidden/>
              </w:rPr>
              <w:tab/>
            </w:r>
            <w:r>
              <w:rPr>
                <w:noProof/>
                <w:webHidden/>
              </w:rPr>
              <w:fldChar w:fldCharType="begin"/>
            </w:r>
            <w:r>
              <w:rPr>
                <w:noProof/>
                <w:webHidden/>
              </w:rPr>
              <w:instrText xml:space="preserve"> PAGEREF _Toc228710776 \h </w:instrText>
            </w:r>
            <w:r>
              <w:rPr>
                <w:noProof/>
                <w:webHidden/>
              </w:rPr>
            </w:r>
            <w:r>
              <w:rPr>
                <w:noProof/>
                <w:webHidden/>
              </w:rPr>
              <w:fldChar w:fldCharType="separate"/>
            </w:r>
            <w:r>
              <w:rPr>
                <w:noProof/>
                <w:webHidden/>
              </w:rPr>
              <w:t>12</w:t>
            </w:r>
            <w:r>
              <w:rPr>
                <w:noProof/>
                <w:webHidden/>
              </w:rPr>
              <w:fldChar w:fldCharType="end"/>
            </w:r>
          </w:hyperlink>
        </w:p>
        <w:p w14:paraId="39F8D77F" w14:textId="1357EE26" w:rsidR="00E95E6D" w:rsidRDefault="00E95E6D">
          <w:pPr>
            <w:pStyle w:val="TOC1"/>
            <w:tabs>
              <w:tab w:val="right" w:leader="dot" w:pos="9016"/>
            </w:tabs>
            <w:rPr>
              <w:rFonts w:eastAsiaTheme="minorEastAsia"/>
              <w:b w:val="0"/>
              <w:bCs w:val="0"/>
              <w:i w:val="0"/>
              <w:iCs w:val="0"/>
              <w:noProof/>
              <w:lang w:eastAsia="en-GB"/>
            </w:rPr>
          </w:pPr>
          <w:hyperlink w:anchor="_Toc228710777" w:history="1">
            <w:r w:rsidRPr="00D22911">
              <w:rPr>
                <w:rStyle w:val="Hyperlink"/>
                <w:noProof/>
              </w:rPr>
              <w:t>References</w:t>
            </w:r>
            <w:r>
              <w:rPr>
                <w:noProof/>
                <w:webHidden/>
              </w:rPr>
              <w:tab/>
            </w:r>
            <w:r>
              <w:rPr>
                <w:noProof/>
                <w:webHidden/>
              </w:rPr>
              <w:fldChar w:fldCharType="begin"/>
            </w:r>
            <w:r>
              <w:rPr>
                <w:noProof/>
                <w:webHidden/>
              </w:rPr>
              <w:instrText xml:space="preserve"> PAGEREF _Toc228710777 \h </w:instrText>
            </w:r>
            <w:r>
              <w:rPr>
                <w:noProof/>
                <w:webHidden/>
              </w:rPr>
            </w:r>
            <w:r>
              <w:rPr>
                <w:noProof/>
                <w:webHidden/>
              </w:rPr>
              <w:fldChar w:fldCharType="separate"/>
            </w:r>
            <w:r>
              <w:rPr>
                <w:noProof/>
                <w:webHidden/>
              </w:rPr>
              <w:t>13</w:t>
            </w:r>
            <w:r>
              <w:rPr>
                <w:noProof/>
                <w:webHidden/>
              </w:rPr>
              <w:fldChar w:fldCharType="end"/>
            </w:r>
          </w:hyperlink>
        </w:p>
        <w:p w14:paraId="647536AE" w14:textId="1A70000D" w:rsidR="005139BD" w:rsidRDefault="005139BD">
          <w:r>
            <w:rPr>
              <w:b/>
              <w:bCs/>
              <w:noProof/>
            </w:rPr>
            <w:fldChar w:fldCharType="end"/>
          </w:r>
        </w:p>
      </w:sdtContent>
    </w:sdt>
    <w:p w14:paraId="5D2AD517" w14:textId="77777777" w:rsidR="009C16B8" w:rsidRDefault="009C16B8">
      <w:pPr>
        <w:rPr>
          <w:rFonts w:ascii="Arial" w:hAnsi="Arial" w:cs="Arial"/>
          <w:b/>
          <w:bCs/>
          <w:color w:val="000000"/>
          <w:kern w:val="0"/>
        </w:rPr>
      </w:pPr>
      <w:r>
        <w:rPr>
          <w:rFonts w:ascii="Arial" w:hAnsi="Arial" w:cs="Arial"/>
          <w:b/>
          <w:bCs/>
          <w:color w:val="000000"/>
          <w:kern w:val="0"/>
        </w:rPr>
        <w:br w:type="page"/>
      </w:r>
    </w:p>
    <w:p w14:paraId="3A1AB260" w14:textId="12E458AE" w:rsidR="004F1B07" w:rsidRPr="005139BD" w:rsidRDefault="004F1B07" w:rsidP="005139BD">
      <w:pPr>
        <w:pStyle w:val="Heading1"/>
        <w:rPr>
          <w:rFonts w:ascii="Arial" w:hAnsi="Arial" w:cs="Arial"/>
          <w:b/>
          <w:bCs/>
          <w:color w:val="000000" w:themeColor="text1"/>
          <w:sz w:val="24"/>
          <w:szCs w:val="24"/>
        </w:rPr>
      </w:pPr>
      <w:bookmarkStart w:id="0" w:name="_Toc228710772"/>
      <w:r w:rsidRPr="005139BD">
        <w:rPr>
          <w:rFonts w:ascii="Arial" w:hAnsi="Arial" w:cs="Arial"/>
          <w:b/>
          <w:bCs/>
          <w:color w:val="000000" w:themeColor="text1"/>
          <w:sz w:val="24"/>
          <w:szCs w:val="24"/>
        </w:rPr>
        <w:t>Element 1: Brand Extension Poster Presentation</w:t>
      </w:r>
      <w:bookmarkEnd w:id="0"/>
    </w:p>
    <w:p w14:paraId="7DC59422" w14:textId="52ECA767" w:rsidR="004F1B07" w:rsidRDefault="004F1B07" w:rsidP="004F1B07">
      <w:pPr>
        <w:autoSpaceDE w:val="0"/>
        <w:autoSpaceDN w:val="0"/>
        <w:adjustRightInd w:val="0"/>
        <w:spacing w:after="80" w:line="276" w:lineRule="auto"/>
        <w:jc w:val="both"/>
        <w:rPr>
          <w:rFonts w:ascii="Arial" w:hAnsi="Arial" w:cs="Arial"/>
          <w:b/>
          <w:bCs/>
          <w:color w:val="000000"/>
          <w:kern w:val="0"/>
        </w:rPr>
      </w:pPr>
      <w:r w:rsidRPr="004F1B07">
        <w:rPr>
          <w:rFonts w:ascii="Arial" w:hAnsi="Arial" w:cs="Arial"/>
          <w:b/>
          <w:bCs/>
          <w:color w:val="000000"/>
          <w:kern w:val="0"/>
        </w:rPr>
        <w:t>Appendix A: Poster</w:t>
      </w:r>
    </w:p>
    <w:p w14:paraId="33124BB8" w14:textId="5FEF9B32" w:rsidR="004F1B07" w:rsidRPr="004F1B07" w:rsidRDefault="004F1B07" w:rsidP="004F1B07">
      <w:pPr>
        <w:autoSpaceDE w:val="0"/>
        <w:autoSpaceDN w:val="0"/>
        <w:adjustRightInd w:val="0"/>
        <w:spacing w:after="80" w:line="276" w:lineRule="auto"/>
        <w:jc w:val="both"/>
        <w:rPr>
          <w:rFonts w:ascii="Arial" w:hAnsi="Arial" w:cs="Arial"/>
          <w:b/>
          <w:bCs/>
          <w:color w:val="000000"/>
          <w:kern w:val="0"/>
        </w:rPr>
      </w:pPr>
      <w:r w:rsidRPr="004F1B07">
        <w:rPr>
          <w:noProof/>
        </w:rPr>
        <w:drawing>
          <wp:inline distT="0" distB="0" distL="0" distR="0" wp14:anchorId="0621C6B4" wp14:editId="707C8536">
            <wp:extent cx="5731122" cy="7913077"/>
            <wp:effectExtent l="0" t="0" r="0" b="0"/>
            <wp:docPr id="1211120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7272" name=""/>
                    <pic:cNvPicPr/>
                  </pic:nvPicPr>
                  <pic:blipFill>
                    <a:blip r:embed="rId8"/>
                    <a:stretch>
                      <a:fillRect/>
                    </a:stretch>
                  </pic:blipFill>
                  <pic:spPr>
                    <a:xfrm>
                      <a:off x="0" y="0"/>
                      <a:ext cx="5752602" cy="7942735"/>
                    </a:xfrm>
                    <a:prstGeom prst="rect">
                      <a:avLst/>
                    </a:prstGeom>
                  </pic:spPr>
                </pic:pic>
              </a:graphicData>
            </a:graphic>
          </wp:inline>
        </w:drawing>
      </w:r>
    </w:p>
    <w:p w14:paraId="68CC20CE" w14:textId="27313F1F" w:rsidR="00313F77" w:rsidRPr="004F1B07" w:rsidRDefault="004F1B07" w:rsidP="004F1B07">
      <w:pPr>
        <w:spacing w:line="360" w:lineRule="auto"/>
        <w:jc w:val="both"/>
        <w:rPr>
          <w:rFonts w:ascii="Arial" w:hAnsi="Arial" w:cs="Arial"/>
          <w:b/>
          <w:bCs/>
        </w:rPr>
      </w:pPr>
      <w:r>
        <w:t xml:space="preserve">                                                                     </w:t>
      </w:r>
      <w:r w:rsidRPr="004F1B07">
        <w:rPr>
          <w:rFonts w:ascii="Arial" w:hAnsi="Arial" w:cs="Arial"/>
          <w:b/>
          <w:bCs/>
        </w:rPr>
        <w:t>Figure A1: Poster</w:t>
      </w:r>
    </w:p>
    <w:p w14:paraId="4F87137D" w14:textId="77777777" w:rsidR="009C16B8" w:rsidRPr="005139BD" w:rsidRDefault="009C16B8" w:rsidP="005139BD">
      <w:pPr>
        <w:pStyle w:val="Heading1"/>
        <w:spacing w:line="360" w:lineRule="auto"/>
        <w:jc w:val="both"/>
        <w:rPr>
          <w:rFonts w:ascii="Arial" w:hAnsi="Arial" w:cs="Arial"/>
          <w:b/>
          <w:bCs/>
          <w:color w:val="000000" w:themeColor="text1"/>
          <w:sz w:val="24"/>
          <w:szCs w:val="24"/>
        </w:rPr>
      </w:pPr>
      <w:bookmarkStart w:id="1" w:name="_Toc228710773"/>
      <w:r w:rsidRPr="005139BD">
        <w:rPr>
          <w:rFonts w:ascii="Arial" w:hAnsi="Arial" w:cs="Arial"/>
          <w:b/>
          <w:bCs/>
          <w:color w:val="000000" w:themeColor="text1"/>
          <w:sz w:val="24"/>
          <w:szCs w:val="24"/>
        </w:rPr>
        <w:t>Introduction</w:t>
      </w:r>
      <w:bookmarkEnd w:id="1"/>
    </w:p>
    <w:p w14:paraId="0C03829F" w14:textId="77777777" w:rsidR="009C16B8" w:rsidRDefault="009C16B8" w:rsidP="009C16B8">
      <w:pPr>
        <w:autoSpaceDE w:val="0"/>
        <w:autoSpaceDN w:val="0"/>
        <w:adjustRightInd w:val="0"/>
        <w:spacing w:after="40" w:line="240" w:lineRule="auto"/>
        <w:rPr>
          <w:rFonts w:ascii="AppleSystemUIFont" w:hAnsi="AppleSystemUIFont" w:cs="AppleSystemUIFont"/>
          <w:b/>
          <w:bCs/>
          <w:kern w:val="0"/>
          <w:sz w:val="32"/>
          <w:szCs w:val="32"/>
        </w:rPr>
      </w:pPr>
    </w:p>
    <w:p w14:paraId="7DB6C9ED" w14:textId="77777777" w:rsidR="009C16B8" w:rsidRDefault="009C16B8" w:rsidP="009C16B8">
      <w:pPr>
        <w:autoSpaceDE w:val="0"/>
        <w:autoSpaceDN w:val="0"/>
        <w:adjustRightInd w:val="0"/>
        <w:spacing w:after="0" w:line="360" w:lineRule="auto"/>
        <w:jc w:val="both"/>
        <w:rPr>
          <w:rFonts w:ascii="AppleSystemUIFont" w:hAnsi="AppleSystemUIFont" w:cs="AppleSystemUIFont"/>
          <w:kern w:val="0"/>
          <w:sz w:val="26"/>
          <w:szCs w:val="26"/>
        </w:rPr>
      </w:pPr>
      <w:r w:rsidRPr="009C16B8">
        <w:rPr>
          <w:rFonts w:ascii="Arial" w:hAnsi="Arial" w:cs="Arial"/>
          <w:kern w:val="0"/>
        </w:rPr>
        <w:t>Ather Energy has emerged as one of India’s most recognised electric vehicle brands by combining smart technology, sustainability, and premium scooter design. Founded in 2013, the company has built a strong presence in the growing EV market through innovation and digital integration. The Ather 450X represents more than a traditional scooter because it offers connected mobility features, app-based services, and access to fast-charging infrastructure. This reflects the concept of brand extension, where companies use existing brand value to enter new product categories while reducing consumer risk and strengthening market presence (Kotler and Keller, 2016; Keller, 2013; Aaker, 1996). The rapid growth of electric mobility in India has also been supported by increasing environmental awareness, government initiatives, and rising fuel prices, encouraging consumers to adopt sustainable transportation options (IEA, 2024; NITI Aayog, 2023; Deloitte, 2024). Ather’s strategy successfully combines technology, convenience, and sustainability to attract modern Indian consumers</w:t>
      </w:r>
      <w:r>
        <w:rPr>
          <w:rFonts w:ascii="AppleSystemUIFont" w:hAnsi="AppleSystemUIFont" w:cs="AppleSystemUIFont"/>
          <w:kern w:val="0"/>
          <w:sz w:val="26"/>
          <w:szCs w:val="26"/>
        </w:rPr>
        <w:t>.</w:t>
      </w:r>
    </w:p>
    <w:p w14:paraId="686D83D4" w14:textId="77777777" w:rsidR="009C16B8" w:rsidRDefault="009C16B8" w:rsidP="009C16B8">
      <w:pPr>
        <w:autoSpaceDE w:val="0"/>
        <w:autoSpaceDN w:val="0"/>
        <w:adjustRightInd w:val="0"/>
        <w:spacing w:after="0" w:line="240" w:lineRule="auto"/>
        <w:jc w:val="both"/>
        <w:rPr>
          <w:rFonts w:ascii="AppleSystemUIFont" w:hAnsi="AppleSystemUIFont" w:cs="AppleSystemUIFont"/>
          <w:kern w:val="0"/>
          <w:sz w:val="26"/>
          <w:szCs w:val="26"/>
        </w:rPr>
      </w:pPr>
    </w:p>
    <w:p w14:paraId="4C674A16" w14:textId="77777777" w:rsidR="009C16B8" w:rsidRPr="00E95E6D" w:rsidRDefault="009C16B8" w:rsidP="00E95E6D">
      <w:pPr>
        <w:pStyle w:val="Heading1"/>
        <w:spacing w:line="360" w:lineRule="auto"/>
        <w:jc w:val="both"/>
        <w:rPr>
          <w:rFonts w:ascii="Arial" w:hAnsi="Arial" w:cs="Arial"/>
          <w:b/>
          <w:bCs/>
          <w:color w:val="000000" w:themeColor="text1"/>
          <w:sz w:val="24"/>
          <w:szCs w:val="24"/>
        </w:rPr>
      </w:pPr>
      <w:bookmarkStart w:id="2" w:name="_Toc228710774"/>
      <w:r w:rsidRPr="00E95E6D">
        <w:rPr>
          <w:rFonts w:ascii="Arial" w:hAnsi="Arial" w:cs="Arial"/>
          <w:b/>
          <w:bCs/>
          <w:color w:val="000000" w:themeColor="text1"/>
          <w:sz w:val="24"/>
          <w:szCs w:val="24"/>
        </w:rPr>
        <w:t>Element 2: STDP Analysis</w:t>
      </w:r>
      <w:bookmarkEnd w:id="2"/>
      <w:r w:rsidRPr="00E95E6D">
        <w:rPr>
          <w:rFonts w:ascii="Arial" w:hAnsi="Arial" w:cs="Arial"/>
          <w:b/>
          <w:bCs/>
          <w:color w:val="000000" w:themeColor="text1"/>
          <w:sz w:val="24"/>
          <w:szCs w:val="24"/>
        </w:rPr>
        <w:t xml:space="preserve"> </w:t>
      </w:r>
    </w:p>
    <w:p w14:paraId="11DEB517" w14:textId="77777777" w:rsidR="009C16B8" w:rsidRPr="009C16B8" w:rsidRDefault="009C16B8" w:rsidP="009C16B8">
      <w:pPr>
        <w:autoSpaceDE w:val="0"/>
        <w:autoSpaceDN w:val="0"/>
        <w:adjustRightInd w:val="0"/>
        <w:spacing w:after="0" w:line="240" w:lineRule="auto"/>
        <w:jc w:val="both"/>
        <w:rPr>
          <w:rFonts w:ascii="Arial" w:hAnsi="Arial" w:cs="Arial"/>
          <w:b/>
          <w:bCs/>
          <w:kern w:val="0"/>
        </w:rPr>
      </w:pPr>
    </w:p>
    <w:p w14:paraId="31920150" w14:textId="77777777" w:rsidR="009C16B8" w:rsidRDefault="009C16B8" w:rsidP="009C16B8">
      <w:pPr>
        <w:autoSpaceDE w:val="0"/>
        <w:autoSpaceDN w:val="0"/>
        <w:adjustRightInd w:val="0"/>
        <w:spacing w:after="0" w:line="360" w:lineRule="auto"/>
        <w:jc w:val="both"/>
        <w:rPr>
          <w:rFonts w:ascii="Arial" w:hAnsi="Arial" w:cs="Arial"/>
          <w:b/>
          <w:bCs/>
          <w:kern w:val="0"/>
        </w:rPr>
      </w:pPr>
      <w:r w:rsidRPr="009C16B8">
        <w:rPr>
          <w:rFonts w:ascii="Arial" w:hAnsi="Arial" w:cs="Arial"/>
          <w:b/>
          <w:bCs/>
          <w:kern w:val="0"/>
        </w:rPr>
        <w:t>Segmentation</w:t>
      </w:r>
    </w:p>
    <w:p w14:paraId="5563FB46" w14:textId="77777777" w:rsidR="009C16B8" w:rsidRPr="009C16B8" w:rsidRDefault="009C16B8" w:rsidP="009C16B8">
      <w:pPr>
        <w:autoSpaceDE w:val="0"/>
        <w:autoSpaceDN w:val="0"/>
        <w:adjustRightInd w:val="0"/>
        <w:spacing w:after="0" w:line="360" w:lineRule="auto"/>
        <w:jc w:val="both"/>
        <w:rPr>
          <w:rFonts w:ascii="Arial" w:hAnsi="Arial" w:cs="Arial"/>
          <w:b/>
          <w:bCs/>
          <w:kern w:val="0"/>
        </w:rPr>
      </w:pPr>
    </w:p>
    <w:p w14:paraId="4949334D" w14:textId="4302B58A"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Market segmentation is a prominent concept in marketing that helps organisations to divide consumers into groups with similar needs, lifestyles, and buying behaviour </w:t>
      </w:r>
      <w:r w:rsidR="005139BD" w:rsidRPr="005139BD">
        <w:rPr>
          <w:rFonts w:ascii="Arial" w:hAnsi="Arial" w:cs="Arial"/>
          <w:kern w:val="0"/>
        </w:rPr>
        <w:t>to</w:t>
      </w:r>
      <w:r w:rsidRPr="005139BD">
        <w:rPr>
          <w:rFonts w:ascii="Arial" w:hAnsi="Arial" w:cs="Arial"/>
          <w:kern w:val="0"/>
        </w:rPr>
        <w:t xml:space="preserve"> enhance the effectiveness and competitive advantage in marketing (Kotler and Keller, 2016; Wedel and Kamakura, 2012). In the growing electric vehicle (EV) market in India, Ather Energy is using different segmentation variables to increase the market presence of the Ather 450X. The significance of geographic segmentation is significant since Ather primarily focuses on metropolitan and tier-one cities like Bengaluru, Mumbai, Delhi, Pune, and Hyderabad, where EV infrastructure, charging stations, internet connectivity, and the purchasing power of consumers are better (Statista, 2024; Deloitte, 2024). The traffic and the cost of fuel and the pollution level are high in these urban centres, prompting consumers to shift to sustainable transportation means (IEA, 2024; NITI Aayog, 2023). The technologically enhanced mobility products are also more likely to be embraced by urban consumers, which explains the premium strategy of Ather.</w:t>
      </w:r>
    </w:p>
    <w:p w14:paraId="1841F7A1"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35C5891F" w14:textId="539D9214"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The other demographic </w:t>
      </w:r>
      <w:r w:rsidR="005139BD">
        <w:rPr>
          <w:rFonts w:ascii="Arial" w:hAnsi="Arial" w:cs="Arial"/>
          <w:kern w:val="0"/>
          <w14:ligatures w14:val="none"/>
        </w:rPr>
        <w:t>segment that Ather targets is young professionals, entrepreneurs, university students, and middle- to upper-income consumers aged between 22 and 40 who</w:t>
      </w:r>
      <w:r w:rsidRPr="005139BD">
        <w:rPr>
          <w:rFonts w:ascii="Arial" w:hAnsi="Arial" w:cs="Arial"/>
          <w:kern w:val="0"/>
        </w:rPr>
        <w:t xml:space="preserve"> are digitally aware and financially capable of purchasing premium EVs (Kotler and Armstrong, 2021; Solomon et al., 2019). </w:t>
      </w:r>
      <w:r w:rsidR="005139BD">
        <w:rPr>
          <w:rFonts w:ascii="Arial" w:hAnsi="Arial" w:cs="Arial"/>
          <w:kern w:val="0"/>
          <w14:ligatures w14:val="none"/>
        </w:rPr>
        <w:t>Changes in the lifestyle of the younger generation and increased environmental awareness contribute to the younger generation being</w:t>
      </w:r>
      <w:r w:rsidRPr="005139BD">
        <w:rPr>
          <w:rFonts w:ascii="Arial" w:hAnsi="Arial" w:cs="Arial"/>
          <w:kern w:val="0"/>
        </w:rPr>
        <w:t xml:space="preserve"> more inclined towards new and sustainable technologies (Jain et al., 2022; Kumar and Alok, 2020). Additionally, psychographic segmentation is also very important as Ather has </w:t>
      </w:r>
      <w:r w:rsidR="005139BD" w:rsidRPr="005139BD">
        <w:rPr>
          <w:rFonts w:ascii="Arial" w:hAnsi="Arial" w:cs="Arial"/>
          <w:kern w:val="0"/>
        </w:rPr>
        <w:t>most of</w:t>
      </w:r>
      <w:r w:rsidRPr="005139BD">
        <w:rPr>
          <w:rFonts w:ascii="Arial" w:hAnsi="Arial" w:cs="Arial"/>
          <w:kern w:val="0"/>
        </w:rPr>
        <w:t xml:space="preserve"> its target consumers who are environmentally conscious and who attach importance to innovation, convenience, smart mobility and modern lifestyles (Aaker, 1996; Keller, 2013). Such consumers tend to </w:t>
      </w:r>
      <w:r w:rsidR="005139BD">
        <w:rPr>
          <w:rFonts w:ascii="Arial" w:hAnsi="Arial" w:cs="Arial"/>
          <w:kern w:val="0"/>
        </w:rPr>
        <w:t>associ</w:t>
      </w:r>
      <w:r w:rsidRPr="005139BD">
        <w:rPr>
          <w:rFonts w:ascii="Arial" w:hAnsi="Arial" w:cs="Arial"/>
          <w:kern w:val="0"/>
        </w:rPr>
        <w:t xml:space="preserve">ate </w:t>
      </w:r>
      <w:r w:rsidR="005139BD">
        <w:rPr>
          <w:rFonts w:ascii="Arial" w:hAnsi="Arial" w:cs="Arial"/>
          <w:kern w:val="0"/>
        </w:rPr>
        <w:t>EV</w:t>
      </w:r>
      <w:r w:rsidRPr="005139BD">
        <w:rPr>
          <w:rFonts w:ascii="Arial" w:hAnsi="Arial" w:cs="Arial"/>
          <w:kern w:val="0"/>
        </w:rPr>
        <w:t xml:space="preserve"> ownership with social responsibility and </w:t>
      </w:r>
      <w:r w:rsidR="005139BD">
        <w:rPr>
          <w:rFonts w:ascii="Arial" w:hAnsi="Arial" w:cs="Arial"/>
          <w:kern w:val="0"/>
        </w:rPr>
        <w:t xml:space="preserve">a </w:t>
      </w:r>
      <w:r w:rsidRPr="005139BD">
        <w:rPr>
          <w:rFonts w:ascii="Arial" w:hAnsi="Arial" w:cs="Arial"/>
          <w:kern w:val="0"/>
        </w:rPr>
        <w:t xml:space="preserve">progressive identity (White et al., 2019; </w:t>
      </w:r>
      <w:proofErr w:type="spellStart"/>
      <w:r w:rsidRPr="005139BD">
        <w:rPr>
          <w:rFonts w:ascii="Arial" w:hAnsi="Arial" w:cs="Arial"/>
          <w:kern w:val="0"/>
        </w:rPr>
        <w:t>Noppers</w:t>
      </w:r>
      <w:proofErr w:type="spellEnd"/>
      <w:r w:rsidRPr="005139BD">
        <w:rPr>
          <w:rFonts w:ascii="Arial" w:hAnsi="Arial" w:cs="Arial"/>
          <w:kern w:val="0"/>
        </w:rPr>
        <w:t xml:space="preserve"> et al., 2014). The behavioural segmentation too adds more value to the strategy of Ather since the company is targeting customers who desire low operating costs, digital connectivity, high efficiency, and other advanced features such as smartphone integration, navigation systems and quick charging features. Overall, the segmentation approach of Ather helps the company to focus on customers with </w:t>
      </w:r>
      <w:r w:rsidR="005139BD">
        <w:rPr>
          <w:rFonts w:ascii="Arial" w:hAnsi="Arial" w:cs="Arial"/>
          <w:kern w:val="0"/>
        </w:rPr>
        <w:t xml:space="preserve">a </w:t>
      </w:r>
      <w:r w:rsidRPr="005139BD">
        <w:rPr>
          <w:rFonts w:ascii="Arial" w:hAnsi="Arial" w:cs="Arial"/>
          <w:kern w:val="0"/>
        </w:rPr>
        <w:t>higher likelihood of adopting high-quality electric mobility solutions.</w:t>
      </w:r>
    </w:p>
    <w:p w14:paraId="762A357D" w14:textId="77777777" w:rsidR="009C16B8" w:rsidRDefault="009C16B8" w:rsidP="009C16B8">
      <w:pPr>
        <w:autoSpaceDE w:val="0"/>
        <w:autoSpaceDN w:val="0"/>
        <w:adjustRightInd w:val="0"/>
        <w:spacing w:after="0" w:line="240" w:lineRule="auto"/>
        <w:jc w:val="both"/>
        <w:rPr>
          <w:rFonts w:ascii="AppleSystemUIFont" w:hAnsi="AppleSystemUIFont" w:cs="AppleSystemUIFont"/>
          <w:kern w:val="0"/>
          <w:sz w:val="26"/>
          <w:szCs w:val="26"/>
        </w:rPr>
      </w:pPr>
    </w:p>
    <w:p w14:paraId="4C52E456" w14:textId="77777777" w:rsidR="009C16B8" w:rsidRDefault="009C16B8" w:rsidP="009C16B8">
      <w:pPr>
        <w:autoSpaceDE w:val="0"/>
        <w:autoSpaceDN w:val="0"/>
        <w:adjustRightInd w:val="0"/>
        <w:spacing w:after="0" w:line="360" w:lineRule="auto"/>
        <w:jc w:val="both"/>
        <w:rPr>
          <w:rFonts w:ascii="Arial" w:hAnsi="Arial" w:cs="Arial"/>
          <w:b/>
          <w:bCs/>
          <w:kern w:val="0"/>
        </w:rPr>
      </w:pPr>
      <w:r w:rsidRPr="009C16B8">
        <w:rPr>
          <w:rFonts w:ascii="Arial" w:hAnsi="Arial" w:cs="Arial"/>
          <w:b/>
          <w:bCs/>
          <w:kern w:val="0"/>
        </w:rPr>
        <w:t>Targeting</w:t>
      </w:r>
    </w:p>
    <w:p w14:paraId="511159BC" w14:textId="77777777" w:rsidR="009C16B8" w:rsidRPr="009C16B8" w:rsidRDefault="009C16B8" w:rsidP="009C16B8">
      <w:pPr>
        <w:autoSpaceDE w:val="0"/>
        <w:autoSpaceDN w:val="0"/>
        <w:adjustRightInd w:val="0"/>
        <w:spacing w:after="0" w:line="360" w:lineRule="auto"/>
        <w:jc w:val="both"/>
        <w:rPr>
          <w:rFonts w:ascii="Arial" w:hAnsi="Arial" w:cs="Arial"/>
          <w:b/>
          <w:bCs/>
          <w:kern w:val="0"/>
        </w:rPr>
      </w:pPr>
    </w:p>
    <w:p w14:paraId="230E8EB0"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Ather Energy has a focused targeting as the company is not in the low-cost mass scooter market. Rather, it targets high-end urban EV buyers who are tech-savvy and care about sustainability and high-quality mobility experiences.</w:t>
      </w:r>
    </w:p>
    <w:p w14:paraId="0084A872"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Targeting assists companies in focusing their resources more effectively on those customer segments that are more profitable and loyal in the long-term (Kotler and Keller, 2016; Porter, 1985). The main target market of the Ather 450X is the millennial and Gen Z customers within the city, who are conscious of innovation, convenience, digital connectivity and an environmentally friendly approach to transportation. Such consumers are not very price-sensitive and have a higher focus on quality, performance, and advanced technological features (PwC, 2024; Deloitte, 2024).</w:t>
      </w:r>
    </w:p>
    <w:p w14:paraId="7C3EBADC"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0D937287" w14:textId="261BF618"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The rise in the number of middle-income citizens in India and the establishment of smartphone penetration have offered positive opportunities to technology-based mobility brands (Jain et al., 2022; Kumar and Alok, 2020). The targeting approach employed by Ather is reflective of the changing consumer behaviour where mobility is becoming a digital lifestyle and not just a medium of transport. The fact that it targets consumers who are environmentally conscious and affect government sustainability efforts and growing concerns about carbon emissions and fuel dependency are also beneficial to the company (IEA, 2024; Ministry of Heavy Industries, 2023). Having concentrated on the clearly defined high-end market, Ather will be </w:t>
      </w:r>
      <w:r w:rsidR="00E95E6D" w:rsidRPr="005139BD">
        <w:rPr>
          <w:rFonts w:ascii="Arial" w:hAnsi="Arial" w:cs="Arial"/>
          <w:kern w:val="0"/>
        </w:rPr>
        <w:t>able</w:t>
      </w:r>
      <w:r w:rsidRPr="005139BD">
        <w:rPr>
          <w:rFonts w:ascii="Arial" w:hAnsi="Arial" w:cs="Arial"/>
          <w:kern w:val="0"/>
        </w:rPr>
        <w:t xml:space="preserve"> to improve the relationship with </w:t>
      </w:r>
      <w:r w:rsidR="005139BD" w:rsidRPr="005139BD">
        <w:rPr>
          <w:rFonts w:ascii="Arial" w:hAnsi="Arial" w:cs="Arial"/>
          <w:kern w:val="0"/>
        </w:rPr>
        <w:t xml:space="preserve">customers </w:t>
      </w:r>
      <w:r w:rsidR="00E95E6D" w:rsidRPr="005139BD">
        <w:rPr>
          <w:rFonts w:ascii="Arial" w:hAnsi="Arial" w:cs="Arial"/>
          <w:kern w:val="0"/>
        </w:rPr>
        <w:t>and</w:t>
      </w:r>
      <w:r w:rsidRPr="005139BD">
        <w:rPr>
          <w:rFonts w:ascii="Arial" w:hAnsi="Arial" w:cs="Arial"/>
          <w:kern w:val="0"/>
        </w:rPr>
        <w:t xml:space="preserve"> increase the perceived brand value and avoid direct price competition with low-cost EV manufacturers. Moreover, the company also develops customised customer experiences via digital applications, high-end service centres, and community-based marketing initiatives, which enhance customer interactions and loyalty.</w:t>
      </w:r>
    </w:p>
    <w:p w14:paraId="6C9D5392"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6A84D2A7" w14:textId="77777777" w:rsidR="009C16B8" w:rsidRDefault="009C16B8" w:rsidP="009C16B8">
      <w:pPr>
        <w:autoSpaceDE w:val="0"/>
        <w:autoSpaceDN w:val="0"/>
        <w:adjustRightInd w:val="0"/>
        <w:spacing w:after="0" w:line="240" w:lineRule="auto"/>
        <w:jc w:val="both"/>
        <w:rPr>
          <w:rFonts w:ascii="AppleSystemUIFont" w:hAnsi="AppleSystemUIFont" w:cs="AppleSystemUIFont"/>
          <w:kern w:val="0"/>
          <w:sz w:val="26"/>
          <w:szCs w:val="26"/>
        </w:rPr>
      </w:pPr>
    </w:p>
    <w:p w14:paraId="7C2CAD11" w14:textId="77777777" w:rsidR="009C16B8" w:rsidRDefault="009C16B8" w:rsidP="009C16B8">
      <w:pPr>
        <w:autoSpaceDE w:val="0"/>
        <w:autoSpaceDN w:val="0"/>
        <w:adjustRightInd w:val="0"/>
        <w:spacing w:after="0" w:line="240" w:lineRule="auto"/>
        <w:jc w:val="both"/>
        <w:rPr>
          <w:rFonts w:ascii="AppleSystemUIFont" w:hAnsi="AppleSystemUIFont" w:cs="AppleSystemUIFont"/>
          <w:kern w:val="0"/>
          <w:sz w:val="26"/>
          <w:szCs w:val="26"/>
        </w:rPr>
      </w:pPr>
    </w:p>
    <w:p w14:paraId="6A9C0085" w14:textId="77777777" w:rsidR="009C16B8" w:rsidRPr="009C16B8" w:rsidRDefault="009C16B8" w:rsidP="009C16B8">
      <w:pPr>
        <w:autoSpaceDE w:val="0"/>
        <w:autoSpaceDN w:val="0"/>
        <w:adjustRightInd w:val="0"/>
        <w:spacing w:after="0" w:line="360" w:lineRule="auto"/>
        <w:jc w:val="both"/>
        <w:rPr>
          <w:rFonts w:ascii="Arial" w:hAnsi="Arial" w:cs="Arial"/>
          <w:b/>
          <w:bCs/>
          <w:kern w:val="0"/>
        </w:rPr>
      </w:pPr>
      <w:r w:rsidRPr="009C16B8">
        <w:rPr>
          <w:rFonts w:ascii="Arial" w:hAnsi="Arial" w:cs="Arial"/>
          <w:b/>
          <w:bCs/>
          <w:kern w:val="0"/>
        </w:rPr>
        <w:t>Differentiation</w:t>
      </w:r>
    </w:p>
    <w:p w14:paraId="4E1F1759" w14:textId="77777777" w:rsidR="009C16B8" w:rsidRDefault="009C16B8" w:rsidP="009C16B8">
      <w:pPr>
        <w:autoSpaceDE w:val="0"/>
        <w:autoSpaceDN w:val="0"/>
        <w:adjustRightInd w:val="0"/>
        <w:spacing w:after="0" w:line="240" w:lineRule="auto"/>
        <w:jc w:val="both"/>
        <w:rPr>
          <w:rFonts w:ascii="AppleSystemUIFont" w:hAnsi="AppleSystemUIFont" w:cs="AppleSystemUIFont"/>
          <w:b/>
          <w:bCs/>
          <w:kern w:val="0"/>
          <w:sz w:val="26"/>
          <w:szCs w:val="26"/>
        </w:rPr>
      </w:pPr>
    </w:p>
    <w:p w14:paraId="7DCCF183" w14:textId="535392B1"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Differentiation is a major competitive force in competitive industries as firms can create unique value propositions that can hardly be duplicated by other firms (Porter, 1985; Aaker, 1996). Quality engineering, software integration, smart connectivity, and customer experience are some of </w:t>
      </w:r>
      <w:r w:rsidR="005139BD">
        <w:rPr>
          <w:rFonts w:ascii="Arial" w:hAnsi="Arial" w:cs="Arial"/>
          <w:kern w:val="0"/>
        </w:rPr>
        <w:t>how</w:t>
      </w:r>
      <w:r w:rsidRPr="005139BD">
        <w:rPr>
          <w:rFonts w:ascii="Arial" w:hAnsi="Arial" w:cs="Arial"/>
          <w:kern w:val="0"/>
        </w:rPr>
        <w:t xml:space="preserve"> Ather Energy stands out </w:t>
      </w:r>
      <w:r w:rsidR="005139BD">
        <w:rPr>
          <w:rFonts w:ascii="Arial" w:hAnsi="Arial" w:cs="Arial"/>
          <w:kern w:val="0"/>
        </w:rPr>
        <w:t>among</w:t>
      </w:r>
      <w:r w:rsidRPr="005139BD">
        <w:rPr>
          <w:rFonts w:ascii="Arial" w:hAnsi="Arial" w:cs="Arial"/>
          <w:kern w:val="0"/>
        </w:rPr>
        <w:t xml:space="preserve"> its competitors like Ola Electric and TVS Motor Company. Though the major strength of EV competitors has been their low prices, Ather is marketing the 450X to the new urban consumers as a technological mobility solution.</w:t>
      </w:r>
    </w:p>
    <w:p w14:paraId="3A5A30D1"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310F8FED" w14:textId="6182D0A8"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Innovative features like touchscreen dashboards, smartphone connectivity, over-the-air software updates, predictive maintenance systems, and the Ather Grid fast-charging network support the differentiation strategy of the company (Prahalad and Ramaswamy, 2004; Jain et al., 2022). The features have both functional and emotional values in that they increase the convenience, riding efficiency and overall user experience. Research has suggested that differentiation via innovation in </w:t>
      </w:r>
      <w:r w:rsidR="005139BD" w:rsidRPr="005139BD">
        <w:rPr>
          <w:rFonts w:ascii="Arial" w:hAnsi="Arial" w:cs="Arial"/>
          <w:kern w:val="0"/>
        </w:rPr>
        <w:t>technologically oriented</w:t>
      </w:r>
      <w:r w:rsidRPr="005139BD">
        <w:rPr>
          <w:rFonts w:ascii="Arial" w:hAnsi="Arial" w:cs="Arial"/>
          <w:kern w:val="0"/>
        </w:rPr>
        <w:t xml:space="preserve"> industries could contribute to customer satisfaction, perceived quality, and brand equity in the </w:t>
      </w:r>
      <w:r w:rsidR="005139BD" w:rsidRPr="005139BD">
        <w:rPr>
          <w:rFonts w:ascii="Arial" w:hAnsi="Arial" w:cs="Arial"/>
          <w:kern w:val="0"/>
        </w:rPr>
        <w:t>long run</w:t>
      </w:r>
      <w:r w:rsidRPr="005139BD">
        <w:rPr>
          <w:rFonts w:ascii="Arial" w:hAnsi="Arial" w:cs="Arial"/>
          <w:kern w:val="0"/>
        </w:rPr>
        <w:t xml:space="preserve"> (Kotler and Keller, 2016; Keller, 2013). In addition, Ather is very concerned with the concept of sustainability, clean-energy mobility, which also makes the company very special in the context of the conventional manufacturers of petrol scooters.</w:t>
      </w:r>
    </w:p>
    <w:p w14:paraId="3D11544F"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5CDC330A" w14:textId="741B8D28"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The company also puts a lot of money in</w:t>
      </w:r>
      <w:r w:rsidR="005139BD">
        <w:rPr>
          <w:rFonts w:ascii="Arial" w:hAnsi="Arial" w:cs="Arial"/>
          <w:kern w:val="0"/>
        </w:rPr>
        <w:t>to</w:t>
      </w:r>
      <w:r w:rsidRPr="005139BD">
        <w:rPr>
          <w:rFonts w:ascii="Arial" w:hAnsi="Arial" w:cs="Arial"/>
          <w:kern w:val="0"/>
        </w:rPr>
        <w:t xml:space="preserve"> customer engagement in the form of customer experience centres, test rides and after sales services, which increases customer loyalty and trust. By combining technological innovation, sustainability, and high-quality customer experiences, Ather has built a strong competitive advantage in the rapidly changing EV market in India.</w:t>
      </w:r>
    </w:p>
    <w:p w14:paraId="069EE665"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18F9696A" w14:textId="77777777" w:rsidR="009C16B8" w:rsidRPr="009C16B8" w:rsidRDefault="009C16B8" w:rsidP="009C16B8">
      <w:pPr>
        <w:autoSpaceDE w:val="0"/>
        <w:autoSpaceDN w:val="0"/>
        <w:adjustRightInd w:val="0"/>
        <w:spacing w:after="0" w:line="360" w:lineRule="auto"/>
        <w:jc w:val="both"/>
        <w:rPr>
          <w:rFonts w:ascii="Arial" w:hAnsi="Arial" w:cs="Arial"/>
          <w:b/>
          <w:bCs/>
          <w:kern w:val="0"/>
        </w:rPr>
      </w:pPr>
      <w:r w:rsidRPr="009C16B8">
        <w:rPr>
          <w:rFonts w:ascii="Arial" w:hAnsi="Arial" w:cs="Arial"/>
          <w:b/>
          <w:bCs/>
          <w:kern w:val="0"/>
        </w:rPr>
        <w:t>Positioning</w:t>
      </w:r>
    </w:p>
    <w:p w14:paraId="445342CA" w14:textId="77777777" w:rsidR="009C16B8" w:rsidRDefault="009C16B8" w:rsidP="009C16B8">
      <w:pPr>
        <w:autoSpaceDE w:val="0"/>
        <w:autoSpaceDN w:val="0"/>
        <w:adjustRightInd w:val="0"/>
        <w:spacing w:after="0" w:line="240" w:lineRule="auto"/>
        <w:jc w:val="both"/>
        <w:rPr>
          <w:rFonts w:ascii="AppleSystemUIFont" w:hAnsi="AppleSystemUIFont" w:cs="AppleSystemUIFont"/>
          <w:b/>
          <w:bCs/>
          <w:kern w:val="0"/>
          <w:sz w:val="26"/>
          <w:szCs w:val="26"/>
        </w:rPr>
      </w:pPr>
    </w:p>
    <w:p w14:paraId="334DCE3E"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Positioning can be defined as establishing a clear and desirable position of a brand in the minds of the target consumers relative to the competitors (Ries and Trout, 2001; Kotler and Keller, 2016). Ather Energy markets Ather 450X as a </w:t>
      </w:r>
      <w:proofErr w:type="gramStart"/>
      <w:r w:rsidRPr="005139BD">
        <w:rPr>
          <w:rFonts w:ascii="Arial" w:hAnsi="Arial" w:cs="Arial"/>
          <w:kern w:val="0"/>
        </w:rPr>
        <w:t>high quality</w:t>
      </w:r>
      <w:proofErr w:type="gramEnd"/>
      <w:r w:rsidRPr="005139BD">
        <w:rPr>
          <w:rFonts w:ascii="Arial" w:hAnsi="Arial" w:cs="Arial"/>
          <w:kern w:val="0"/>
        </w:rPr>
        <w:t xml:space="preserve"> smart mobility product offering sustainability, high technology and </w:t>
      </w:r>
      <w:proofErr w:type="gramStart"/>
      <w:r w:rsidRPr="005139BD">
        <w:rPr>
          <w:rFonts w:ascii="Arial" w:hAnsi="Arial" w:cs="Arial"/>
          <w:kern w:val="0"/>
        </w:rPr>
        <w:t>high performance</w:t>
      </w:r>
      <w:proofErr w:type="gramEnd"/>
      <w:r w:rsidRPr="005139BD">
        <w:rPr>
          <w:rFonts w:ascii="Arial" w:hAnsi="Arial" w:cs="Arial"/>
          <w:kern w:val="0"/>
        </w:rPr>
        <w:t xml:space="preserve"> urban transportation. Ather does not focus on marketing the scooter as a </w:t>
      </w:r>
      <w:proofErr w:type="gramStart"/>
      <w:r w:rsidRPr="005139BD">
        <w:rPr>
          <w:rFonts w:ascii="Arial" w:hAnsi="Arial" w:cs="Arial"/>
          <w:kern w:val="0"/>
        </w:rPr>
        <w:t>fuel efficient</w:t>
      </w:r>
      <w:proofErr w:type="gramEnd"/>
      <w:r w:rsidRPr="005139BD">
        <w:rPr>
          <w:rFonts w:ascii="Arial" w:hAnsi="Arial" w:cs="Arial"/>
          <w:kern w:val="0"/>
        </w:rPr>
        <w:t xml:space="preserve"> product only, but rather focuses on innovation, digital connectivity, convenience, performance and lifestyle improvement. The positioning strategy will assist the company in capturing aspirational consumers who want to have modern and environmentally friendly transportation.</w:t>
      </w:r>
    </w:p>
    <w:p w14:paraId="4AEDE5FB"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239CB6A3"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The premium positioning approach also enhances quality perceptions and there is less direct price-based competition in the EV industry (Aaker, 1996; Porter, 1985). Ather constantly creates a perception of high-technological and sustainable urban mobility by branding, showroom design, mobile apps, and digital advertisements. This high image is also augmented by the experience centres that the company provides to the customers in the form of personalised and interactive buying experiences.</w:t>
      </w:r>
    </w:p>
    <w:p w14:paraId="4E1746A2"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6DFD9043"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In addition, Ather also aligns itself with the bigger market trends that incorporate smart cities, the use of renewable energy, and the digitalisation of the transport infrastructure (IEA, 2024; Deloitte, 2024). As a result, consumers are starting to view Ather as a modern mobility ecosystem brand, and an electric scooter manufacturer. This is a great positioning strategy that will boost customer loyalty, brand equity and future growth prospects in the competitive Indian EV market.</w:t>
      </w:r>
    </w:p>
    <w:p w14:paraId="33944B42" w14:textId="77777777" w:rsidR="009C16B8" w:rsidRDefault="009C16B8" w:rsidP="009C16B8">
      <w:pPr>
        <w:autoSpaceDE w:val="0"/>
        <w:autoSpaceDN w:val="0"/>
        <w:adjustRightInd w:val="0"/>
        <w:spacing w:after="0" w:line="240" w:lineRule="auto"/>
        <w:jc w:val="both"/>
        <w:rPr>
          <w:rFonts w:ascii="AppleSystemUIFont" w:hAnsi="AppleSystemUIFont" w:cs="AppleSystemUIFont"/>
          <w:kern w:val="0"/>
          <w:sz w:val="26"/>
          <w:szCs w:val="26"/>
        </w:rPr>
      </w:pPr>
    </w:p>
    <w:p w14:paraId="5B17F2A0" w14:textId="77777777" w:rsidR="009C16B8" w:rsidRPr="00E95E6D" w:rsidRDefault="009C16B8" w:rsidP="00E95E6D">
      <w:pPr>
        <w:pStyle w:val="Heading1"/>
        <w:spacing w:line="360" w:lineRule="auto"/>
        <w:jc w:val="both"/>
        <w:rPr>
          <w:rFonts w:ascii="Arial" w:hAnsi="Arial" w:cs="Arial"/>
          <w:b/>
          <w:bCs/>
          <w:color w:val="000000" w:themeColor="text1"/>
          <w:sz w:val="24"/>
          <w:szCs w:val="24"/>
        </w:rPr>
      </w:pPr>
      <w:bookmarkStart w:id="3" w:name="_Toc228710775"/>
      <w:r w:rsidRPr="00E95E6D">
        <w:rPr>
          <w:rFonts w:ascii="Arial" w:hAnsi="Arial" w:cs="Arial"/>
          <w:b/>
          <w:bCs/>
          <w:color w:val="000000" w:themeColor="text1"/>
          <w:sz w:val="24"/>
          <w:szCs w:val="24"/>
        </w:rPr>
        <w:t>Element 3. Marketing Mix</w:t>
      </w:r>
      <w:bookmarkEnd w:id="3"/>
    </w:p>
    <w:p w14:paraId="40C3C130" w14:textId="77777777" w:rsidR="009C16B8" w:rsidRDefault="009C16B8" w:rsidP="009C16B8">
      <w:pPr>
        <w:autoSpaceDE w:val="0"/>
        <w:autoSpaceDN w:val="0"/>
        <w:adjustRightInd w:val="0"/>
        <w:spacing w:after="0" w:line="240" w:lineRule="auto"/>
        <w:jc w:val="both"/>
        <w:rPr>
          <w:rFonts w:ascii="AppleSystemUIFont" w:hAnsi="AppleSystemUIFont" w:cs="AppleSystemUIFont"/>
          <w:b/>
          <w:bCs/>
          <w:kern w:val="0"/>
          <w:sz w:val="26"/>
          <w:szCs w:val="26"/>
        </w:rPr>
      </w:pPr>
    </w:p>
    <w:p w14:paraId="30D718D8" w14:textId="77777777" w:rsidR="009C16B8" w:rsidRDefault="009C16B8" w:rsidP="009C16B8">
      <w:pPr>
        <w:autoSpaceDE w:val="0"/>
        <w:autoSpaceDN w:val="0"/>
        <w:adjustRightInd w:val="0"/>
        <w:spacing w:after="0" w:line="360" w:lineRule="auto"/>
        <w:jc w:val="both"/>
        <w:rPr>
          <w:rFonts w:ascii="Arial" w:hAnsi="Arial" w:cs="Arial"/>
          <w:b/>
          <w:bCs/>
          <w:kern w:val="0"/>
        </w:rPr>
      </w:pPr>
      <w:r w:rsidRPr="009C16B8">
        <w:rPr>
          <w:rFonts w:ascii="Arial" w:hAnsi="Arial" w:cs="Arial"/>
          <w:b/>
          <w:bCs/>
          <w:kern w:val="0"/>
        </w:rPr>
        <w:t>Product</w:t>
      </w:r>
    </w:p>
    <w:p w14:paraId="11959DBE" w14:textId="77777777" w:rsidR="009C16B8" w:rsidRPr="009C16B8" w:rsidRDefault="009C16B8" w:rsidP="009C16B8">
      <w:pPr>
        <w:autoSpaceDE w:val="0"/>
        <w:autoSpaceDN w:val="0"/>
        <w:adjustRightInd w:val="0"/>
        <w:spacing w:after="0" w:line="360" w:lineRule="auto"/>
        <w:jc w:val="both"/>
        <w:rPr>
          <w:rFonts w:ascii="Arial" w:hAnsi="Arial" w:cs="Arial"/>
          <w:b/>
          <w:bCs/>
          <w:kern w:val="0"/>
        </w:rPr>
      </w:pPr>
    </w:p>
    <w:p w14:paraId="46E0D81B" w14:textId="1BB97A99" w:rsidR="009C16B8" w:rsidRPr="005139BD" w:rsidRDefault="009C16B8" w:rsidP="005139BD">
      <w:pPr>
        <w:autoSpaceDE w:val="0"/>
        <w:autoSpaceDN w:val="0"/>
        <w:adjustRightInd w:val="0"/>
        <w:spacing w:after="0" w:line="360" w:lineRule="auto"/>
        <w:jc w:val="both"/>
        <w:rPr>
          <w:rFonts w:ascii="Arial" w:hAnsi="Arial" w:cs="Arial"/>
          <w:b/>
          <w:bCs/>
          <w:kern w:val="0"/>
        </w:rPr>
      </w:pPr>
      <w:r w:rsidRPr="005139BD">
        <w:rPr>
          <w:rFonts w:ascii="Arial" w:hAnsi="Arial" w:cs="Arial"/>
          <w:kern w:val="0"/>
        </w:rPr>
        <w:t>Ather Energy</w:t>
      </w:r>
      <w:r w:rsidR="005139BD">
        <w:rPr>
          <w:rFonts w:ascii="Arial" w:hAnsi="Arial" w:cs="Arial"/>
          <w:kern w:val="0"/>
        </w:rPr>
        <w:t>’s</w:t>
      </w:r>
      <w:r w:rsidRPr="005139BD">
        <w:rPr>
          <w:rFonts w:ascii="Arial" w:hAnsi="Arial" w:cs="Arial"/>
          <w:kern w:val="0"/>
        </w:rPr>
        <w:t xml:space="preserve"> product strategy is founded mainly on technological innovation, sustainability and customer experience. Ather 450X is not merely a scooter, but a smart mobility product that fulfils the changing transportation needs of urban consumers. Kotler and Keller (2016) state that products generate value in terms of functional, emotional, and symbolic benefits, all of which can be seen in the product offered by Ather.</w:t>
      </w:r>
    </w:p>
    <w:p w14:paraId="3ACF6225"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40F4F338"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The scooter also has such high-tech features as a touchscreen dashboard, Smartphone connectivity, navigation, over-the-air software updates, fast charging, and vehicle monitoring via apps (Keller, 2013; Kotler and Armstrong, 2021; Jain et al., 2022). The features enhance convenience, riding experience, and customer experience, which allow Ather to distinguish itself among the traditional petrol scooters and low-cost EV rivals.</w:t>
      </w:r>
    </w:p>
    <w:p w14:paraId="102373A7" w14:textId="77777777" w:rsidR="009C16B8" w:rsidRPr="005139BD" w:rsidRDefault="009C16B8" w:rsidP="005139BD">
      <w:pPr>
        <w:autoSpaceDE w:val="0"/>
        <w:autoSpaceDN w:val="0"/>
        <w:adjustRightInd w:val="0"/>
        <w:spacing w:after="0" w:line="360" w:lineRule="auto"/>
        <w:jc w:val="both"/>
        <w:rPr>
          <w:rFonts w:ascii="Arial" w:hAnsi="Arial" w:cs="Arial"/>
          <w:b/>
          <w:bCs/>
          <w:kern w:val="0"/>
        </w:rPr>
      </w:pPr>
    </w:p>
    <w:p w14:paraId="3B188C02" w14:textId="3A81D3EE"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Sustainable innovation is also closely related to the product strategy. The consumers are shifting to more sustainable products that reduce carbon emissions and lead to shifts in clean energy (White et al., 2019; Kumar and Alok, 2020; IEA, 2024). Consequently, Ather makes the 450X a technologically advanced and environmentally friendly mobility solution. The other product ecosystem the company has developed is the Ather Grid charging infrastructure</w:t>
      </w:r>
      <w:r w:rsidR="005139BD">
        <w:rPr>
          <w:rFonts w:ascii="Arial" w:hAnsi="Arial" w:cs="Arial"/>
          <w:kern w:val="0"/>
        </w:rPr>
        <w:t>,</w:t>
      </w:r>
      <w:r w:rsidRPr="005139BD">
        <w:rPr>
          <w:rFonts w:ascii="Arial" w:hAnsi="Arial" w:cs="Arial"/>
          <w:kern w:val="0"/>
        </w:rPr>
        <w:t xml:space="preserve"> </w:t>
      </w:r>
      <w:r w:rsidR="005139BD">
        <w:rPr>
          <w:rFonts w:ascii="Arial" w:hAnsi="Arial" w:cs="Arial"/>
          <w:kern w:val="0"/>
        </w:rPr>
        <w:t>which</w:t>
      </w:r>
      <w:r w:rsidRPr="005139BD">
        <w:rPr>
          <w:rFonts w:ascii="Arial" w:hAnsi="Arial" w:cs="Arial"/>
          <w:kern w:val="0"/>
        </w:rPr>
        <w:t xml:space="preserve"> complements the product ecosystem and reduces the customer concerns regarding battery range and charging locations. This ecological strategy underpins relationship marketing since the customers are not lost to the brand due to digital application, software upgrades and charging services (Prahalad and Ramaswamy, 2004; Aaker, 1996).</w:t>
      </w:r>
    </w:p>
    <w:p w14:paraId="37C0075D"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5CE73E12" w14:textId="7BCA0A69"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Furthermore, Ather continuously improves the performance of the product by updating software and </w:t>
      </w:r>
      <w:r w:rsidR="005139BD" w:rsidRPr="005139BD">
        <w:rPr>
          <w:rFonts w:ascii="Arial" w:hAnsi="Arial" w:cs="Arial"/>
          <w:kern w:val="0"/>
        </w:rPr>
        <w:t>considering</w:t>
      </w:r>
      <w:r w:rsidRPr="005139BD">
        <w:rPr>
          <w:rFonts w:ascii="Arial" w:hAnsi="Arial" w:cs="Arial"/>
          <w:kern w:val="0"/>
        </w:rPr>
        <w:t xml:space="preserve"> customer feedback, which guarantees customer satisfaction and loyalty. The company is also keen on fashionable design and intelligent technology to develop a high-end mobility experience. Therefore, the product strategy of Ather is successful, as it combines innovation, sustainability, and digital experiences to support the brand image of a high-end product.</w:t>
      </w:r>
    </w:p>
    <w:p w14:paraId="2E4516BA" w14:textId="77777777" w:rsidR="009C16B8" w:rsidRDefault="009C16B8" w:rsidP="009C16B8">
      <w:pPr>
        <w:autoSpaceDE w:val="0"/>
        <w:autoSpaceDN w:val="0"/>
        <w:adjustRightInd w:val="0"/>
        <w:spacing w:after="0" w:line="240" w:lineRule="auto"/>
        <w:jc w:val="both"/>
        <w:rPr>
          <w:rFonts w:ascii="AppleSystemUIFont" w:hAnsi="AppleSystemUIFont" w:cs="AppleSystemUIFont"/>
          <w:kern w:val="0"/>
          <w:sz w:val="26"/>
          <w:szCs w:val="26"/>
        </w:rPr>
      </w:pPr>
    </w:p>
    <w:p w14:paraId="2B859D69" w14:textId="77777777" w:rsidR="009C16B8" w:rsidRPr="009C16B8" w:rsidRDefault="009C16B8" w:rsidP="009C16B8">
      <w:pPr>
        <w:autoSpaceDE w:val="0"/>
        <w:autoSpaceDN w:val="0"/>
        <w:adjustRightInd w:val="0"/>
        <w:spacing w:after="0" w:line="360" w:lineRule="auto"/>
        <w:jc w:val="both"/>
        <w:rPr>
          <w:rFonts w:ascii="Arial" w:hAnsi="Arial" w:cs="Arial"/>
          <w:b/>
          <w:bCs/>
          <w:kern w:val="0"/>
        </w:rPr>
      </w:pPr>
      <w:r w:rsidRPr="009C16B8">
        <w:rPr>
          <w:rFonts w:ascii="Arial" w:hAnsi="Arial" w:cs="Arial"/>
          <w:b/>
          <w:bCs/>
          <w:kern w:val="0"/>
        </w:rPr>
        <w:t xml:space="preserve"> Price</w:t>
      </w:r>
    </w:p>
    <w:p w14:paraId="7A6333AA" w14:textId="77777777" w:rsidR="009C16B8" w:rsidRPr="005139BD" w:rsidRDefault="009C16B8" w:rsidP="005139BD">
      <w:pPr>
        <w:autoSpaceDE w:val="0"/>
        <w:autoSpaceDN w:val="0"/>
        <w:adjustRightInd w:val="0"/>
        <w:spacing w:after="0" w:line="360" w:lineRule="auto"/>
        <w:jc w:val="both"/>
        <w:rPr>
          <w:rFonts w:ascii="Arial" w:hAnsi="Arial" w:cs="Arial"/>
          <w:b/>
          <w:bCs/>
          <w:kern w:val="0"/>
        </w:rPr>
      </w:pPr>
    </w:p>
    <w:p w14:paraId="3FF495B1" w14:textId="5010FFD2"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Pricing strategy plays an important role in determining the perception of consumers and positioning in the market of the electric vehicle market. To justify the vision of having a high-quality and technologically advanced mobility brand, Ather Energy employs a premium pricing strategy </w:t>
      </w:r>
      <w:r w:rsidR="00E95E6D">
        <w:rPr>
          <w:rFonts w:ascii="Arial" w:hAnsi="Arial" w:cs="Arial"/>
          <w:kern w:val="0"/>
        </w:rPr>
        <w:t>for</w:t>
      </w:r>
      <w:r w:rsidRPr="005139BD">
        <w:rPr>
          <w:rFonts w:ascii="Arial" w:hAnsi="Arial" w:cs="Arial"/>
          <w:kern w:val="0"/>
        </w:rPr>
        <w:t xml:space="preserve"> the Ather 450X. Premium pricing is a higher price, which is used to communicate high value, innovation, and quality to the consumer (Kotler and Keller, 2016; Porter, 1985). An</w:t>
      </w:r>
      <w:r w:rsidR="005139BD">
        <w:rPr>
          <w:rFonts w:ascii="Arial" w:hAnsi="Arial" w:cs="Arial"/>
          <w:kern w:val="0"/>
        </w:rPr>
        <w:t>o</w:t>
      </w:r>
      <w:r w:rsidRPr="005139BD">
        <w:rPr>
          <w:rFonts w:ascii="Arial" w:hAnsi="Arial" w:cs="Arial"/>
          <w:kern w:val="0"/>
        </w:rPr>
        <w:t>ther 450X is more expensive than most of the traditional scooters and cheaper EV options because it has more high-tech features, software integration and charging ecosystem.</w:t>
      </w:r>
    </w:p>
    <w:p w14:paraId="251F8B42"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462E224A" w14:textId="5602558C"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This type of pricing is suitable as Ather targets primarily urban middle-to-upper income consumers who are more interested in performance, quality, digital connectivity, and modern mobility experiences than in the low purchase prices (PwC, 2024; Deloitte, 2024; Statista, 2024). It is approximated that the premium consumers are less price-sensitive and more willing to spend on innovative and sustainable products that can improve their lifestyles (Aaker, 1996; White et al., 2019). Furthermore, the electric scooters have a lower long-term operating cost </w:t>
      </w:r>
      <w:r w:rsidR="005139BD" w:rsidRPr="005139BD">
        <w:rPr>
          <w:rFonts w:ascii="Arial" w:hAnsi="Arial" w:cs="Arial"/>
          <w:kern w:val="0"/>
        </w:rPr>
        <w:t>because of</w:t>
      </w:r>
      <w:r w:rsidRPr="005139BD">
        <w:rPr>
          <w:rFonts w:ascii="Arial" w:hAnsi="Arial" w:cs="Arial"/>
          <w:kern w:val="0"/>
        </w:rPr>
        <w:t xml:space="preserve"> reduced fuel costs and maintenance requirements (this is why it is worth the higher initial purchase price) (Kumar and Alok, 2020; Jain et al., 2022).</w:t>
      </w:r>
    </w:p>
    <w:p w14:paraId="72E65D60" w14:textId="292032F3"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Nevertheless, high pricing is also a problem in a very price sensitive market like India. EVs are still seen as costly by many consumers in comparison to petrol vehicles, which hinders the adoption in the mass market segment (Deloitte, 2024; NITI Aayog, 2023). Subsidies by the government, financial incentives, EMI offers, and exchange offers are thus significant to make it more affordable and increase the adoption of EVs. Simultaneously, the premium pricing assists Ather in retaining a good brand image and not </w:t>
      </w:r>
      <w:r w:rsidR="005139BD">
        <w:rPr>
          <w:rFonts w:ascii="Arial" w:hAnsi="Arial" w:cs="Arial"/>
          <w:kern w:val="0"/>
        </w:rPr>
        <w:t>competing</w:t>
      </w:r>
      <w:r w:rsidRPr="005139BD">
        <w:rPr>
          <w:rFonts w:ascii="Arial" w:hAnsi="Arial" w:cs="Arial"/>
          <w:kern w:val="0"/>
        </w:rPr>
        <w:t xml:space="preserve"> with lower-priced manufacturers directly. The pricing strategy of Ather is conducive to profitability and customer satisfaction since it is based on the creation of long-term value by innovation, sustainability, and reduced ownership costs.</w:t>
      </w:r>
    </w:p>
    <w:p w14:paraId="4393E27B" w14:textId="77777777" w:rsidR="009C16B8" w:rsidRDefault="009C16B8" w:rsidP="009C16B8">
      <w:pPr>
        <w:autoSpaceDE w:val="0"/>
        <w:autoSpaceDN w:val="0"/>
        <w:adjustRightInd w:val="0"/>
        <w:spacing w:after="0" w:line="240" w:lineRule="auto"/>
        <w:jc w:val="both"/>
        <w:rPr>
          <w:rFonts w:ascii="AppleSystemUIFont" w:hAnsi="AppleSystemUIFont" w:cs="AppleSystemUIFont"/>
          <w:kern w:val="0"/>
          <w:sz w:val="26"/>
          <w:szCs w:val="26"/>
        </w:rPr>
      </w:pPr>
    </w:p>
    <w:p w14:paraId="25DF0D80" w14:textId="77777777" w:rsidR="005139BD" w:rsidRDefault="005139BD" w:rsidP="009C16B8">
      <w:pPr>
        <w:autoSpaceDE w:val="0"/>
        <w:autoSpaceDN w:val="0"/>
        <w:adjustRightInd w:val="0"/>
        <w:spacing w:after="0" w:line="360" w:lineRule="auto"/>
        <w:jc w:val="both"/>
        <w:rPr>
          <w:rFonts w:ascii="Arial" w:hAnsi="Arial" w:cs="Arial"/>
          <w:b/>
          <w:bCs/>
          <w:kern w:val="0"/>
        </w:rPr>
      </w:pPr>
    </w:p>
    <w:p w14:paraId="0A992CAE" w14:textId="534F5790" w:rsidR="009C16B8" w:rsidRPr="009C16B8" w:rsidRDefault="009C16B8" w:rsidP="009C16B8">
      <w:pPr>
        <w:autoSpaceDE w:val="0"/>
        <w:autoSpaceDN w:val="0"/>
        <w:adjustRightInd w:val="0"/>
        <w:spacing w:after="0" w:line="360" w:lineRule="auto"/>
        <w:jc w:val="both"/>
        <w:rPr>
          <w:rFonts w:ascii="Arial" w:hAnsi="Arial" w:cs="Arial"/>
          <w:b/>
          <w:bCs/>
          <w:kern w:val="0"/>
        </w:rPr>
      </w:pPr>
      <w:r w:rsidRPr="009C16B8">
        <w:rPr>
          <w:rFonts w:ascii="Arial" w:hAnsi="Arial" w:cs="Arial"/>
          <w:b/>
          <w:bCs/>
          <w:kern w:val="0"/>
        </w:rPr>
        <w:t>Place</w:t>
      </w:r>
    </w:p>
    <w:p w14:paraId="765DD241" w14:textId="77777777" w:rsidR="009C16B8" w:rsidRDefault="009C16B8" w:rsidP="009C16B8">
      <w:pPr>
        <w:autoSpaceDE w:val="0"/>
        <w:autoSpaceDN w:val="0"/>
        <w:adjustRightInd w:val="0"/>
        <w:spacing w:after="0" w:line="240" w:lineRule="auto"/>
        <w:jc w:val="both"/>
        <w:rPr>
          <w:rFonts w:ascii="AppleSystemUIFont" w:hAnsi="AppleSystemUIFont" w:cs="AppleSystemUIFont"/>
          <w:b/>
          <w:bCs/>
          <w:kern w:val="0"/>
          <w:sz w:val="26"/>
          <w:szCs w:val="26"/>
        </w:rPr>
      </w:pPr>
    </w:p>
    <w:p w14:paraId="3153CBFB" w14:textId="28ED23D0"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Place strategy is how goods are distributed and </w:t>
      </w:r>
      <w:r w:rsidR="005139BD">
        <w:rPr>
          <w:rFonts w:ascii="Arial" w:hAnsi="Arial" w:cs="Arial"/>
          <w:kern w:val="0"/>
        </w:rPr>
        <w:t>made available</w:t>
      </w:r>
      <w:r w:rsidRPr="005139BD">
        <w:rPr>
          <w:rFonts w:ascii="Arial" w:hAnsi="Arial" w:cs="Arial"/>
          <w:kern w:val="0"/>
        </w:rPr>
        <w:t xml:space="preserve"> to the intended consumers (Kotler and Armstrong, 2021; Jobber and Ellis-Chadwick, 2020). Ather Energy predomina</w:t>
      </w:r>
      <w:r w:rsidR="005139BD">
        <w:rPr>
          <w:rFonts w:ascii="Arial" w:hAnsi="Arial" w:cs="Arial"/>
          <w:kern w:val="0"/>
        </w:rPr>
        <w:t>nt</w:t>
      </w:r>
      <w:r w:rsidRPr="005139BD">
        <w:rPr>
          <w:rFonts w:ascii="Arial" w:hAnsi="Arial" w:cs="Arial"/>
          <w:kern w:val="0"/>
        </w:rPr>
        <w:t>ly employs a selective distribution approach relying on experience centres situated in metropolitan and tier-one cities. These experience centres will enable customers to have a personal experience with the product, test ride and learn about the technological potential of the Ather 450X. Selective distribution helps to position premium brands better since it enhances customer interaction and enables more control of the quality of services and brand image (Kotler and Keller, 2016).</w:t>
      </w:r>
    </w:p>
    <w:p w14:paraId="76C51B92"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02BFA382" w14:textId="2C83A493"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The urban-oriented distribution approach of the company is very close to its target customers due to their higher purchasing power, higher digital awareness, and environmental sustainability (Statista, 2024; Deloitte, 2024). Moreover, the investment of the Ather in the Ather Grid charging network enhances the distribution efficiency by alleviating customer concerns about the availability of charging. The charging infrastructure has emerged as a significant issue that affects EV acceptance since customers tend to connect the lack of charging stations with inconvenience and range anxiety (IEA, 2024; Kumar and Alok, 2020).</w:t>
      </w:r>
    </w:p>
    <w:p w14:paraId="0CF06242"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7CF64203" w14:textId="23BCFB84"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The digital channels are also a significant component of the place strategy of Ather. Customers can also search product specifications, compare models, book test rides, plan servicing and update software using online platforms and mobile applications. This distribution model of omnichannel enhances convenience and assists the company to keep in constant contact with the customers via digital channels (Prahalad and Ramaswamy, 2004; Solomon et al., 2019). Thus, the place strategy of Ather can be well-implemented in terms of combining the physical experience centres with the digital accessibility to offer </w:t>
      </w:r>
      <w:r w:rsidR="005139BD">
        <w:rPr>
          <w:rFonts w:ascii="Arial" w:hAnsi="Arial" w:cs="Arial"/>
          <w:kern w:val="0"/>
        </w:rPr>
        <w:t xml:space="preserve">a </w:t>
      </w:r>
      <w:r w:rsidRPr="005139BD">
        <w:rPr>
          <w:rFonts w:ascii="Arial" w:hAnsi="Arial" w:cs="Arial"/>
          <w:kern w:val="0"/>
        </w:rPr>
        <w:t>high-quality customer experience and enhance market penetration.</w:t>
      </w:r>
    </w:p>
    <w:p w14:paraId="0E4F5B3A"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156B8B14" w14:textId="77777777" w:rsidR="009C16B8" w:rsidRPr="005139BD" w:rsidRDefault="009C16B8" w:rsidP="005139BD">
      <w:pPr>
        <w:autoSpaceDE w:val="0"/>
        <w:autoSpaceDN w:val="0"/>
        <w:adjustRightInd w:val="0"/>
        <w:spacing w:after="0" w:line="360" w:lineRule="auto"/>
        <w:jc w:val="both"/>
        <w:rPr>
          <w:rFonts w:ascii="Arial" w:hAnsi="Arial" w:cs="Arial"/>
          <w:b/>
          <w:bCs/>
          <w:kern w:val="0"/>
        </w:rPr>
      </w:pPr>
      <w:r w:rsidRPr="005139BD">
        <w:rPr>
          <w:rFonts w:ascii="Arial" w:hAnsi="Arial" w:cs="Arial"/>
          <w:b/>
          <w:bCs/>
          <w:kern w:val="0"/>
        </w:rPr>
        <w:t>Promotion</w:t>
      </w:r>
    </w:p>
    <w:p w14:paraId="42440FDD" w14:textId="77777777" w:rsidR="009C16B8" w:rsidRPr="005139BD" w:rsidRDefault="009C16B8" w:rsidP="005139BD">
      <w:pPr>
        <w:autoSpaceDE w:val="0"/>
        <w:autoSpaceDN w:val="0"/>
        <w:adjustRightInd w:val="0"/>
        <w:spacing w:after="0" w:line="360" w:lineRule="auto"/>
        <w:jc w:val="both"/>
        <w:rPr>
          <w:rFonts w:ascii="Arial" w:hAnsi="Arial" w:cs="Arial"/>
          <w:b/>
          <w:bCs/>
          <w:kern w:val="0"/>
        </w:rPr>
      </w:pPr>
    </w:p>
    <w:p w14:paraId="59C32AEC" w14:textId="4944B57E"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Promotion is a significant component of the marketing mix since it affects brand recognition, consumer attitudes, and buying behaviour (Kotler and Keller, 2016; Keller, 2013). Ather Energy</w:t>
      </w:r>
      <w:r w:rsidR="005139BD">
        <w:rPr>
          <w:rFonts w:ascii="Arial" w:hAnsi="Arial" w:cs="Arial"/>
          <w:kern w:val="0"/>
        </w:rPr>
        <w:t>’s</w:t>
      </w:r>
      <w:r w:rsidRPr="005139BD">
        <w:rPr>
          <w:rFonts w:ascii="Arial" w:hAnsi="Arial" w:cs="Arial"/>
          <w:kern w:val="0"/>
        </w:rPr>
        <w:t xml:space="preserve"> promotional strategy is overly reliant on technological innovation, sustainability, and high-end urban lifestyles. The company utilises digital marketing, social media interaction, influencer partnership, experiential marketing and technology-driven communication rather than solely relying on traditional advertising to establish </w:t>
      </w:r>
      <w:r w:rsidR="005139BD">
        <w:rPr>
          <w:rFonts w:ascii="Arial" w:hAnsi="Arial" w:cs="Arial"/>
          <w:kern w:val="0"/>
        </w:rPr>
        <w:t xml:space="preserve">a </w:t>
      </w:r>
      <w:r w:rsidRPr="005139BD">
        <w:rPr>
          <w:rFonts w:ascii="Arial" w:hAnsi="Arial" w:cs="Arial"/>
          <w:kern w:val="0"/>
        </w:rPr>
        <w:t xml:space="preserve">good rapport with the new generation of consumers. This approach is very successful since millennials and Gen Z consumers are active online users and use social media to make information and buying decisions (Solomon et al., 2019; Schiffman and </w:t>
      </w:r>
      <w:proofErr w:type="spellStart"/>
      <w:r w:rsidRPr="005139BD">
        <w:rPr>
          <w:rFonts w:ascii="Arial" w:hAnsi="Arial" w:cs="Arial"/>
          <w:kern w:val="0"/>
        </w:rPr>
        <w:t>Wisenblit</w:t>
      </w:r>
      <w:proofErr w:type="spellEnd"/>
      <w:r w:rsidRPr="005139BD">
        <w:rPr>
          <w:rFonts w:ascii="Arial" w:hAnsi="Arial" w:cs="Arial"/>
          <w:kern w:val="0"/>
        </w:rPr>
        <w:t>, 2019).</w:t>
      </w:r>
    </w:p>
    <w:p w14:paraId="2F528377"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0B8A3D02"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During its advertisements, Ather does not emphasise the functionalities of transportation but the aspects of environmental sustainability, intelligent mobility, innovation, and contemporary lifestyles. It has been proposed that sustainability communication with an emotional appeal has a positive impact on consumer attitudes towards environmentally friendly products (White et al., 2019; </w:t>
      </w:r>
      <w:proofErr w:type="spellStart"/>
      <w:r w:rsidRPr="005139BD">
        <w:rPr>
          <w:rFonts w:ascii="Arial" w:hAnsi="Arial" w:cs="Arial"/>
          <w:kern w:val="0"/>
        </w:rPr>
        <w:t>Noppers</w:t>
      </w:r>
      <w:proofErr w:type="spellEnd"/>
      <w:r w:rsidRPr="005139BD">
        <w:rPr>
          <w:rFonts w:ascii="Arial" w:hAnsi="Arial" w:cs="Arial"/>
          <w:kern w:val="0"/>
        </w:rPr>
        <w:t xml:space="preserve"> et al., 2014). Consequently, Ather establishes emotional resonance with the consumers through the promotion of EV ownership as a socially responsible and technologically aspirational one.</w:t>
      </w:r>
    </w:p>
    <w:p w14:paraId="515321DC"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7D46CE3C"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Another significant component of the promotional strategy of the company is referred to as experience marketing. Test ride programs, showroom, community and online interactions enable the consumer to personally experience the technological features and performance of the scooter. Online customer reviews and word-of-mouth communication also have a considerable effect on the EV buying behaviour as consumers typically need to be assured of the performance of the batteries, the convenience of charging, and their reliability (Jain et al., 2022; Kumar and Alok, 2020). Ather has been able to increase brand equity and create a strong competitive edge in the new electric mobility market in India through digital interaction, sustainability communication and experiential marketing.</w:t>
      </w:r>
    </w:p>
    <w:p w14:paraId="2062C16B" w14:textId="77777777" w:rsidR="009C16B8" w:rsidRDefault="009C16B8" w:rsidP="009C16B8">
      <w:pPr>
        <w:autoSpaceDE w:val="0"/>
        <w:autoSpaceDN w:val="0"/>
        <w:adjustRightInd w:val="0"/>
        <w:spacing w:after="0" w:line="240" w:lineRule="auto"/>
        <w:jc w:val="both"/>
        <w:rPr>
          <w:rFonts w:ascii="AppleSystemUIFont" w:hAnsi="AppleSystemUIFont" w:cs="AppleSystemUIFont"/>
          <w:kern w:val="0"/>
          <w:sz w:val="26"/>
          <w:szCs w:val="26"/>
        </w:rPr>
      </w:pPr>
    </w:p>
    <w:p w14:paraId="6BF58BC3" w14:textId="77777777" w:rsidR="005139BD" w:rsidRDefault="005139BD" w:rsidP="009C16B8">
      <w:pPr>
        <w:autoSpaceDE w:val="0"/>
        <w:autoSpaceDN w:val="0"/>
        <w:adjustRightInd w:val="0"/>
        <w:spacing w:after="0" w:line="360" w:lineRule="auto"/>
        <w:jc w:val="both"/>
        <w:rPr>
          <w:rFonts w:ascii="Arial" w:hAnsi="Arial" w:cs="Arial"/>
          <w:b/>
          <w:bCs/>
          <w:kern w:val="0"/>
        </w:rPr>
      </w:pPr>
    </w:p>
    <w:p w14:paraId="07A2F5D3" w14:textId="281DC06C" w:rsidR="009C16B8" w:rsidRPr="00E95E6D" w:rsidRDefault="009C16B8" w:rsidP="00E95E6D">
      <w:pPr>
        <w:pStyle w:val="Heading1"/>
        <w:spacing w:line="360" w:lineRule="auto"/>
        <w:jc w:val="both"/>
        <w:rPr>
          <w:rFonts w:ascii="Arial" w:hAnsi="Arial" w:cs="Arial"/>
          <w:b/>
          <w:bCs/>
          <w:color w:val="000000" w:themeColor="text1"/>
          <w:sz w:val="24"/>
          <w:szCs w:val="24"/>
        </w:rPr>
      </w:pPr>
      <w:bookmarkStart w:id="4" w:name="_Toc228710776"/>
      <w:r w:rsidRPr="00E95E6D">
        <w:rPr>
          <w:rFonts w:ascii="Arial" w:hAnsi="Arial" w:cs="Arial"/>
          <w:b/>
          <w:bCs/>
          <w:color w:val="000000" w:themeColor="text1"/>
          <w:sz w:val="24"/>
          <w:szCs w:val="24"/>
        </w:rPr>
        <w:t>Element 4: Reflection</w:t>
      </w:r>
      <w:bookmarkEnd w:id="4"/>
      <w:r w:rsidRPr="00E95E6D">
        <w:rPr>
          <w:rFonts w:ascii="Arial" w:hAnsi="Arial" w:cs="Arial"/>
          <w:b/>
          <w:bCs/>
          <w:color w:val="000000" w:themeColor="text1"/>
          <w:sz w:val="24"/>
          <w:szCs w:val="24"/>
        </w:rPr>
        <w:t xml:space="preserve"> </w:t>
      </w:r>
    </w:p>
    <w:p w14:paraId="60318F05" w14:textId="77777777" w:rsidR="009C16B8" w:rsidRDefault="009C16B8" w:rsidP="009C16B8">
      <w:pPr>
        <w:autoSpaceDE w:val="0"/>
        <w:autoSpaceDN w:val="0"/>
        <w:adjustRightInd w:val="0"/>
        <w:spacing w:after="0" w:line="240" w:lineRule="auto"/>
        <w:jc w:val="both"/>
        <w:rPr>
          <w:rFonts w:ascii="AppleSystemUIFont" w:hAnsi="AppleSystemUIFont" w:cs="AppleSystemUIFont"/>
          <w:b/>
          <w:bCs/>
          <w:kern w:val="0"/>
          <w:sz w:val="26"/>
          <w:szCs w:val="26"/>
        </w:rPr>
      </w:pPr>
    </w:p>
    <w:p w14:paraId="11BD4BDD"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Working on the brand extension project with Ather Energy improved my understanding of strategic marketing in the rapidly growing electric vehicle industry. Analysing the Ather 450X helped me connect academic theories such as STDP analysis, positioning, and the marketing mix with real business situations (Kotler and Keller, 2016; Keller, 2013). The assignment also increased my awareness of sustainability, digital transformation, and changing consumer behaviour within the EV market (Deloitte, 2024; White et al., 2019).</w:t>
      </w:r>
    </w:p>
    <w:p w14:paraId="26141735"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6BCB0F63"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One of the strongest aspects of this project was combining theoretical concepts with practical industry analysis. Using segmentation, targeting, differentiation, and positioning models allowed me to evaluate Ather Energy’s competitive strategy more critically (Jobber and Ellis-Chadwick, 2020; Porter, 1985). Designing the poster also improved my ability to present complex marketing ideas clearly while maintaining a professional and visually appealing structure. In addition, researching journal articles, industry reports, and textbooks strengthened my academic writing, referencing, and evidence-based analysis skills.</w:t>
      </w:r>
    </w:p>
    <w:p w14:paraId="681A3F93"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5205D8EC"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However, the assignment also highlighted some challenges. Initially, I focused too much on describing Ather’s products instead of critically analysing the strategic importance of the brand extension (Kotler and Armstrong, 2021). Managing references, academic structure, and time effectively was also difficult during the process.</w:t>
      </w:r>
    </w:p>
    <w:p w14:paraId="455FAC80" w14:textId="77777777" w:rsidR="009C16B8" w:rsidRPr="005139BD" w:rsidRDefault="009C16B8" w:rsidP="005139BD">
      <w:pPr>
        <w:autoSpaceDE w:val="0"/>
        <w:autoSpaceDN w:val="0"/>
        <w:adjustRightInd w:val="0"/>
        <w:spacing w:after="0" w:line="360" w:lineRule="auto"/>
        <w:jc w:val="both"/>
        <w:rPr>
          <w:rFonts w:ascii="Arial" w:hAnsi="Arial" w:cs="Arial"/>
          <w:kern w:val="0"/>
        </w:rPr>
      </w:pPr>
    </w:p>
    <w:p w14:paraId="02699161" w14:textId="022D787B"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If I complete a similar project again, I </w:t>
      </w:r>
      <w:r w:rsidR="005139BD" w:rsidRPr="005139BD">
        <w:rPr>
          <w:rFonts w:ascii="Arial" w:hAnsi="Arial" w:cs="Arial"/>
          <w:kern w:val="0"/>
        </w:rPr>
        <w:t>will</w:t>
      </w:r>
      <w:r w:rsidRPr="005139BD">
        <w:rPr>
          <w:rFonts w:ascii="Arial" w:hAnsi="Arial" w:cs="Arial"/>
          <w:kern w:val="0"/>
        </w:rPr>
        <w:t xml:space="preserve"> begin my research earlier and include a comparison between Ather Energy and competitors such as Ola Electric and TVS Motor Company to develop insights and create a balanced evaluation.</w:t>
      </w:r>
    </w:p>
    <w:p w14:paraId="26FAF8C7" w14:textId="77777777" w:rsidR="009C16B8" w:rsidRPr="005139BD" w:rsidRDefault="009C16B8" w:rsidP="005139BD">
      <w:pPr>
        <w:autoSpaceDE w:val="0"/>
        <w:autoSpaceDN w:val="0"/>
        <w:adjustRightInd w:val="0"/>
        <w:spacing w:after="40" w:line="360" w:lineRule="auto"/>
        <w:jc w:val="both"/>
        <w:rPr>
          <w:rFonts w:ascii="Arial" w:hAnsi="Arial" w:cs="Arial"/>
          <w:b/>
          <w:bCs/>
          <w:kern w:val="0"/>
        </w:rPr>
      </w:pPr>
    </w:p>
    <w:p w14:paraId="653708D9" w14:textId="77777777" w:rsidR="009C16B8" w:rsidRDefault="009C16B8" w:rsidP="009C16B8">
      <w:pPr>
        <w:autoSpaceDE w:val="0"/>
        <w:autoSpaceDN w:val="0"/>
        <w:adjustRightInd w:val="0"/>
        <w:spacing w:after="0" w:line="240" w:lineRule="auto"/>
        <w:jc w:val="both"/>
        <w:rPr>
          <w:rFonts w:ascii="AppleSystemUIFont" w:hAnsi="AppleSystemUIFont" w:cs="AppleSystemUIFont"/>
          <w:b/>
          <w:bCs/>
          <w:kern w:val="0"/>
          <w:sz w:val="26"/>
          <w:szCs w:val="26"/>
        </w:rPr>
      </w:pPr>
    </w:p>
    <w:p w14:paraId="4ACF4255" w14:textId="77777777" w:rsidR="009C16B8" w:rsidRDefault="009C16B8" w:rsidP="009C16B8">
      <w:pPr>
        <w:autoSpaceDE w:val="0"/>
        <w:autoSpaceDN w:val="0"/>
        <w:adjustRightInd w:val="0"/>
        <w:spacing w:after="0" w:line="240" w:lineRule="auto"/>
        <w:jc w:val="both"/>
        <w:rPr>
          <w:rFonts w:ascii="AppleSystemUIFont" w:hAnsi="AppleSystemUIFont" w:cs="AppleSystemUIFont"/>
          <w:b/>
          <w:bCs/>
          <w:kern w:val="0"/>
          <w:sz w:val="26"/>
          <w:szCs w:val="26"/>
        </w:rPr>
      </w:pPr>
    </w:p>
    <w:p w14:paraId="3F82C520" w14:textId="77777777" w:rsidR="009C16B8" w:rsidRDefault="009C16B8" w:rsidP="009C16B8">
      <w:pPr>
        <w:autoSpaceDE w:val="0"/>
        <w:autoSpaceDN w:val="0"/>
        <w:adjustRightInd w:val="0"/>
        <w:spacing w:after="0" w:line="240" w:lineRule="auto"/>
        <w:jc w:val="both"/>
        <w:rPr>
          <w:rFonts w:ascii="AppleSystemUIFont" w:hAnsi="AppleSystemUIFont" w:cs="AppleSystemUIFont"/>
          <w:b/>
          <w:bCs/>
          <w:kern w:val="0"/>
          <w:sz w:val="26"/>
          <w:szCs w:val="26"/>
        </w:rPr>
      </w:pPr>
    </w:p>
    <w:p w14:paraId="74511752" w14:textId="77777777" w:rsidR="009C16B8" w:rsidRDefault="009C16B8" w:rsidP="009C16B8">
      <w:pPr>
        <w:autoSpaceDE w:val="0"/>
        <w:autoSpaceDN w:val="0"/>
        <w:adjustRightInd w:val="0"/>
        <w:spacing w:after="0" w:line="240" w:lineRule="auto"/>
        <w:jc w:val="both"/>
        <w:rPr>
          <w:rFonts w:ascii="AppleSystemUIFont" w:hAnsi="AppleSystemUIFont" w:cs="AppleSystemUIFont"/>
          <w:b/>
          <w:bCs/>
          <w:kern w:val="0"/>
          <w:sz w:val="26"/>
          <w:szCs w:val="26"/>
        </w:rPr>
      </w:pPr>
    </w:p>
    <w:p w14:paraId="0D322938" w14:textId="77777777" w:rsidR="009C16B8" w:rsidRDefault="009C16B8" w:rsidP="009C16B8">
      <w:pPr>
        <w:autoSpaceDE w:val="0"/>
        <w:autoSpaceDN w:val="0"/>
        <w:adjustRightInd w:val="0"/>
        <w:spacing w:after="0" w:line="240" w:lineRule="auto"/>
        <w:jc w:val="both"/>
        <w:rPr>
          <w:rFonts w:ascii="AppleSystemUIFont" w:hAnsi="AppleSystemUIFont" w:cs="AppleSystemUIFont"/>
          <w:b/>
          <w:bCs/>
          <w:kern w:val="0"/>
          <w:sz w:val="26"/>
          <w:szCs w:val="26"/>
        </w:rPr>
      </w:pPr>
    </w:p>
    <w:p w14:paraId="0526A92A" w14:textId="45B52E24" w:rsidR="009C16B8" w:rsidRPr="00E95E6D" w:rsidRDefault="009C16B8" w:rsidP="00E95E6D">
      <w:pPr>
        <w:pStyle w:val="Heading1"/>
        <w:spacing w:line="360" w:lineRule="auto"/>
        <w:jc w:val="both"/>
        <w:rPr>
          <w:rFonts w:ascii="Arial" w:hAnsi="Arial" w:cs="Arial"/>
          <w:b/>
          <w:bCs/>
          <w:color w:val="000000" w:themeColor="text1"/>
          <w:sz w:val="24"/>
          <w:szCs w:val="24"/>
        </w:rPr>
      </w:pPr>
      <w:bookmarkStart w:id="5" w:name="_Toc228710777"/>
      <w:r w:rsidRPr="00E95E6D">
        <w:rPr>
          <w:rFonts w:ascii="Arial" w:hAnsi="Arial" w:cs="Arial"/>
          <w:b/>
          <w:bCs/>
          <w:color w:val="000000" w:themeColor="text1"/>
          <w:sz w:val="24"/>
          <w:szCs w:val="24"/>
        </w:rPr>
        <w:t>References</w:t>
      </w:r>
      <w:bookmarkEnd w:id="5"/>
    </w:p>
    <w:p w14:paraId="2BA24F56" w14:textId="77777777" w:rsidR="009C16B8" w:rsidRDefault="009C16B8" w:rsidP="009C16B8">
      <w:pPr>
        <w:autoSpaceDE w:val="0"/>
        <w:autoSpaceDN w:val="0"/>
        <w:adjustRightInd w:val="0"/>
        <w:spacing w:after="0" w:line="240" w:lineRule="auto"/>
        <w:jc w:val="both"/>
        <w:rPr>
          <w:rFonts w:ascii="AppleSystemUIFont" w:hAnsi="AppleSystemUIFont" w:cs="AppleSystemUIFont"/>
          <w:b/>
          <w:bCs/>
          <w:kern w:val="0"/>
          <w:sz w:val="26"/>
          <w:szCs w:val="26"/>
        </w:rPr>
      </w:pPr>
    </w:p>
    <w:p w14:paraId="37346396"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Aaker, D.A. (1996) </w:t>
      </w:r>
      <w:r w:rsidRPr="005139BD">
        <w:rPr>
          <w:rFonts w:ascii="Arial" w:hAnsi="Arial" w:cs="Arial"/>
          <w:i/>
          <w:iCs/>
          <w:kern w:val="0"/>
        </w:rPr>
        <w:t>Building Strong Brands</w:t>
      </w:r>
      <w:r w:rsidRPr="005139BD">
        <w:rPr>
          <w:rFonts w:ascii="Arial" w:hAnsi="Arial" w:cs="Arial"/>
          <w:kern w:val="0"/>
        </w:rPr>
        <w:t>. New York: Free Press.</w:t>
      </w:r>
    </w:p>
    <w:p w14:paraId="6FDD353A"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Deloitte (2024) </w:t>
      </w:r>
      <w:r w:rsidRPr="005139BD">
        <w:rPr>
          <w:rFonts w:ascii="Arial" w:hAnsi="Arial" w:cs="Arial"/>
          <w:i/>
          <w:iCs/>
          <w:kern w:val="0"/>
        </w:rPr>
        <w:t>Future of Electric Mobility in India</w:t>
      </w:r>
      <w:r w:rsidRPr="005139BD">
        <w:rPr>
          <w:rFonts w:ascii="Arial" w:hAnsi="Arial" w:cs="Arial"/>
          <w:kern w:val="0"/>
        </w:rPr>
        <w:t>. London: Deloitte Insights.</w:t>
      </w:r>
    </w:p>
    <w:p w14:paraId="144FD3B4"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IEA (2024) </w:t>
      </w:r>
      <w:r w:rsidRPr="005139BD">
        <w:rPr>
          <w:rFonts w:ascii="Arial" w:hAnsi="Arial" w:cs="Arial"/>
          <w:i/>
          <w:iCs/>
          <w:kern w:val="0"/>
        </w:rPr>
        <w:t>Global EV Outlook 2024</w:t>
      </w:r>
      <w:r w:rsidRPr="005139BD">
        <w:rPr>
          <w:rFonts w:ascii="Arial" w:hAnsi="Arial" w:cs="Arial"/>
          <w:kern w:val="0"/>
        </w:rPr>
        <w:t>. Paris: International Energy Agency.</w:t>
      </w:r>
    </w:p>
    <w:p w14:paraId="55796DF1"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Keller, K.L. (2013) </w:t>
      </w:r>
      <w:r w:rsidRPr="005139BD">
        <w:rPr>
          <w:rFonts w:ascii="Arial" w:hAnsi="Arial" w:cs="Arial"/>
          <w:i/>
          <w:iCs/>
          <w:kern w:val="0"/>
        </w:rPr>
        <w:t>Strategic Brand Management</w:t>
      </w:r>
      <w:r w:rsidRPr="005139BD">
        <w:rPr>
          <w:rFonts w:ascii="Arial" w:hAnsi="Arial" w:cs="Arial"/>
          <w:kern w:val="0"/>
        </w:rPr>
        <w:t xml:space="preserve">. 4th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2E7B9051"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Kotler, P. and Keller, K.L. (2016) </w:t>
      </w:r>
      <w:r w:rsidRPr="005139BD">
        <w:rPr>
          <w:rFonts w:ascii="Arial" w:hAnsi="Arial" w:cs="Arial"/>
          <w:i/>
          <w:iCs/>
          <w:kern w:val="0"/>
        </w:rPr>
        <w:t>Marketing Management</w:t>
      </w:r>
      <w:r w:rsidRPr="005139BD">
        <w:rPr>
          <w:rFonts w:ascii="Arial" w:hAnsi="Arial" w:cs="Arial"/>
          <w:kern w:val="0"/>
        </w:rPr>
        <w:t xml:space="preserve">. 15th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555C3E21"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NITI Aayog (2023) </w:t>
      </w:r>
      <w:r w:rsidRPr="005139BD">
        <w:rPr>
          <w:rFonts w:ascii="Arial" w:hAnsi="Arial" w:cs="Arial"/>
          <w:i/>
          <w:iCs/>
          <w:kern w:val="0"/>
        </w:rPr>
        <w:t>Electric Mobility Transformation in India</w:t>
      </w:r>
      <w:r w:rsidRPr="005139BD">
        <w:rPr>
          <w:rFonts w:ascii="Arial" w:hAnsi="Arial" w:cs="Arial"/>
          <w:kern w:val="0"/>
        </w:rPr>
        <w:t>. New Delhi: Government of India.</w:t>
      </w:r>
    </w:p>
    <w:p w14:paraId="4EC85580" w14:textId="77777777" w:rsidR="009C16B8" w:rsidRPr="005139BD" w:rsidRDefault="009C16B8" w:rsidP="005139BD">
      <w:pPr>
        <w:autoSpaceDE w:val="0"/>
        <w:autoSpaceDN w:val="0"/>
        <w:adjustRightInd w:val="0"/>
        <w:spacing w:after="40" w:line="360" w:lineRule="auto"/>
        <w:jc w:val="both"/>
        <w:rPr>
          <w:rFonts w:ascii="Arial" w:hAnsi="Arial" w:cs="Arial"/>
          <w:b/>
          <w:bCs/>
          <w:kern w:val="0"/>
        </w:rPr>
      </w:pPr>
    </w:p>
    <w:p w14:paraId="7684DD59"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Aaker, D.A. (1996) </w:t>
      </w:r>
      <w:r w:rsidRPr="005139BD">
        <w:rPr>
          <w:rFonts w:ascii="Arial" w:hAnsi="Arial" w:cs="Arial"/>
          <w:i/>
          <w:iCs/>
          <w:kern w:val="0"/>
        </w:rPr>
        <w:t>Building Strong Brands</w:t>
      </w:r>
      <w:r w:rsidRPr="005139BD">
        <w:rPr>
          <w:rFonts w:ascii="Arial" w:hAnsi="Arial" w:cs="Arial"/>
          <w:kern w:val="0"/>
        </w:rPr>
        <w:t>. New York: Free Press.</w:t>
      </w:r>
    </w:p>
    <w:p w14:paraId="622C94F8"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Deloitte (2024) </w:t>
      </w:r>
      <w:r w:rsidRPr="005139BD">
        <w:rPr>
          <w:rFonts w:ascii="Arial" w:hAnsi="Arial" w:cs="Arial"/>
          <w:i/>
          <w:iCs/>
          <w:kern w:val="0"/>
        </w:rPr>
        <w:t>Future of Electric Mobility in India</w:t>
      </w:r>
      <w:r w:rsidRPr="005139BD">
        <w:rPr>
          <w:rFonts w:ascii="Arial" w:hAnsi="Arial" w:cs="Arial"/>
          <w:kern w:val="0"/>
        </w:rPr>
        <w:t>. London: Deloitte Insights.</w:t>
      </w:r>
    </w:p>
    <w:p w14:paraId="635BCEAD"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IEA (2024) </w:t>
      </w:r>
      <w:r w:rsidRPr="005139BD">
        <w:rPr>
          <w:rFonts w:ascii="Arial" w:hAnsi="Arial" w:cs="Arial"/>
          <w:i/>
          <w:iCs/>
          <w:kern w:val="0"/>
        </w:rPr>
        <w:t>Global EV Outlook 2024</w:t>
      </w:r>
      <w:r w:rsidRPr="005139BD">
        <w:rPr>
          <w:rFonts w:ascii="Arial" w:hAnsi="Arial" w:cs="Arial"/>
          <w:kern w:val="0"/>
        </w:rPr>
        <w:t>. Paris: International Energy Agency.</w:t>
      </w:r>
    </w:p>
    <w:p w14:paraId="5414A1DB"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Jain, S., Khan, M.N. and Mishra, S. (2022) ‘Consumer adoption of electric vehicles in India’, </w:t>
      </w:r>
      <w:r w:rsidRPr="005139BD">
        <w:rPr>
          <w:rFonts w:ascii="Arial" w:hAnsi="Arial" w:cs="Arial"/>
          <w:i/>
          <w:iCs/>
          <w:kern w:val="0"/>
        </w:rPr>
        <w:t>Journal of Cleaner Production</w:t>
      </w:r>
      <w:r w:rsidRPr="005139BD">
        <w:rPr>
          <w:rFonts w:ascii="Arial" w:hAnsi="Arial" w:cs="Arial"/>
          <w:kern w:val="0"/>
        </w:rPr>
        <w:t>, 331, pp. 1–12.</w:t>
      </w:r>
    </w:p>
    <w:p w14:paraId="369234B0"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Jobber, D. and Ellis-Chadwick, F. (2020) </w:t>
      </w:r>
      <w:r w:rsidRPr="005139BD">
        <w:rPr>
          <w:rFonts w:ascii="Arial" w:hAnsi="Arial" w:cs="Arial"/>
          <w:i/>
          <w:iCs/>
          <w:kern w:val="0"/>
        </w:rPr>
        <w:t>Principles and Practice of Marketing</w:t>
      </w:r>
      <w:r w:rsidRPr="005139BD">
        <w:rPr>
          <w:rFonts w:ascii="Arial" w:hAnsi="Arial" w:cs="Arial"/>
          <w:kern w:val="0"/>
        </w:rPr>
        <w:t xml:space="preserve">. 9th </w:t>
      </w:r>
      <w:proofErr w:type="spellStart"/>
      <w:r w:rsidRPr="005139BD">
        <w:rPr>
          <w:rFonts w:ascii="Arial" w:hAnsi="Arial" w:cs="Arial"/>
          <w:kern w:val="0"/>
        </w:rPr>
        <w:t>edn</w:t>
      </w:r>
      <w:proofErr w:type="spellEnd"/>
      <w:r w:rsidRPr="005139BD">
        <w:rPr>
          <w:rFonts w:ascii="Arial" w:hAnsi="Arial" w:cs="Arial"/>
          <w:kern w:val="0"/>
        </w:rPr>
        <w:t>. London: McGraw-Hill.</w:t>
      </w:r>
    </w:p>
    <w:p w14:paraId="21FC0D85"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Keller, K.L. (2013) </w:t>
      </w:r>
      <w:r w:rsidRPr="005139BD">
        <w:rPr>
          <w:rFonts w:ascii="Arial" w:hAnsi="Arial" w:cs="Arial"/>
          <w:i/>
          <w:iCs/>
          <w:kern w:val="0"/>
        </w:rPr>
        <w:t>Strategic Brand Management</w:t>
      </w:r>
      <w:r w:rsidRPr="005139BD">
        <w:rPr>
          <w:rFonts w:ascii="Arial" w:hAnsi="Arial" w:cs="Arial"/>
          <w:kern w:val="0"/>
        </w:rPr>
        <w:t xml:space="preserve">. 4th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5D9F6907"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Kotler, P. and Armstrong, G. (2021) </w:t>
      </w:r>
      <w:r w:rsidRPr="005139BD">
        <w:rPr>
          <w:rFonts w:ascii="Arial" w:hAnsi="Arial" w:cs="Arial"/>
          <w:i/>
          <w:iCs/>
          <w:kern w:val="0"/>
        </w:rPr>
        <w:t>Principles of Marketing</w:t>
      </w:r>
      <w:r w:rsidRPr="005139BD">
        <w:rPr>
          <w:rFonts w:ascii="Arial" w:hAnsi="Arial" w:cs="Arial"/>
          <w:kern w:val="0"/>
        </w:rPr>
        <w:t xml:space="preserve">. 18th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478D16D9"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Kotler, P. and Keller, K.L. (2016) </w:t>
      </w:r>
      <w:r w:rsidRPr="005139BD">
        <w:rPr>
          <w:rFonts w:ascii="Arial" w:hAnsi="Arial" w:cs="Arial"/>
          <w:i/>
          <w:iCs/>
          <w:kern w:val="0"/>
        </w:rPr>
        <w:t>Marketing Management</w:t>
      </w:r>
      <w:r w:rsidRPr="005139BD">
        <w:rPr>
          <w:rFonts w:ascii="Arial" w:hAnsi="Arial" w:cs="Arial"/>
          <w:kern w:val="0"/>
        </w:rPr>
        <w:t xml:space="preserve">. 15th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0AB24C7D"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Kumar, R.R. and Alok, K. (2020) ‘Adoption of electric vehicles: A literature review and prospects for sustainability’, </w:t>
      </w:r>
      <w:r w:rsidRPr="005139BD">
        <w:rPr>
          <w:rFonts w:ascii="Arial" w:hAnsi="Arial" w:cs="Arial"/>
          <w:i/>
          <w:iCs/>
          <w:kern w:val="0"/>
        </w:rPr>
        <w:t>Journal of Cleaner Production</w:t>
      </w:r>
      <w:r w:rsidRPr="005139BD">
        <w:rPr>
          <w:rFonts w:ascii="Arial" w:hAnsi="Arial" w:cs="Arial"/>
          <w:kern w:val="0"/>
        </w:rPr>
        <w:t>, 253, pp. 1–16.</w:t>
      </w:r>
    </w:p>
    <w:p w14:paraId="752D2016"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Ministry of Heavy Industries (2023) </w:t>
      </w:r>
      <w:r w:rsidRPr="005139BD">
        <w:rPr>
          <w:rFonts w:ascii="Arial" w:hAnsi="Arial" w:cs="Arial"/>
          <w:i/>
          <w:iCs/>
          <w:kern w:val="0"/>
        </w:rPr>
        <w:t>Electric Vehicle Policy Report</w:t>
      </w:r>
      <w:r w:rsidRPr="005139BD">
        <w:rPr>
          <w:rFonts w:ascii="Arial" w:hAnsi="Arial" w:cs="Arial"/>
          <w:kern w:val="0"/>
        </w:rPr>
        <w:t>. New Delhi: Government of India.</w:t>
      </w:r>
    </w:p>
    <w:p w14:paraId="5F34F389"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NITI Aayog (2023) </w:t>
      </w:r>
      <w:r w:rsidRPr="005139BD">
        <w:rPr>
          <w:rFonts w:ascii="Arial" w:hAnsi="Arial" w:cs="Arial"/>
          <w:i/>
          <w:iCs/>
          <w:kern w:val="0"/>
        </w:rPr>
        <w:t>Electric Mobility Transformation in India</w:t>
      </w:r>
      <w:r w:rsidRPr="005139BD">
        <w:rPr>
          <w:rFonts w:ascii="Arial" w:hAnsi="Arial" w:cs="Arial"/>
          <w:kern w:val="0"/>
        </w:rPr>
        <w:t>. New Delhi: Government of India.</w:t>
      </w:r>
    </w:p>
    <w:p w14:paraId="0D6FBF3E" w14:textId="77777777" w:rsidR="009C16B8" w:rsidRPr="005139BD" w:rsidRDefault="009C16B8" w:rsidP="005139BD">
      <w:pPr>
        <w:autoSpaceDE w:val="0"/>
        <w:autoSpaceDN w:val="0"/>
        <w:adjustRightInd w:val="0"/>
        <w:spacing w:after="0" w:line="360" w:lineRule="auto"/>
        <w:jc w:val="both"/>
        <w:rPr>
          <w:rFonts w:ascii="Arial" w:hAnsi="Arial" w:cs="Arial"/>
          <w:kern w:val="0"/>
        </w:rPr>
      </w:pPr>
      <w:proofErr w:type="spellStart"/>
      <w:r w:rsidRPr="005139BD">
        <w:rPr>
          <w:rFonts w:ascii="Arial" w:hAnsi="Arial" w:cs="Arial"/>
          <w:kern w:val="0"/>
        </w:rPr>
        <w:t>Noppers</w:t>
      </w:r>
      <w:proofErr w:type="spellEnd"/>
      <w:r w:rsidRPr="005139BD">
        <w:rPr>
          <w:rFonts w:ascii="Arial" w:hAnsi="Arial" w:cs="Arial"/>
          <w:kern w:val="0"/>
        </w:rPr>
        <w:t xml:space="preserve">, E.H., Keizer, K., </w:t>
      </w:r>
      <w:proofErr w:type="spellStart"/>
      <w:r w:rsidRPr="005139BD">
        <w:rPr>
          <w:rFonts w:ascii="Arial" w:hAnsi="Arial" w:cs="Arial"/>
          <w:kern w:val="0"/>
        </w:rPr>
        <w:t>Bolderdijk</w:t>
      </w:r>
      <w:proofErr w:type="spellEnd"/>
      <w:r w:rsidRPr="005139BD">
        <w:rPr>
          <w:rFonts w:ascii="Arial" w:hAnsi="Arial" w:cs="Arial"/>
          <w:kern w:val="0"/>
        </w:rPr>
        <w:t xml:space="preserve">, J.W. and Steg, L. (2014) ‘The adoption of sustainable innovations’, </w:t>
      </w:r>
      <w:r w:rsidRPr="005139BD">
        <w:rPr>
          <w:rFonts w:ascii="Arial" w:hAnsi="Arial" w:cs="Arial"/>
          <w:i/>
          <w:iCs/>
          <w:kern w:val="0"/>
        </w:rPr>
        <w:t>Global Environmental Change</w:t>
      </w:r>
      <w:r w:rsidRPr="005139BD">
        <w:rPr>
          <w:rFonts w:ascii="Arial" w:hAnsi="Arial" w:cs="Arial"/>
          <w:kern w:val="0"/>
        </w:rPr>
        <w:t>, 28, pp. 52–62.</w:t>
      </w:r>
    </w:p>
    <w:p w14:paraId="1308534A"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Porter, M.E. (1985) </w:t>
      </w:r>
      <w:r w:rsidRPr="005139BD">
        <w:rPr>
          <w:rFonts w:ascii="Arial" w:hAnsi="Arial" w:cs="Arial"/>
          <w:i/>
          <w:iCs/>
          <w:kern w:val="0"/>
        </w:rPr>
        <w:t>Competitive Advantage</w:t>
      </w:r>
      <w:r w:rsidRPr="005139BD">
        <w:rPr>
          <w:rFonts w:ascii="Arial" w:hAnsi="Arial" w:cs="Arial"/>
          <w:kern w:val="0"/>
        </w:rPr>
        <w:t>. New York: Free Press.</w:t>
      </w:r>
    </w:p>
    <w:p w14:paraId="41700657"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Prahalad, C.K. and Ramaswamy, V. (2004) ‘Co-creation experiences’, </w:t>
      </w:r>
      <w:r w:rsidRPr="005139BD">
        <w:rPr>
          <w:rFonts w:ascii="Arial" w:hAnsi="Arial" w:cs="Arial"/>
          <w:i/>
          <w:iCs/>
          <w:kern w:val="0"/>
        </w:rPr>
        <w:t>Journal of Interactive Marketing</w:t>
      </w:r>
      <w:r w:rsidRPr="005139BD">
        <w:rPr>
          <w:rFonts w:ascii="Arial" w:hAnsi="Arial" w:cs="Arial"/>
          <w:kern w:val="0"/>
        </w:rPr>
        <w:t>, 18(3), pp. 5–14.</w:t>
      </w:r>
    </w:p>
    <w:p w14:paraId="01B003E3"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PwC (2024) </w:t>
      </w:r>
      <w:r w:rsidRPr="005139BD">
        <w:rPr>
          <w:rFonts w:ascii="Arial" w:hAnsi="Arial" w:cs="Arial"/>
          <w:i/>
          <w:iCs/>
          <w:kern w:val="0"/>
        </w:rPr>
        <w:t>India Electric Vehicle Market Outlook</w:t>
      </w:r>
      <w:r w:rsidRPr="005139BD">
        <w:rPr>
          <w:rFonts w:ascii="Arial" w:hAnsi="Arial" w:cs="Arial"/>
          <w:kern w:val="0"/>
        </w:rPr>
        <w:t>. London: PwC Insights.</w:t>
      </w:r>
    </w:p>
    <w:p w14:paraId="5891CB7E"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Rezvani, Z., Jansson, J. and Bodin, J. (2015) ‘Advances in consumer electric vehicle adoption research’, </w:t>
      </w:r>
      <w:r w:rsidRPr="005139BD">
        <w:rPr>
          <w:rFonts w:ascii="Arial" w:hAnsi="Arial" w:cs="Arial"/>
          <w:i/>
          <w:iCs/>
          <w:kern w:val="0"/>
        </w:rPr>
        <w:t>Transportation Research Part D</w:t>
      </w:r>
      <w:r w:rsidRPr="005139BD">
        <w:rPr>
          <w:rFonts w:ascii="Arial" w:hAnsi="Arial" w:cs="Arial"/>
          <w:kern w:val="0"/>
        </w:rPr>
        <w:t>, 34, pp. 122–136.</w:t>
      </w:r>
    </w:p>
    <w:p w14:paraId="6C388B2C"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Ries, A. and Trout, J. (2001) </w:t>
      </w:r>
      <w:r w:rsidRPr="005139BD">
        <w:rPr>
          <w:rFonts w:ascii="Arial" w:hAnsi="Arial" w:cs="Arial"/>
          <w:i/>
          <w:iCs/>
          <w:kern w:val="0"/>
        </w:rPr>
        <w:t>Positioning: The Battle for Your Mind</w:t>
      </w:r>
      <w:r w:rsidRPr="005139BD">
        <w:rPr>
          <w:rFonts w:ascii="Arial" w:hAnsi="Arial" w:cs="Arial"/>
          <w:kern w:val="0"/>
        </w:rPr>
        <w:t>. New York: McGraw-Hill.</w:t>
      </w:r>
    </w:p>
    <w:p w14:paraId="50400521"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Schiffman, L.G. and </w:t>
      </w:r>
      <w:proofErr w:type="spellStart"/>
      <w:r w:rsidRPr="005139BD">
        <w:rPr>
          <w:rFonts w:ascii="Arial" w:hAnsi="Arial" w:cs="Arial"/>
          <w:kern w:val="0"/>
        </w:rPr>
        <w:t>Wisenblit</w:t>
      </w:r>
      <w:proofErr w:type="spellEnd"/>
      <w:r w:rsidRPr="005139BD">
        <w:rPr>
          <w:rFonts w:ascii="Arial" w:hAnsi="Arial" w:cs="Arial"/>
          <w:kern w:val="0"/>
        </w:rPr>
        <w:t xml:space="preserve">, J. (2019) </w:t>
      </w:r>
      <w:r w:rsidRPr="005139BD">
        <w:rPr>
          <w:rFonts w:ascii="Arial" w:hAnsi="Arial" w:cs="Arial"/>
          <w:i/>
          <w:iCs/>
          <w:kern w:val="0"/>
        </w:rPr>
        <w:t>Consumer Behaviour</w:t>
      </w:r>
      <w:r w:rsidRPr="005139BD">
        <w:rPr>
          <w:rFonts w:ascii="Arial" w:hAnsi="Arial" w:cs="Arial"/>
          <w:kern w:val="0"/>
        </w:rPr>
        <w:t xml:space="preserve">. 12th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43119D47"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Solomon, M.R., Bamossy, G., Askegaard, S. and Hogg, M.K. (2019) </w:t>
      </w:r>
      <w:r w:rsidRPr="005139BD">
        <w:rPr>
          <w:rFonts w:ascii="Arial" w:hAnsi="Arial" w:cs="Arial"/>
          <w:i/>
          <w:iCs/>
          <w:kern w:val="0"/>
        </w:rPr>
        <w:t>Consumer Behaviour: A European Perspective</w:t>
      </w:r>
      <w:r w:rsidRPr="005139BD">
        <w:rPr>
          <w:rFonts w:ascii="Arial" w:hAnsi="Arial" w:cs="Arial"/>
          <w:kern w:val="0"/>
        </w:rPr>
        <w:t xml:space="preserve">. 7th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15CB81EA"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Statista (2024) </w:t>
      </w:r>
      <w:r w:rsidRPr="005139BD">
        <w:rPr>
          <w:rFonts w:ascii="Arial" w:hAnsi="Arial" w:cs="Arial"/>
          <w:i/>
          <w:iCs/>
          <w:kern w:val="0"/>
        </w:rPr>
        <w:t>Electric Vehicle Market in India</w:t>
      </w:r>
      <w:r w:rsidRPr="005139BD">
        <w:rPr>
          <w:rFonts w:ascii="Arial" w:hAnsi="Arial" w:cs="Arial"/>
          <w:kern w:val="0"/>
        </w:rPr>
        <w:t>. Hamburg: Statista.</w:t>
      </w:r>
    </w:p>
    <w:p w14:paraId="3B43AEAC"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Wedel, M. and Kamakura, W.A. (2012) </w:t>
      </w:r>
      <w:r w:rsidRPr="005139BD">
        <w:rPr>
          <w:rFonts w:ascii="Arial" w:hAnsi="Arial" w:cs="Arial"/>
          <w:i/>
          <w:iCs/>
          <w:kern w:val="0"/>
        </w:rPr>
        <w:t>Market Segmentation: Conceptual and Methodological Foundations</w:t>
      </w:r>
      <w:r w:rsidRPr="005139BD">
        <w:rPr>
          <w:rFonts w:ascii="Arial" w:hAnsi="Arial" w:cs="Arial"/>
          <w:kern w:val="0"/>
        </w:rPr>
        <w:t xml:space="preserve">. 2nd </w:t>
      </w:r>
      <w:proofErr w:type="spellStart"/>
      <w:r w:rsidRPr="005139BD">
        <w:rPr>
          <w:rFonts w:ascii="Arial" w:hAnsi="Arial" w:cs="Arial"/>
          <w:kern w:val="0"/>
        </w:rPr>
        <w:t>edn</w:t>
      </w:r>
      <w:proofErr w:type="spellEnd"/>
      <w:r w:rsidRPr="005139BD">
        <w:rPr>
          <w:rFonts w:ascii="Arial" w:hAnsi="Arial" w:cs="Arial"/>
          <w:kern w:val="0"/>
        </w:rPr>
        <w:t>. New York: Springer.</w:t>
      </w:r>
    </w:p>
    <w:p w14:paraId="2E90CCF5"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White, K., Habib, R. and Hardisty, D.J. (2019) ‘How to shift consumer behaviours to be more sustainable’, </w:t>
      </w:r>
      <w:r w:rsidRPr="005139BD">
        <w:rPr>
          <w:rFonts w:ascii="Arial" w:hAnsi="Arial" w:cs="Arial"/>
          <w:i/>
          <w:iCs/>
          <w:kern w:val="0"/>
        </w:rPr>
        <w:t>Journal of Marketing</w:t>
      </w:r>
      <w:r w:rsidRPr="005139BD">
        <w:rPr>
          <w:rFonts w:ascii="Arial" w:hAnsi="Arial" w:cs="Arial"/>
          <w:kern w:val="0"/>
        </w:rPr>
        <w:t>, 83(3), pp. 22–49.</w:t>
      </w:r>
    </w:p>
    <w:p w14:paraId="0413AFFE" w14:textId="77777777" w:rsidR="009C16B8" w:rsidRPr="005139BD" w:rsidRDefault="009C16B8" w:rsidP="005139BD">
      <w:pPr>
        <w:autoSpaceDE w:val="0"/>
        <w:autoSpaceDN w:val="0"/>
        <w:adjustRightInd w:val="0"/>
        <w:spacing w:after="40" w:line="360" w:lineRule="auto"/>
        <w:jc w:val="both"/>
        <w:rPr>
          <w:rFonts w:ascii="Arial" w:hAnsi="Arial" w:cs="Arial"/>
          <w:b/>
          <w:bCs/>
          <w:kern w:val="0"/>
        </w:rPr>
      </w:pPr>
    </w:p>
    <w:p w14:paraId="025366B7"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Aaker, D.A. (1996) </w:t>
      </w:r>
      <w:r w:rsidRPr="005139BD">
        <w:rPr>
          <w:rFonts w:ascii="Arial" w:hAnsi="Arial" w:cs="Arial"/>
          <w:i/>
          <w:iCs/>
          <w:kern w:val="0"/>
        </w:rPr>
        <w:t>Building Strong Brands</w:t>
      </w:r>
      <w:r w:rsidRPr="005139BD">
        <w:rPr>
          <w:rFonts w:ascii="Arial" w:hAnsi="Arial" w:cs="Arial"/>
          <w:kern w:val="0"/>
        </w:rPr>
        <w:t>. New York: Free Press.</w:t>
      </w:r>
    </w:p>
    <w:p w14:paraId="549819E0"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Deloitte (2024) </w:t>
      </w:r>
      <w:r w:rsidRPr="005139BD">
        <w:rPr>
          <w:rFonts w:ascii="Arial" w:hAnsi="Arial" w:cs="Arial"/>
          <w:i/>
          <w:iCs/>
          <w:kern w:val="0"/>
        </w:rPr>
        <w:t>Future of Electric Mobility in India</w:t>
      </w:r>
      <w:r w:rsidRPr="005139BD">
        <w:rPr>
          <w:rFonts w:ascii="Arial" w:hAnsi="Arial" w:cs="Arial"/>
          <w:kern w:val="0"/>
        </w:rPr>
        <w:t>. London: Deloitte Insights.</w:t>
      </w:r>
    </w:p>
    <w:p w14:paraId="6A258456"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IEA (2024) </w:t>
      </w:r>
      <w:r w:rsidRPr="005139BD">
        <w:rPr>
          <w:rFonts w:ascii="Arial" w:hAnsi="Arial" w:cs="Arial"/>
          <w:i/>
          <w:iCs/>
          <w:kern w:val="0"/>
        </w:rPr>
        <w:t>Global EV Outlook 2024</w:t>
      </w:r>
      <w:r w:rsidRPr="005139BD">
        <w:rPr>
          <w:rFonts w:ascii="Arial" w:hAnsi="Arial" w:cs="Arial"/>
          <w:kern w:val="0"/>
        </w:rPr>
        <w:t>. Paris: International Energy Agency.</w:t>
      </w:r>
    </w:p>
    <w:p w14:paraId="3C52BF8B"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Jain, S., Khan, M.N. and Mishra, S. (2022) ‘Consumer adoption of electric vehicles in India’, </w:t>
      </w:r>
      <w:r w:rsidRPr="005139BD">
        <w:rPr>
          <w:rFonts w:ascii="Arial" w:hAnsi="Arial" w:cs="Arial"/>
          <w:i/>
          <w:iCs/>
          <w:kern w:val="0"/>
        </w:rPr>
        <w:t>Journal of Cleaner Production</w:t>
      </w:r>
      <w:r w:rsidRPr="005139BD">
        <w:rPr>
          <w:rFonts w:ascii="Arial" w:hAnsi="Arial" w:cs="Arial"/>
          <w:kern w:val="0"/>
        </w:rPr>
        <w:t>, 331, pp. 1–12.</w:t>
      </w:r>
    </w:p>
    <w:p w14:paraId="4D8B0B57"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Jobber, D. and Ellis-Chadwick, F. (2020) </w:t>
      </w:r>
      <w:r w:rsidRPr="005139BD">
        <w:rPr>
          <w:rFonts w:ascii="Arial" w:hAnsi="Arial" w:cs="Arial"/>
          <w:i/>
          <w:iCs/>
          <w:kern w:val="0"/>
        </w:rPr>
        <w:t>Principles and Practice of Marketing</w:t>
      </w:r>
      <w:r w:rsidRPr="005139BD">
        <w:rPr>
          <w:rFonts w:ascii="Arial" w:hAnsi="Arial" w:cs="Arial"/>
          <w:kern w:val="0"/>
        </w:rPr>
        <w:t xml:space="preserve">. 9th </w:t>
      </w:r>
      <w:proofErr w:type="spellStart"/>
      <w:r w:rsidRPr="005139BD">
        <w:rPr>
          <w:rFonts w:ascii="Arial" w:hAnsi="Arial" w:cs="Arial"/>
          <w:kern w:val="0"/>
        </w:rPr>
        <w:t>edn</w:t>
      </w:r>
      <w:proofErr w:type="spellEnd"/>
      <w:r w:rsidRPr="005139BD">
        <w:rPr>
          <w:rFonts w:ascii="Arial" w:hAnsi="Arial" w:cs="Arial"/>
          <w:kern w:val="0"/>
        </w:rPr>
        <w:t>. London: McGraw-Hill Education.</w:t>
      </w:r>
    </w:p>
    <w:p w14:paraId="6A3EEC42"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Keller, K.L. (2013) </w:t>
      </w:r>
      <w:r w:rsidRPr="005139BD">
        <w:rPr>
          <w:rFonts w:ascii="Arial" w:hAnsi="Arial" w:cs="Arial"/>
          <w:i/>
          <w:iCs/>
          <w:kern w:val="0"/>
        </w:rPr>
        <w:t>Strategic Brand Management: Building, Measuring, and Managing Brand Equity</w:t>
      </w:r>
      <w:r w:rsidRPr="005139BD">
        <w:rPr>
          <w:rFonts w:ascii="Arial" w:hAnsi="Arial" w:cs="Arial"/>
          <w:kern w:val="0"/>
        </w:rPr>
        <w:t xml:space="preserve">. 4th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0AFA9026"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Kotler, P. and Armstrong, G. (2021) </w:t>
      </w:r>
      <w:r w:rsidRPr="005139BD">
        <w:rPr>
          <w:rFonts w:ascii="Arial" w:hAnsi="Arial" w:cs="Arial"/>
          <w:i/>
          <w:iCs/>
          <w:kern w:val="0"/>
        </w:rPr>
        <w:t>Principles of Marketing</w:t>
      </w:r>
      <w:r w:rsidRPr="005139BD">
        <w:rPr>
          <w:rFonts w:ascii="Arial" w:hAnsi="Arial" w:cs="Arial"/>
          <w:kern w:val="0"/>
        </w:rPr>
        <w:t xml:space="preserve">. 18th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4978B20F"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Kotler, P. and Keller, K.L. (2016) </w:t>
      </w:r>
      <w:r w:rsidRPr="005139BD">
        <w:rPr>
          <w:rFonts w:ascii="Arial" w:hAnsi="Arial" w:cs="Arial"/>
          <w:i/>
          <w:iCs/>
          <w:kern w:val="0"/>
        </w:rPr>
        <w:t>Marketing Management</w:t>
      </w:r>
      <w:r w:rsidRPr="005139BD">
        <w:rPr>
          <w:rFonts w:ascii="Arial" w:hAnsi="Arial" w:cs="Arial"/>
          <w:kern w:val="0"/>
        </w:rPr>
        <w:t xml:space="preserve">. 15th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3653C264"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Kumar, R.R. and Alok, K. (2020) ‘Adoption of electric vehicles: A literature review and prospects for sustainability’, </w:t>
      </w:r>
      <w:r w:rsidRPr="005139BD">
        <w:rPr>
          <w:rFonts w:ascii="Arial" w:hAnsi="Arial" w:cs="Arial"/>
          <w:i/>
          <w:iCs/>
          <w:kern w:val="0"/>
        </w:rPr>
        <w:t>Journal of Cleaner Production</w:t>
      </w:r>
      <w:r w:rsidRPr="005139BD">
        <w:rPr>
          <w:rFonts w:ascii="Arial" w:hAnsi="Arial" w:cs="Arial"/>
          <w:kern w:val="0"/>
        </w:rPr>
        <w:t>, 253, pp. 1–16.</w:t>
      </w:r>
    </w:p>
    <w:p w14:paraId="4655411B"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Ministry of Heavy Industries (2023) </w:t>
      </w:r>
      <w:r w:rsidRPr="005139BD">
        <w:rPr>
          <w:rFonts w:ascii="Arial" w:hAnsi="Arial" w:cs="Arial"/>
          <w:i/>
          <w:iCs/>
          <w:kern w:val="0"/>
        </w:rPr>
        <w:t>Electric Vehicle Policy Report</w:t>
      </w:r>
      <w:r w:rsidRPr="005139BD">
        <w:rPr>
          <w:rFonts w:ascii="Arial" w:hAnsi="Arial" w:cs="Arial"/>
          <w:kern w:val="0"/>
        </w:rPr>
        <w:t>. New Delhi: Government of India.</w:t>
      </w:r>
    </w:p>
    <w:p w14:paraId="4FAF8D49"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NITI Aayog (2023) </w:t>
      </w:r>
      <w:r w:rsidRPr="005139BD">
        <w:rPr>
          <w:rFonts w:ascii="Arial" w:hAnsi="Arial" w:cs="Arial"/>
          <w:i/>
          <w:iCs/>
          <w:kern w:val="0"/>
        </w:rPr>
        <w:t>Electric Mobility Transformation in India</w:t>
      </w:r>
      <w:r w:rsidRPr="005139BD">
        <w:rPr>
          <w:rFonts w:ascii="Arial" w:hAnsi="Arial" w:cs="Arial"/>
          <w:kern w:val="0"/>
        </w:rPr>
        <w:t>. New Delhi: Government of India.</w:t>
      </w:r>
    </w:p>
    <w:p w14:paraId="1CCC199D" w14:textId="77777777" w:rsidR="009C16B8" w:rsidRPr="005139BD" w:rsidRDefault="009C16B8" w:rsidP="005139BD">
      <w:pPr>
        <w:autoSpaceDE w:val="0"/>
        <w:autoSpaceDN w:val="0"/>
        <w:adjustRightInd w:val="0"/>
        <w:spacing w:after="0" w:line="360" w:lineRule="auto"/>
        <w:jc w:val="both"/>
        <w:rPr>
          <w:rFonts w:ascii="Arial" w:hAnsi="Arial" w:cs="Arial"/>
          <w:kern w:val="0"/>
        </w:rPr>
      </w:pPr>
      <w:proofErr w:type="spellStart"/>
      <w:r w:rsidRPr="005139BD">
        <w:rPr>
          <w:rFonts w:ascii="Arial" w:hAnsi="Arial" w:cs="Arial"/>
          <w:kern w:val="0"/>
        </w:rPr>
        <w:t>Noppers</w:t>
      </w:r>
      <w:proofErr w:type="spellEnd"/>
      <w:r w:rsidRPr="005139BD">
        <w:rPr>
          <w:rFonts w:ascii="Arial" w:hAnsi="Arial" w:cs="Arial"/>
          <w:kern w:val="0"/>
        </w:rPr>
        <w:t xml:space="preserve">, E.H., Keizer, K., </w:t>
      </w:r>
      <w:proofErr w:type="spellStart"/>
      <w:r w:rsidRPr="005139BD">
        <w:rPr>
          <w:rFonts w:ascii="Arial" w:hAnsi="Arial" w:cs="Arial"/>
          <w:kern w:val="0"/>
        </w:rPr>
        <w:t>Bolderdijk</w:t>
      </w:r>
      <w:proofErr w:type="spellEnd"/>
      <w:r w:rsidRPr="005139BD">
        <w:rPr>
          <w:rFonts w:ascii="Arial" w:hAnsi="Arial" w:cs="Arial"/>
          <w:kern w:val="0"/>
        </w:rPr>
        <w:t xml:space="preserve">, J.W. and Steg, L. (2014) ‘The adoption of sustainable innovations: Driven by symbolic and environmental motives’, </w:t>
      </w:r>
      <w:r w:rsidRPr="005139BD">
        <w:rPr>
          <w:rFonts w:ascii="Arial" w:hAnsi="Arial" w:cs="Arial"/>
          <w:i/>
          <w:iCs/>
          <w:kern w:val="0"/>
        </w:rPr>
        <w:t>Global Environmental Change</w:t>
      </w:r>
      <w:r w:rsidRPr="005139BD">
        <w:rPr>
          <w:rFonts w:ascii="Arial" w:hAnsi="Arial" w:cs="Arial"/>
          <w:kern w:val="0"/>
        </w:rPr>
        <w:t>, 25, pp. 52–62.</w:t>
      </w:r>
    </w:p>
    <w:p w14:paraId="5CFF6BAF"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Porter, M.E. (1985) </w:t>
      </w:r>
      <w:r w:rsidRPr="005139BD">
        <w:rPr>
          <w:rFonts w:ascii="Arial" w:hAnsi="Arial" w:cs="Arial"/>
          <w:i/>
          <w:iCs/>
          <w:kern w:val="0"/>
        </w:rPr>
        <w:t>Competitive Advantage: Creating and Sustaining Superior Performance</w:t>
      </w:r>
      <w:r w:rsidRPr="005139BD">
        <w:rPr>
          <w:rFonts w:ascii="Arial" w:hAnsi="Arial" w:cs="Arial"/>
          <w:kern w:val="0"/>
        </w:rPr>
        <w:t>. New York: Free Press.</w:t>
      </w:r>
    </w:p>
    <w:p w14:paraId="4DD2F5A2"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Prahalad, C.K. and Ramaswamy, V. (2004) ‘Co-creation experiences: The next practice in value creation’, </w:t>
      </w:r>
      <w:r w:rsidRPr="005139BD">
        <w:rPr>
          <w:rFonts w:ascii="Arial" w:hAnsi="Arial" w:cs="Arial"/>
          <w:i/>
          <w:iCs/>
          <w:kern w:val="0"/>
        </w:rPr>
        <w:t>Journal of Interactive Marketing</w:t>
      </w:r>
      <w:r w:rsidRPr="005139BD">
        <w:rPr>
          <w:rFonts w:ascii="Arial" w:hAnsi="Arial" w:cs="Arial"/>
          <w:kern w:val="0"/>
        </w:rPr>
        <w:t>, 18(3), pp. 5–14.</w:t>
      </w:r>
    </w:p>
    <w:p w14:paraId="3126389F"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PwC (2024) </w:t>
      </w:r>
      <w:r w:rsidRPr="005139BD">
        <w:rPr>
          <w:rFonts w:ascii="Arial" w:hAnsi="Arial" w:cs="Arial"/>
          <w:i/>
          <w:iCs/>
          <w:kern w:val="0"/>
        </w:rPr>
        <w:t>India Electric Vehicle Market Outlook</w:t>
      </w:r>
      <w:r w:rsidRPr="005139BD">
        <w:rPr>
          <w:rFonts w:ascii="Arial" w:hAnsi="Arial" w:cs="Arial"/>
          <w:kern w:val="0"/>
        </w:rPr>
        <w:t>. London: PwC Insights.</w:t>
      </w:r>
    </w:p>
    <w:p w14:paraId="2256ED67"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Rezvani, Z., Jansson, J. and Bodin, J. (2015) ‘Advances in consumer electric vehicle adoption research: A review and research agenda’, </w:t>
      </w:r>
      <w:r w:rsidRPr="005139BD">
        <w:rPr>
          <w:rFonts w:ascii="Arial" w:hAnsi="Arial" w:cs="Arial"/>
          <w:i/>
          <w:iCs/>
          <w:kern w:val="0"/>
        </w:rPr>
        <w:t>Transportation Research Part D: Transport and Environment</w:t>
      </w:r>
      <w:r w:rsidRPr="005139BD">
        <w:rPr>
          <w:rFonts w:ascii="Arial" w:hAnsi="Arial" w:cs="Arial"/>
          <w:kern w:val="0"/>
        </w:rPr>
        <w:t>, 34, pp. 122–136.</w:t>
      </w:r>
    </w:p>
    <w:p w14:paraId="7BDE4063"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Schiffman, L.G. and </w:t>
      </w:r>
      <w:proofErr w:type="spellStart"/>
      <w:r w:rsidRPr="005139BD">
        <w:rPr>
          <w:rFonts w:ascii="Arial" w:hAnsi="Arial" w:cs="Arial"/>
          <w:kern w:val="0"/>
        </w:rPr>
        <w:t>Wisenblit</w:t>
      </w:r>
      <w:proofErr w:type="spellEnd"/>
      <w:r w:rsidRPr="005139BD">
        <w:rPr>
          <w:rFonts w:ascii="Arial" w:hAnsi="Arial" w:cs="Arial"/>
          <w:kern w:val="0"/>
        </w:rPr>
        <w:t xml:space="preserve">, J. (2019) </w:t>
      </w:r>
      <w:r w:rsidRPr="005139BD">
        <w:rPr>
          <w:rFonts w:ascii="Arial" w:hAnsi="Arial" w:cs="Arial"/>
          <w:i/>
          <w:iCs/>
          <w:kern w:val="0"/>
        </w:rPr>
        <w:t>Consumer Behaviour</w:t>
      </w:r>
      <w:r w:rsidRPr="005139BD">
        <w:rPr>
          <w:rFonts w:ascii="Arial" w:hAnsi="Arial" w:cs="Arial"/>
          <w:kern w:val="0"/>
        </w:rPr>
        <w:t xml:space="preserve">. 12th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18590A1B"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Solomon, M.R., Bamossy, G., Askegaard, S. and Hogg, M.K. (2019) </w:t>
      </w:r>
      <w:r w:rsidRPr="005139BD">
        <w:rPr>
          <w:rFonts w:ascii="Arial" w:hAnsi="Arial" w:cs="Arial"/>
          <w:i/>
          <w:iCs/>
          <w:kern w:val="0"/>
        </w:rPr>
        <w:t>Consumer Behaviour: A European Perspective</w:t>
      </w:r>
      <w:r w:rsidRPr="005139BD">
        <w:rPr>
          <w:rFonts w:ascii="Arial" w:hAnsi="Arial" w:cs="Arial"/>
          <w:kern w:val="0"/>
        </w:rPr>
        <w:t xml:space="preserve">. 7th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2AE5761E"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Statista (2024) </w:t>
      </w:r>
      <w:r w:rsidRPr="005139BD">
        <w:rPr>
          <w:rFonts w:ascii="Arial" w:hAnsi="Arial" w:cs="Arial"/>
          <w:i/>
          <w:iCs/>
          <w:kern w:val="0"/>
        </w:rPr>
        <w:t>Electric Vehicle Market in India</w:t>
      </w:r>
      <w:r w:rsidRPr="005139BD">
        <w:rPr>
          <w:rFonts w:ascii="Arial" w:hAnsi="Arial" w:cs="Arial"/>
          <w:kern w:val="0"/>
        </w:rPr>
        <w:t>. Hamburg: Statista Research Department.</w:t>
      </w:r>
    </w:p>
    <w:p w14:paraId="3FF11B3D"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Wedel, M. and Kamakura, W.A. (2012) </w:t>
      </w:r>
      <w:r w:rsidRPr="005139BD">
        <w:rPr>
          <w:rFonts w:ascii="Arial" w:hAnsi="Arial" w:cs="Arial"/>
          <w:i/>
          <w:iCs/>
          <w:kern w:val="0"/>
        </w:rPr>
        <w:t>Market Segmentation: Conceptual and Methodological Foundations</w:t>
      </w:r>
      <w:r w:rsidRPr="005139BD">
        <w:rPr>
          <w:rFonts w:ascii="Arial" w:hAnsi="Arial" w:cs="Arial"/>
          <w:kern w:val="0"/>
        </w:rPr>
        <w:t xml:space="preserve">. 2nd </w:t>
      </w:r>
      <w:proofErr w:type="spellStart"/>
      <w:r w:rsidRPr="005139BD">
        <w:rPr>
          <w:rFonts w:ascii="Arial" w:hAnsi="Arial" w:cs="Arial"/>
          <w:kern w:val="0"/>
        </w:rPr>
        <w:t>edn</w:t>
      </w:r>
      <w:proofErr w:type="spellEnd"/>
      <w:r w:rsidRPr="005139BD">
        <w:rPr>
          <w:rFonts w:ascii="Arial" w:hAnsi="Arial" w:cs="Arial"/>
          <w:kern w:val="0"/>
        </w:rPr>
        <w:t>. New York: Springer.</w:t>
      </w:r>
    </w:p>
    <w:p w14:paraId="1FAED1CC"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White, K., Habib, R. and Hardisty, D.J. (2019) ‘How to shift consumer behaviours to be more sustainable: A literature review and guiding framework’, </w:t>
      </w:r>
      <w:r w:rsidRPr="005139BD">
        <w:rPr>
          <w:rFonts w:ascii="Arial" w:hAnsi="Arial" w:cs="Arial"/>
          <w:i/>
          <w:iCs/>
          <w:kern w:val="0"/>
        </w:rPr>
        <w:t>Journal of Marketing</w:t>
      </w:r>
      <w:r w:rsidRPr="005139BD">
        <w:rPr>
          <w:rFonts w:ascii="Arial" w:hAnsi="Arial" w:cs="Arial"/>
          <w:kern w:val="0"/>
        </w:rPr>
        <w:t>, 83(3), pp. 22–49.</w:t>
      </w:r>
    </w:p>
    <w:p w14:paraId="10B34266" w14:textId="77777777" w:rsidR="009C16B8" w:rsidRPr="005139BD" w:rsidRDefault="009C16B8" w:rsidP="005139BD">
      <w:pPr>
        <w:autoSpaceDE w:val="0"/>
        <w:autoSpaceDN w:val="0"/>
        <w:adjustRightInd w:val="0"/>
        <w:spacing w:after="40" w:line="360" w:lineRule="auto"/>
        <w:jc w:val="both"/>
        <w:rPr>
          <w:rFonts w:ascii="Arial" w:hAnsi="Arial" w:cs="Arial"/>
          <w:b/>
          <w:bCs/>
          <w:kern w:val="0"/>
        </w:rPr>
      </w:pPr>
    </w:p>
    <w:p w14:paraId="4806FAE0"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Aaker, D.A. (1996) </w:t>
      </w:r>
      <w:r w:rsidRPr="005139BD">
        <w:rPr>
          <w:rFonts w:ascii="Arial" w:hAnsi="Arial" w:cs="Arial"/>
          <w:i/>
          <w:iCs/>
          <w:kern w:val="0"/>
        </w:rPr>
        <w:t>Building Strong Brands</w:t>
      </w:r>
      <w:r w:rsidRPr="005139BD">
        <w:rPr>
          <w:rFonts w:ascii="Arial" w:hAnsi="Arial" w:cs="Arial"/>
          <w:kern w:val="0"/>
        </w:rPr>
        <w:t>. New York: Free Press.</w:t>
      </w:r>
    </w:p>
    <w:p w14:paraId="4ED34994"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Deloitte (2024) </w:t>
      </w:r>
      <w:r w:rsidRPr="005139BD">
        <w:rPr>
          <w:rFonts w:ascii="Arial" w:hAnsi="Arial" w:cs="Arial"/>
          <w:i/>
          <w:iCs/>
          <w:kern w:val="0"/>
        </w:rPr>
        <w:t>Future of Electric Mobility in India</w:t>
      </w:r>
      <w:r w:rsidRPr="005139BD">
        <w:rPr>
          <w:rFonts w:ascii="Arial" w:hAnsi="Arial" w:cs="Arial"/>
          <w:kern w:val="0"/>
        </w:rPr>
        <w:t>. London: Deloitte Insights.</w:t>
      </w:r>
    </w:p>
    <w:p w14:paraId="1ABA8351"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IEA (2024) </w:t>
      </w:r>
      <w:r w:rsidRPr="005139BD">
        <w:rPr>
          <w:rFonts w:ascii="Arial" w:hAnsi="Arial" w:cs="Arial"/>
          <w:i/>
          <w:iCs/>
          <w:kern w:val="0"/>
        </w:rPr>
        <w:t>Global EV Outlook 2024</w:t>
      </w:r>
      <w:r w:rsidRPr="005139BD">
        <w:rPr>
          <w:rFonts w:ascii="Arial" w:hAnsi="Arial" w:cs="Arial"/>
          <w:kern w:val="0"/>
        </w:rPr>
        <w:t>. Paris: International Energy Agency.</w:t>
      </w:r>
    </w:p>
    <w:p w14:paraId="004C7805"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Jain, S., Khan, M.N. and Mishra, S. (2022) ‘Consumer adoption of electric vehicles in India’, </w:t>
      </w:r>
      <w:r w:rsidRPr="005139BD">
        <w:rPr>
          <w:rFonts w:ascii="Arial" w:hAnsi="Arial" w:cs="Arial"/>
          <w:i/>
          <w:iCs/>
          <w:kern w:val="0"/>
        </w:rPr>
        <w:t>Journal of Cleaner Production</w:t>
      </w:r>
      <w:r w:rsidRPr="005139BD">
        <w:rPr>
          <w:rFonts w:ascii="Arial" w:hAnsi="Arial" w:cs="Arial"/>
          <w:kern w:val="0"/>
        </w:rPr>
        <w:t>, 331, pp. 1–12.</w:t>
      </w:r>
    </w:p>
    <w:p w14:paraId="10A51722"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Jobber, D. and Ellis-Chadwick, F. (2020) </w:t>
      </w:r>
      <w:r w:rsidRPr="005139BD">
        <w:rPr>
          <w:rFonts w:ascii="Arial" w:hAnsi="Arial" w:cs="Arial"/>
          <w:i/>
          <w:iCs/>
          <w:kern w:val="0"/>
        </w:rPr>
        <w:t>Principles and Practice of Marketing</w:t>
      </w:r>
      <w:r w:rsidRPr="005139BD">
        <w:rPr>
          <w:rFonts w:ascii="Arial" w:hAnsi="Arial" w:cs="Arial"/>
          <w:kern w:val="0"/>
        </w:rPr>
        <w:t xml:space="preserve">. 9th </w:t>
      </w:r>
      <w:proofErr w:type="spellStart"/>
      <w:r w:rsidRPr="005139BD">
        <w:rPr>
          <w:rFonts w:ascii="Arial" w:hAnsi="Arial" w:cs="Arial"/>
          <w:kern w:val="0"/>
        </w:rPr>
        <w:t>edn</w:t>
      </w:r>
      <w:proofErr w:type="spellEnd"/>
      <w:r w:rsidRPr="005139BD">
        <w:rPr>
          <w:rFonts w:ascii="Arial" w:hAnsi="Arial" w:cs="Arial"/>
          <w:kern w:val="0"/>
        </w:rPr>
        <w:t>. London: McGraw-Hill Education.</w:t>
      </w:r>
    </w:p>
    <w:p w14:paraId="2875397D"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Keller, K.L. (2013) </w:t>
      </w:r>
      <w:r w:rsidRPr="005139BD">
        <w:rPr>
          <w:rFonts w:ascii="Arial" w:hAnsi="Arial" w:cs="Arial"/>
          <w:i/>
          <w:iCs/>
          <w:kern w:val="0"/>
        </w:rPr>
        <w:t>Strategic Brand Management</w:t>
      </w:r>
      <w:r w:rsidRPr="005139BD">
        <w:rPr>
          <w:rFonts w:ascii="Arial" w:hAnsi="Arial" w:cs="Arial"/>
          <w:kern w:val="0"/>
        </w:rPr>
        <w:t xml:space="preserve">. 4th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342B32DB"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Kotler, P. and Armstrong, G. (2021) </w:t>
      </w:r>
      <w:r w:rsidRPr="005139BD">
        <w:rPr>
          <w:rFonts w:ascii="Arial" w:hAnsi="Arial" w:cs="Arial"/>
          <w:i/>
          <w:iCs/>
          <w:kern w:val="0"/>
        </w:rPr>
        <w:t>Principles of Marketing</w:t>
      </w:r>
      <w:r w:rsidRPr="005139BD">
        <w:rPr>
          <w:rFonts w:ascii="Arial" w:hAnsi="Arial" w:cs="Arial"/>
          <w:kern w:val="0"/>
        </w:rPr>
        <w:t xml:space="preserve">. 18th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784ABB52"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Kotler, P. and Keller, K.L. (2016) </w:t>
      </w:r>
      <w:r w:rsidRPr="005139BD">
        <w:rPr>
          <w:rFonts w:ascii="Arial" w:hAnsi="Arial" w:cs="Arial"/>
          <w:i/>
          <w:iCs/>
          <w:kern w:val="0"/>
        </w:rPr>
        <w:t>Marketing Management</w:t>
      </w:r>
      <w:r w:rsidRPr="005139BD">
        <w:rPr>
          <w:rFonts w:ascii="Arial" w:hAnsi="Arial" w:cs="Arial"/>
          <w:kern w:val="0"/>
        </w:rPr>
        <w:t xml:space="preserve">. 15th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660128BB"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Kumar, R.R. and Alok, K. (2020) ‘Adoption of electric vehicles: A literature review and prospects for sustainability’, </w:t>
      </w:r>
      <w:r w:rsidRPr="005139BD">
        <w:rPr>
          <w:rFonts w:ascii="Arial" w:hAnsi="Arial" w:cs="Arial"/>
          <w:i/>
          <w:iCs/>
          <w:kern w:val="0"/>
        </w:rPr>
        <w:t>Journal of Cleaner Production</w:t>
      </w:r>
      <w:r w:rsidRPr="005139BD">
        <w:rPr>
          <w:rFonts w:ascii="Arial" w:hAnsi="Arial" w:cs="Arial"/>
          <w:kern w:val="0"/>
        </w:rPr>
        <w:t>, 253, pp. 1–16.</w:t>
      </w:r>
    </w:p>
    <w:p w14:paraId="55847602"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Porter, M.E. (1985) </w:t>
      </w:r>
      <w:r w:rsidRPr="005139BD">
        <w:rPr>
          <w:rFonts w:ascii="Arial" w:hAnsi="Arial" w:cs="Arial"/>
          <w:i/>
          <w:iCs/>
          <w:kern w:val="0"/>
        </w:rPr>
        <w:t>Competitive Advantage</w:t>
      </w:r>
      <w:r w:rsidRPr="005139BD">
        <w:rPr>
          <w:rFonts w:ascii="Arial" w:hAnsi="Arial" w:cs="Arial"/>
          <w:kern w:val="0"/>
        </w:rPr>
        <w:t>. New York: Free Press.</w:t>
      </w:r>
    </w:p>
    <w:p w14:paraId="55B01007"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Prahalad, C.K. and Ramaswamy, V. (2004) ‘Co-creation experiences: The next practice in value creation’, </w:t>
      </w:r>
      <w:r w:rsidRPr="005139BD">
        <w:rPr>
          <w:rFonts w:ascii="Arial" w:hAnsi="Arial" w:cs="Arial"/>
          <w:i/>
          <w:iCs/>
          <w:kern w:val="0"/>
        </w:rPr>
        <w:t>Journal of Interactive Marketing</w:t>
      </w:r>
      <w:r w:rsidRPr="005139BD">
        <w:rPr>
          <w:rFonts w:ascii="Arial" w:hAnsi="Arial" w:cs="Arial"/>
          <w:kern w:val="0"/>
        </w:rPr>
        <w:t>, 18(3), pp. 5–14.</w:t>
      </w:r>
    </w:p>
    <w:p w14:paraId="5E63CC8F"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Ries, A. and Trout, J. (2001) </w:t>
      </w:r>
      <w:r w:rsidRPr="005139BD">
        <w:rPr>
          <w:rFonts w:ascii="Arial" w:hAnsi="Arial" w:cs="Arial"/>
          <w:i/>
          <w:iCs/>
          <w:kern w:val="0"/>
        </w:rPr>
        <w:t>Positioning: The Battle for Your Mind</w:t>
      </w:r>
      <w:r w:rsidRPr="005139BD">
        <w:rPr>
          <w:rFonts w:ascii="Arial" w:hAnsi="Arial" w:cs="Arial"/>
          <w:kern w:val="0"/>
        </w:rPr>
        <w:t>. New York: McGraw-Hill.</w:t>
      </w:r>
    </w:p>
    <w:p w14:paraId="35AB78FE"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Schiffman, L.G. and </w:t>
      </w:r>
      <w:proofErr w:type="spellStart"/>
      <w:r w:rsidRPr="005139BD">
        <w:rPr>
          <w:rFonts w:ascii="Arial" w:hAnsi="Arial" w:cs="Arial"/>
          <w:kern w:val="0"/>
        </w:rPr>
        <w:t>Wisenblit</w:t>
      </w:r>
      <w:proofErr w:type="spellEnd"/>
      <w:r w:rsidRPr="005139BD">
        <w:rPr>
          <w:rFonts w:ascii="Arial" w:hAnsi="Arial" w:cs="Arial"/>
          <w:kern w:val="0"/>
        </w:rPr>
        <w:t xml:space="preserve">, J. (2019) </w:t>
      </w:r>
      <w:r w:rsidRPr="005139BD">
        <w:rPr>
          <w:rFonts w:ascii="Arial" w:hAnsi="Arial" w:cs="Arial"/>
          <w:i/>
          <w:iCs/>
          <w:kern w:val="0"/>
        </w:rPr>
        <w:t>Consumer Behaviour</w:t>
      </w:r>
      <w:r w:rsidRPr="005139BD">
        <w:rPr>
          <w:rFonts w:ascii="Arial" w:hAnsi="Arial" w:cs="Arial"/>
          <w:kern w:val="0"/>
        </w:rPr>
        <w:t xml:space="preserve">. 12th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0E4D8975"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Solomon, M.R., Bamossy, G., Askegaard, S. and Hogg, M.K. (2019) </w:t>
      </w:r>
      <w:r w:rsidRPr="005139BD">
        <w:rPr>
          <w:rFonts w:ascii="Arial" w:hAnsi="Arial" w:cs="Arial"/>
          <w:i/>
          <w:iCs/>
          <w:kern w:val="0"/>
        </w:rPr>
        <w:t>Consumer Behaviour: A European Perspective</w:t>
      </w:r>
      <w:r w:rsidRPr="005139BD">
        <w:rPr>
          <w:rFonts w:ascii="Arial" w:hAnsi="Arial" w:cs="Arial"/>
          <w:kern w:val="0"/>
        </w:rPr>
        <w:t xml:space="preserve">. 7th </w:t>
      </w:r>
      <w:proofErr w:type="spellStart"/>
      <w:r w:rsidRPr="005139BD">
        <w:rPr>
          <w:rFonts w:ascii="Arial" w:hAnsi="Arial" w:cs="Arial"/>
          <w:kern w:val="0"/>
        </w:rPr>
        <w:t>edn</w:t>
      </w:r>
      <w:proofErr w:type="spellEnd"/>
      <w:r w:rsidRPr="005139BD">
        <w:rPr>
          <w:rFonts w:ascii="Arial" w:hAnsi="Arial" w:cs="Arial"/>
          <w:kern w:val="0"/>
        </w:rPr>
        <w:t>. Harlow: Pearson Education.</w:t>
      </w:r>
    </w:p>
    <w:p w14:paraId="4F9F1788"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Wedel, M. and Kamakura, W.A. (2012) </w:t>
      </w:r>
      <w:r w:rsidRPr="005139BD">
        <w:rPr>
          <w:rFonts w:ascii="Arial" w:hAnsi="Arial" w:cs="Arial"/>
          <w:i/>
          <w:iCs/>
          <w:kern w:val="0"/>
        </w:rPr>
        <w:t>Market Segmentation: Conceptual and Methodological Foundations</w:t>
      </w:r>
      <w:r w:rsidRPr="005139BD">
        <w:rPr>
          <w:rFonts w:ascii="Arial" w:hAnsi="Arial" w:cs="Arial"/>
          <w:kern w:val="0"/>
        </w:rPr>
        <w:t xml:space="preserve">. 2nd </w:t>
      </w:r>
      <w:proofErr w:type="spellStart"/>
      <w:r w:rsidRPr="005139BD">
        <w:rPr>
          <w:rFonts w:ascii="Arial" w:hAnsi="Arial" w:cs="Arial"/>
          <w:kern w:val="0"/>
        </w:rPr>
        <w:t>edn</w:t>
      </w:r>
      <w:proofErr w:type="spellEnd"/>
      <w:r w:rsidRPr="005139BD">
        <w:rPr>
          <w:rFonts w:ascii="Arial" w:hAnsi="Arial" w:cs="Arial"/>
          <w:kern w:val="0"/>
        </w:rPr>
        <w:t>. New York: Springer.</w:t>
      </w:r>
    </w:p>
    <w:p w14:paraId="2556A7EE" w14:textId="77777777" w:rsidR="009C16B8" w:rsidRPr="005139BD" w:rsidRDefault="009C16B8" w:rsidP="005139BD">
      <w:pPr>
        <w:autoSpaceDE w:val="0"/>
        <w:autoSpaceDN w:val="0"/>
        <w:adjustRightInd w:val="0"/>
        <w:spacing w:after="0" w:line="360" w:lineRule="auto"/>
        <w:jc w:val="both"/>
        <w:rPr>
          <w:rFonts w:ascii="Arial" w:hAnsi="Arial" w:cs="Arial"/>
          <w:kern w:val="0"/>
        </w:rPr>
      </w:pPr>
      <w:r w:rsidRPr="005139BD">
        <w:rPr>
          <w:rFonts w:ascii="Arial" w:hAnsi="Arial" w:cs="Arial"/>
          <w:kern w:val="0"/>
        </w:rPr>
        <w:t xml:space="preserve">White, K., Habib, R. and Hardisty, D.J. (2019) ‘How to shift consumer behaviours to be more sustainable’, </w:t>
      </w:r>
      <w:r w:rsidRPr="005139BD">
        <w:rPr>
          <w:rFonts w:ascii="Arial" w:hAnsi="Arial" w:cs="Arial"/>
          <w:i/>
          <w:iCs/>
          <w:kern w:val="0"/>
        </w:rPr>
        <w:t>Journal of Marketing</w:t>
      </w:r>
      <w:r w:rsidRPr="005139BD">
        <w:rPr>
          <w:rFonts w:ascii="Arial" w:hAnsi="Arial" w:cs="Arial"/>
          <w:kern w:val="0"/>
        </w:rPr>
        <w:t>, 83(3), pp. 22–49.</w:t>
      </w:r>
    </w:p>
    <w:p w14:paraId="3B2821B5" w14:textId="6EE5AD59" w:rsidR="00313F77" w:rsidRPr="005139BD" w:rsidRDefault="00313F77" w:rsidP="005139BD">
      <w:pPr>
        <w:spacing w:line="360" w:lineRule="auto"/>
        <w:jc w:val="both"/>
        <w:rPr>
          <w:rFonts w:ascii="Arial" w:hAnsi="Arial" w:cs="Arial"/>
        </w:rPr>
      </w:pPr>
    </w:p>
    <w:sectPr w:rsidR="00313F77" w:rsidRPr="005139B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C5385" w14:textId="77777777" w:rsidR="00B535A7" w:rsidRDefault="00B535A7" w:rsidP="004F1B07">
      <w:pPr>
        <w:spacing w:after="0" w:line="240" w:lineRule="auto"/>
      </w:pPr>
      <w:r>
        <w:separator/>
      </w:r>
    </w:p>
  </w:endnote>
  <w:endnote w:type="continuationSeparator" w:id="0">
    <w:p w14:paraId="1A94E06B" w14:textId="77777777" w:rsidR="00B535A7" w:rsidRDefault="00B535A7" w:rsidP="004F1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34669922"/>
      <w:docPartObj>
        <w:docPartGallery w:val="Page Numbers (Bottom of Page)"/>
        <w:docPartUnique/>
      </w:docPartObj>
    </w:sdtPr>
    <w:sdtEndPr>
      <w:rPr>
        <w:rStyle w:val="PageNumber"/>
      </w:rPr>
    </w:sdtEndPr>
    <w:sdtContent>
      <w:p w14:paraId="3AF15A5E" w14:textId="0FB220BC" w:rsidR="00E95E6D" w:rsidRDefault="00E95E6D" w:rsidP="00942B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5D3D724" w14:textId="77777777" w:rsidR="00E95E6D" w:rsidRDefault="00E95E6D" w:rsidP="00E95E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13590525"/>
      <w:docPartObj>
        <w:docPartGallery w:val="Page Numbers (Bottom of Page)"/>
        <w:docPartUnique/>
      </w:docPartObj>
    </w:sdtPr>
    <w:sdtEndPr>
      <w:rPr>
        <w:rStyle w:val="PageNumber"/>
      </w:rPr>
    </w:sdtEndPr>
    <w:sdtContent>
      <w:p w14:paraId="055A203A" w14:textId="400F70EE" w:rsidR="00E95E6D" w:rsidRDefault="00E95E6D" w:rsidP="00942B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07411F" w14:textId="77777777" w:rsidR="00E95E6D" w:rsidRDefault="00E95E6D" w:rsidP="00E95E6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DD16E" w14:textId="77777777" w:rsidR="00B535A7" w:rsidRDefault="00B535A7" w:rsidP="004F1B07">
      <w:pPr>
        <w:spacing w:after="0" w:line="240" w:lineRule="auto"/>
      </w:pPr>
      <w:r>
        <w:separator/>
      </w:r>
    </w:p>
  </w:footnote>
  <w:footnote w:type="continuationSeparator" w:id="0">
    <w:p w14:paraId="0191C028" w14:textId="77777777" w:rsidR="00B535A7" w:rsidRDefault="00B535A7" w:rsidP="004F1B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F77"/>
    <w:rsid w:val="00092E26"/>
    <w:rsid w:val="00313F77"/>
    <w:rsid w:val="004F1B07"/>
    <w:rsid w:val="005139BD"/>
    <w:rsid w:val="0055492A"/>
    <w:rsid w:val="00781A84"/>
    <w:rsid w:val="009C16B8"/>
    <w:rsid w:val="00B4756C"/>
    <w:rsid w:val="00B535A7"/>
    <w:rsid w:val="00E95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67832"/>
  <w15:chartTrackingRefBased/>
  <w15:docId w15:val="{30905AB5-576E-4147-AF93-E3D7775E2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3F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3F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3F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F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F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F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F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F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F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F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3F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3F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F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F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F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F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F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F77"/>
    <w:rPr>
      <w:rFonts w:eastAsiaTheme="majorEastAsia" w:cstheme="majorBidi"/>
      <w:color w:val="272727" w:themeColor="text1" w:themeTint="D8"/>
    </w:rPr>
  </w:style>
  <w:style w:type="paragraph" w:styleId="Title">
    <w:name w:val="Title"/>
    <w:basedOn w:val="Normal"/>
    <w:next w:val="Normal"/>
    <w:link w:val="TitleChar"/>
    <w:uiPriority w:val="10"/>
    <w:qFormat/>
    <w:rsid w:val="00313F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F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F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F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F77"/>
    <w:pPr>
      <w:spacing w:before="160"/>
      <w:jc w:val="center"/>
    </w:pPr>
    <w:rPr>
      <w:i/>
      <w:iCs/>
      <w:color w:val="404040" w:themeColor="text1" w:themeTint="BF"/>
    </w:rPr>
  </w:style>
  <w:style w:type="character" w:customStyle="1" w:styleId="QuoteChar">
    <w:name w:val="Quote Char"/>
    <w:basedOn w:val="DefaultParagraphFont"/>
    <w:link w:val="Quote"/>
    <w:uiPriority w:val="29"/>
    <w:rsid w:val="00313F77"/>
    <w:rPr>
      <w:i/>
      <w:iCs/>
      <w:color w:val="404040" w:themeColor="text1" w:themeTint="BF"/>
    </w:rPr>
  </w:style>
  <w:style w:type="paragraph" w:styleId="ListParagraph">
    <w:name w:val="List Paragraph"/>
    <w:basedOn w:val="Normal"/>
    <w:uiPriority w:val="34"/>
    <w:qFormat/>
    <w:rsid w:val="00313F77"/>
    <w:pPr>
      <w:ind w:left="720"/>
      <w:contextualSpacing/>
    </w:pPr>
  </w:style>
  <w:style w:type="character" w:styleId="IntenseEmphasis">
    <w:name w:val="Intense Emphasis"/>
    <w:basedOn w:val="DefaultParagraphFont"/>
    <w:uiPriority w:val="21"/>
    <w:qFormat/>
    <w:rsid w:val="00313F77"/>
    <w:rPr>
      <w:i/>
      <w:iCs/>
      <w:color w:val="0F4761" w:themeColor="accent1" w:themeShade="BF"/>
    </w:rPr>
  </w:style>
  <w:style w:type="paragraph" w:styleId="IntenseQuote">
    <w:name w:val="Intense Quote"/>
    <w:basedOn w:val="Normal"/>
    <w:next w:val="Normal"/>
    <w:link w:val="IntenseQuoteChar"/>
    <w:uiPriority w:val="30"/>
    <w:qFormat/>
    <w:rsid w:val="00313F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F77"/>
    <w:rPr>
      <w:i/>
      <w:iCs/>
      <w:color w:val="0F4761" w:themeColor="accent1" w:themeShade="BF"/>
    </w:rPr>
  </w:style>
  <w:style w:type="character" w:styleId="IntenseReference">
    <w:name w:val="Intense Reference"/>
    <w:basedOn w:val="DefaultParagraphFont"/>
    <w:uiPriority w:val="32"/>
    <w:qFormat/>
    <w:rsid w:val="00313F77"/>
    <w:rPr>
      <w:b/>
      <w:bCs/>
      <w:smallCaps/>
      <w:color w:val="0F4761" w:themeColor="accent1" w:themeShade="BF"/>
      <w:spacing w:val="5"/>
    </w:rPr>
  </w:style>
  <w:style w:type="paragraph" w:styleId="Header">
    <w:name w:val="header"/>
    <w:basedOn w:val="Normal"/>
    <w:link w:val="HeaderChar"/>
    <w:uiPriority w:val="99"/>
    <w:unhideWhenUsed/>
    <w:rsid w:val="004F1B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B07"/>
  </w:style>
  <w:style w:type="paragraph" w:styleId="Footer">
    <w:name w:val="footer"/>
    <w:basedOn w:val="Normal"/>
    <w:link w:val="FooterChar"/>
    <w:uiPriority w:val="99"/>
    <w:unhideWhenUsed/>
    <w:rsid w:val="004F1B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B07"/>
  </w:style>
  <w:style w:type="paragraph" w:styleId="TOCHeading">
    <w:name w:val="TOC Heading"/>
    <w:basedOn w:val="Heading1"/>
    <w:next w:val="Normal"/>
    <w:uiPriority w:val="39"/>
    <w:unhideWhenUsed/>
    <w:qFormat/>
    <w:rsid w:val="005139B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139BD"/>
    <w:pPr>
      <w:spacing w:before="120" w:after="0"/>
    </w:pPr>
    <w:rPr>
      <w:b/>
      <w:bCs/>
      <w:i/>
      <w:iCs/>
    </w:rPr>
  </w:style>
  <w:style w:type="paragraph" w:styleId="TOC2">
    <w:name w:val="toc 2"/>
    <w:basedOn w:val="Normal"/>
    <w:next w:val="Normal"/>
    <w:autoRedefine/>
    <w:uiPriority w:val="39"/>
    <w:semiHidden/>
    <w:unhideWhenUsed/>
    <w:rsid w:val="005139BD"/>
    <w:pPr>
      <w:spacing w:before="120" w:after="0"/>
      <w:ind w:left="240"/>
    </w:pPr>
    <w:rPr>
      <w:b/>
      <w:bCs/>
      <w:sz w:val="22"/>
      <w:szCs w:val="22"/>
    </w:rPr>
  </w:style>
  <w:style w:type="paragraph" w:styleId="TOC3">
    <w:name w:val="toc 3"/>
    <w:basedOn w:val="Normal"/>
    <w:next w:val="Normal"/>
    <w:autoRedefine/>
    <w:uiPriority w:val="39"/>
    <w:semiHidden/>
    <w:unhideWhenUsed/>
    <w:rsid w:val="005139BD"/>
    <w:pPr>
      <w:spacing w:after="0"/>
      <w:ind w:left="480"/>
    </w:pPr>
    <w:rPr>
      <w:sz w:val="20"/>
      <w:szCs w:val="20"/>
    </w:rPr>
  </w:style>
  <w:style w:type="paragraph" w:styleId="TOC4">
    <w:name w:val="toc 4"/>
    <w:basedOn w:val="Normal"/>
    <w:next w:val="Normal"/>
    <w:autoRedefine/>
    <w:uiPriority w:val="39"/>
    <w:semiHidden/>
    <w:unhideWhenUsed/>
    <w:rsid w:val="005139BD"/>
    <w:pPr>
      <w:spacing w:after="0"/>
      <w:ind w:left="720"/>
    </w:pPr>
    <w:rPr>
      <w:sz w:val="20"/>
      <w:szCs w:val="20"/>
    </w:rPr>
  </w:style>
  <w:style w:type="paragraph" w:styleId="TOC5">
    <w:name w:val="toc 5"/>
    <w:basedOn w:val="Normal"/>
    <w:next w:val="Normal"/>
    <w:autoRedefine/>
    <w:uiPriority w:val="39"/>
    <w:semiHidden/>
    <w:unhideWhenUsed/>
    <w:rsid w:val="005139BD"/>
    <w:pPr>
      <w:spacing w:after="0"/>
      <w:ind w:left="960"/>
    </w:pPr>
    <w:rPr>
      <w:sz w:val="20"/>
      <w:szCs w:val="20"/>
    </w:rPr>
  </w:style>
  <w:style w:type="paragraph" w:styleId="TOC6">
    <w:name w:val="toc 6"/>
    <w:basedOn w:val="Normal"/>
    <w:next w:val="Normal"/>
    <w:autoRedefine/>
    <w:uiPriority w:val="39"/>
    <w:semiHidden/>
    <w:unhideWhenUsed/>
    <w:rsid w:val="005139BD"/>
    <w:pPr>
      <w:spacing w:after="0"/>
      <w:ind w:left="1200"/>
    </w:pPr>
    <w:rPr>
      <w:sz w:val="20"/>
      <w:szCs w:val="20"/>
    </w:rPr>
  </w:style>
  <w:style w:type="paragraph" w:styleId="TOC7">
    <w:name w:val="toc 7"/>
    <w:basedOn w:val="Normal"/>
    <w:next w:val="Normal"/>
    <w:autoRedefine/>
    <w:uiPriority w:val="39"/>
    <w:semiHidden/>
    <w:unhideWhenUsed/>
    <w:rsid w:val="005139BD"/>
    <w:pPr>
      <w:spacing w:after="0"/>
      <w:ind w:left="1440"/>
    </w:pPr>
    <w:rPr>
      <w:sz w:val="20"/>
      <w:szCs w:val="20"/>
    </w:rPr>
  </w:style>
  <w:style w:type="paragraph" w:styleId="TOC8">
    <w:name w:val="toc 8"/>
    <w:basedOn w:val="Normal"/>
    <w:next w:val="Normal"/>
    <w:autoRedefine/>
    <w:uiPriority w:val="39"/>
    <w:semiHidden/>
    <w:unhideWhenUsed/>
    <w:rsid w:val="005139BD"/>
    <w:pPr>
      <w:spacing w:after="0"/>
      <w:ind w:left="1680"/>
    </w:pPr>
    <w:rPr>
      <w:sz w:val="20"/>
      <w:szCs w:val="20"/>
    </w:rPr>
  </w:style>
  <w:style w:type="paragraph" w:styleId="TOC9">
    <w:name w:val="toc 9"/>
    <w:basedOn w:val="Normal"/>
    <w:next w:val="Normal"/>
    <w:autoRedefine/>
    <w:uiPriority w:val="39"/>
    <w:semiHidden/>
    <w:unhideWhenUsed/>
    <w:rsid w:val="005139BD"/>
    <w:pPr>
      <w:spacing w:after="0"/>
      <w:ind w:left="1920"/>
    </w:pPr>
    <w:rPr>
      <w:sz w:val="20"/>
      <w:szCs w:val="20"/>
    </w:rPr>
  </w:style>
  <w:style w:type="character" w:styleId="Hyperlink">
    <w:name w:val="Hyperlink"/>
    <w:basedOn w:val="DefaultParagraphFont"/>
    <w:uiPriority w:val="99"/>
    <w:unhideWhenUsed/>
    <w:rsid w:val="005139BD"/>
    <w:rPr>
      <w:color w:val="467886" w:themeColor="hyperlink"/>
      <w:u w:val="single"/>
    </w:rPr>
  </w:style>
  <w:style w:type="character" w:styleId="PageNumber">
    <w:name w:val="page number"/>
    <w:basedOn w:val="DefaultParagraphFont"/>
    <w:uiPriority w:val="99"/>
    <w:semiHidden/>
    <w:unhideWhenUsed/>
    <w:rsid w:val="00E95E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CAD24F-5B01-6A4F-B37B-126625005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4086</Words>
  <Characters>23292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Omkar Jalindar Shinde (2526513)</dc:creator>
  <cp:keywords/>
  <dc:description/>
  <cp:lastModifiedBy>Omkar Jalindar Shinde (2526513)</cp:lastModifiedBy>
  <cp:revision>2</cp:revision>
  <dcterms:created xsi:type="dcterms:W3CDTF">2026-05-03T13:31:00Z</dcterms:created>
  <dcterms:modified xsi:type="dcterms:W3CDTF">2026-05-03T13:31:00Z</dcterms:modified>
</cp:coreProperties>
</file>