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B80BF9E" w14:textId="4D8057D2" w:rsidR="003A5536" w:rsidRPr="00251DC4" w:rsidRDefault="003A5536" w:rsidP="003A5536">
      <w:pPr>
        <w:pStyle w:val="Title"/>
        <w:rPr>
          <w:rFonts w:eastAsia="Calibri" w:cs="Times New Roman"/>
        </w:rPr>
      </w:pPr>
      <w:r w:rsidRPr="00251DC4">
        <w:rPr>
          <w:rFonts w:eastAsia="Calibri" w:cs="Times New Roman"/>
        </w:rPr>
        <w:t>Securing Cloud and Hybrid Environments: Strategies for mitigating risks in Azure,</w:t>
      </w:r>
      <w:r w:rsidRPr="00251DC4">
        <w:rPr>
          <w:rFonts w:eastAsia="Calibri" w:cs="Times New Roman"/>
        </w:rPr>
        <w:t xml:space="preserve"> </w:t>
      </w:r>
      <w:r w:rsidRPr="00251DC4">
        <w:rPr>
          <w:rFonts w:eastAsia="Calibri" w:cs="Times New Roman"/>
        </w:rPr>
        <w:t>including Cloud Security Posture Management (CSPM)</w:t>
      </w:r>
    </w:p>
    <w:p w14:paraId="23AF8343" w14:textId="6D0B747D" w:rsidR="00A52B06" w:rsidRPr="00251DC4" w:rsidRDefault="00A52B06" w:rsidP="00DD068B">
      <w:pPr>
        <w:pStyle w:val="Title"/>
        <w:rPr>
          <w:rFonts w:cs="Times New Roman"/>
        </w:rPr>
      </w:pPr>
    </w:p>
    <w:p w14:paraId="119BB8D7" w14:textId="780CA15E" w:rsidR="00DD068B" w:rsidRPr="00251DC4" w:rsidRDefault="003A5536" w:rsidP="00DD068B">
      <w:pPr>
        <w:pStyle w:val="IEEE-Author"/>
        <w:rPr>
          <w:rFonts w:cs="Times New Roman"/>
        </w:rPr>
      </w:pPr>
      <w:r w:rsidRPr="00251DC4">
        <w:rPr>
          <w:rFonts w:cs="Times New Roman"/>
        </w:rPr>
        <w:t>Judit Varga</w:t>
      </w:r>
    </w:p>
    <w:p w14:paraId="37F671CC" w14:textId="18CC0E4C" w:rsidR="00DD068B" w:rsidRPr="00251DC4" w:rsidRDefault="00DD068B" w:rsidP="00DD068B">
      <w:pPr>
        <w:pStyle w:val="IEEE-Affil"/>
        <w:rPr>
          <w:rFonts w:cs="Times New Roman"/>
        </w:rPr>
      </w:pPr>
      <w:r w:rsidRPr="00251DC4">
        <w:rPr>
          <w:rFonts w:cs="Times New Roman"/>
        </w:rPr>
        <w:t>Student University of Wales Trinity St David, Swansea, Wales</w:t>
      </w:r>
    </w:p>
    <w:p w14:paraId="674D2AAF" w14:textId="61479F22" w:rsidR="00DD068B" w:rsidRPr="00251DC4" w:rsidRDefault="003A5536" w:rsidP="00DD068B">
      <w:pPr>
        <w:jc w:val="center"/>
        <w:rPr>
          <w:rFonts w:cs="Times New Roman"/>
          <w:sz w:val="18"/>
          <w:szCs w:val="18"/>
        </w:rPr>
      </w:pPr>
      <w:r w:rsidRPr="00251DC4">
        <w:rPr>
          <w:rFonts w:cs="Times New Roman"/>
          <w:sz w:val="18"/>
          <w:szCs w:val="18"/>
        </w:rPr>
        <w:t>2411527</w:t>
      </w:r>
      <w:r w:rsidR="00DD068B" w:rsidRPr="00251DC4">
        <w:rPr>
          <w:rFonts w:cs="Times New Roman"/>
          <w:sz w:val="18"/>
          <w:szCs w:val="18"/>
        </w:rPr>
        <w:t>@student.uwtsd.ac.uk</w:t>
      </w:r>
    </w:p>
    <w:p w14:paraId="0C8563C1" w14:textId="77777777" w:rsidR="00DD068B" w:rsidRPr="00251DC4" w:rsidRDefault="00DD068B" w:rsidP="00DD068B">
      <w:pPr>
        <w:jc w:val="center"/>
        <w:rPr>
          <w:rFonts w:cs="Times New Roman"/>
          <w:sz w:val="18"/>
          <w:szCs w:val="18"/>
        </w:rPr>
        <w:sectPr w:rsidR="00DD068B" w:rsidRPr="00251DC4">
          <w:pgSz w:w="11906" w:h="16838"/>
          <w:pgMar w:top="1440" w:right="1440" w:bottom="1440" w:left="1440" w:header="708" w:footer="708" w:gutter="0"/>
          <w:cols w:space="708"/>
          <w:docGrid w:linePitch="360"/>
        </w:sectPr>
      </w:pPr>
    </w:p>
    <w:p w14:paraId="6C11A098" w14:textId="6DDBADC1" w:rsidR="003A5536" w:rsidRPr="00251DC4" w:rsidRDefault="003A5536" w:rsidP="001B1CF2">
      <w:pPr>
        <w:pStyle w:val="SectionH"/>
        <w:rPr>
          <w:lang w:eastAsia="en-GB"/>
        </w:rPr>
      </w:pPr>
      <w:r w:rsidRPr="00251DC4">
        <w:rPr>
          <w:lang w:eastAsia="en-GB"/>
        </w:rPr>
        <w:t>Introduction</w:t>
      </w:r>
    </w:p>
    <w:p w14:paraId="7B4ACFBE"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“There is no ‘offline’ state for modern infrastructure. The attack surface is not just larger, it is continuous, infinite,” writes Michael Howard in </w:t>
      </w:r>
      <w:r w:rsidRPr="00251DC4">
        <w:rPr>
          <w:rFonts w:eastAsia="Times New Roman" w:cs="Times New Roman"/>
          <w:i/>
          <w:iCs/>
          <w:lang w:eastAsia="en-GB"/>
        </w:rPr>
        <w:t>Threat-Driven Software Development</w:t>
      </w:r>
      <w:r w:rsidRPr="00251DC4">
        <w:rPr>
          <w:rFonts w:eastAsia="Times New Roman" w:cs="Times New Roman"/>
          <w:lang w:eastAsia="en-GB"/>
        </w:rPr>
        <w:t> [1]. Howard presents Microsoft’s Secure Future Initiative (SFI) as a strategic response to this continuously active threat environment [1].</w:t>
      </w:r>
    </w:p>
    <w:p w14:paraId="001094DA"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Cloud computing and hybrid environments have fundamentally transformed the cybersecurity landscape. Organisations increasingly rely on Microsoft Azure, Software-as-a-Service (SaaS) applications, remote working technologies and interconnected digital supply chains to deliver business-critical services [2], [3].</w:t>
      </w:r>
    </w:p>
    <w:p w14:paraId="172B272B" w14:textId="415FD726"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While cloud technologies have improved scalability, flexibility and innovation, they have also expanded the attack surface through greater reliance on digital identities, cloud services, application programming interfaces (APIs) and third-party providers [4],</w:t>
      </w:r>
      <w:r w:rsidR="00A87E13" w:rsidRPr="00251DC4">
        <w:rPr>
          <w:rFonts w:eastAsia="Times New Roman" w:cs="Times New Roman"/>
          <w:lang w:eastAsia="en-GB"/>
        </w:rPr>
        <w:t xml:space="preserve"> </w:t>
      </w:r>
      <w:r w:rsidRPr="00251DC4">
        <w:rPr>
          <w:rFonts w:eastAsia="Times New Roman" w:cs="Times New Roman"/>
          <w:lang w:eastAsia="en-GB"/>
        </w:rPr>
        <w:t>[5]. Hybrid environments further increase complexity by creating overlapping trust boundaries between on-premises infrastructure, cloud platforms, SaaS applications and external partners. Consequently, organisations must secure multiple environments while operating within the cloud shared-responsibility model [5].</w:t>
      </w:r>
    </w:p>
    <w:p w14:paraId="6D8A6A65" w14:textId="60AA51FA"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As the traditional network perimeter has diminished, identities have become the primary security boundary. Verizon’s </w:t>
      </w:r>
      <w:r w:rsidRPr="00251DC4">
        <w:rPr>
          <w:rFonts w:eastAsia="Times New Roman" w:cs="Times New Roman"/>
          <w:i/>
          <w:iCs/>
          <w:lang w:eastAsia="en-GB"/>
        </w:rPr>
        <w:t>2025 Data Breach Investigations Report</w:t>
      </w:r>
      <w:r w:rsidRPr="00251DC4">
        <w:rPr>
          <w:rFonts w:eastAsia="Times New Roman" w:cs="Times New Roman"/>
          <w:lang w:eastAsia="en-GB"/>
        </w:rPr>
        <w:t> identifies credential abuse as one of the most common initial-access vectors, while Microsoft’s </w:t>
      </w:r>
      <w:r w:rsidRPr="00251DC4">
        <w:rPr>
          <w:rFonts w:eastAsia="Times New Roman" w:cs="Times New Roman"/>
          <w:i/>
          <w:iCs/>
          <w:lang w:eastAsia="en-GB"/>
        </w:rPr>
        <w:t>Digital Defense Report 2025</w:t>
      </w:r>
      <w:r w:rsidRPr="00251DC4">
        <w:rPr>
          <w:rFonts w:eastAsia="Times New Roman" w:cs="Times New Roman"/>
          <w:lang w:eastAsia="en-GB"/>
        </w:rPr>
        <w:t> similarly identifies identity-based attacks as a primary threat [6], [7]. Schmitt and Flechais argue further that advances in generative artificial intelligence are enabling phishing, credential theft and social engineering attacks to be conducted with greater speed, realism and scale</w:t>
      </w:r>
      <w:r w:rsidR="00545BB5" w:rsidRPr="00251DC4">
        <w:rPr>
          <w:rFonts w:eastAsia="Times New Roman" w:cs="Times New Roman"/>
          <w:lang w:eastAsia="en-GB"/>
        </w:rPr>
        <w:t xml:space="preserve"> </w:t>
      </w:r>
      <w:r w:rsidRPr="00251DC4">
        <w:rPr>
          <w:rFonts w:eastAsia="Times New Roman" w:cs="Times New Roman"/>
          <w:lang w:eastAsia="en-GB"/>
        </w:rPr>
        <w:t>[8]. Cybercrime-as-a-service models, including Malware-as-a-Service (MaaS) and Ransomware-as-a-Service (RaaS), have significantly lowered the barriers to sophisticated cyberattacks [7], [9].</w:t>
      </w:r>
    </w:p>
    <w:p w14:paraId="7220A103"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 xml:space="preserve">Microsoft Azure provides security capabilities to address these challenges, including Microsoft Entra ID for identity and access management, Microsoft Defender for Cloud for Cloud Security </w:t>
      </w:r>
      <w:r w:rsidRPr="00251DC4">
        <w:rPr>
          <w:rFonts w:eastAsia="Times New Roman" w:cs="Times New Roman"/>
          <w:lang w:eastAsia="en-GB"/>
        </w:rPr>
        <w:lastRenderedPageBreak/>
        <w:t>Posture Management (CSPM) and workload protection, and Microsoft Sentinel for AI-assisted security monitoring and incident response [10].</w:t>
      </w:r>
    </w:p>
    <w:p w14:paraId="68CDF589"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This report evaluates the principal organisational capabilities required to secure Microsoft Azure and hybrid environments using evidence from academic literature, government guidance, industry research and contemporary cyber incidents. It argues that perimeter-based security is no longer sufficient; securing Azure and hybrid environments instead requires the coordinated integration of governance, identity and privileged-access management, secure application development, AI-enabled detection and response, and cyber resilience.</w:t>
      </w:r>
    </w:p>
    <w:p w14:paraId="405175F1" w14:textId="77777777" w:rsidR="003A5536" w:rsidRPr="00251DC4" w:rsidRDefault="003A5536" w:rsidP="001B1CF2">
      <w:pPr>
        <w:pStyle w:val="SectionH"/>
        <w:numPr>
          <w:ilvl w:val="0"/>
          <w:numId w:val="0"/>
        </w:numPr>
        <w:ind w:left="720"/>
        <w:rPr>
          <w:lang w:eastAsia="en-GB"/>
        </w:rPr>
      </w:pPr>
      <w:r w:rsidRPr="00251DC4">
        <w:rPr>
          <w:lang w:eastAsia="en-GB"/>
        </w:rPr>
        <w:t>2. Organisational Capabilities for Securing Microsoft Azure and Hybrid Environments</w:t>
      </w:r>
    </w:p>
    <w:p w14:paraId="10266AFB"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Five organisational capabilities were identified through analysis of the Microsoft Cloud Adoption Framework, the NIST Cybersecurity Framework (CSF) 2.0, NIST Zero Trust Architecture, IBM X-Force threat intelligence, Microsoft security guidance and recent academic research.</w:t>
      </w:r>
    </w:p>
    <w:p w14:paraId="2CE2DD27"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The five capabilities are:</w:t>
      </w:r>
    </w:p>
    <w:p w14:paraId="164ADCF7" w14:textId="77777777" w:rsidR="003A5536" w:rsidRPr="00251DC4" w:rsidRDefault="003A5536" w:rsidP="003A5536">
      <w:pPr>
        <w:numPr>
          <w:ilvl w:val="0"/>
          <w:numId w:val="5"/>
        </w:numPr>
        <w:spacing w:before="100" w:beforeAutospacing="1" w:after="100" w:afterAutospacing="1" w:line="240" w:lineRule="auto"/>
        <w:jc w:val="left"/>
        <w:rPr>
          <w:rFonts w:eastAsia="Times New Roman" w:cs="Times New Roman"/>
          <w:lang w:eastAsia="en-GB"/>
        </w:rPr>
      </w:pPr>
      <w:r w:rsidRPr="00251DC4">
        <w:rPr>
          <w:rFonts w:eastAsia="Times New Roman" w:cs="Times New Roman"/>
          <w:lang w:eastAsia="en-GB"/>
        </w:rPr>
        <w:t>Leadership, governance and Cloud Security Posture Management (CSPM)</w:t>
      </w:r>
    </w:p>
    <w:p w14:paraId="510BA142" w14:textId="77777777" w:rsidR="003A5536" w:rsidRPr="00251DC4" w:rsidRDefault="003A5536" w:rsidP="003A5536">
      <w:pPr>
        <w:numPr>
          <w:ilvl w:val="0"/>
          <w:numId w:val="5"/>
        </w:numPr>
        <w:spacing w:before="100" w:beforeAutospacing="1" w:after="100" w:afterAutospacing="1" w:line="240" w:lineRule="auto"/>
        <w:jc w:val="left"/>
        <w:rPr>
          <w:rFonts w:eastAsia="Times New Roman" w:cs="Times New Roman"/>
          <w:lang w:eastAsia="en-GB"/>
        </w:rPr>
      </w:pPr>
      <w:r w:rsidRPr="00251DC4">
        <w:rPr>
          <w:rFonts w:eastAsia="Times New Roman" w:cs="Times New Roman"/>
          <w:lang w:eastAsia="en-GB"/>
        </w:rPr>
        <w:t>Identity and privileged-access management</w:t>
      </w:r>
    </w:p>
    <w:p w14:paraId="46363D4A" w14:textId="77777777" w:rsidR="003A5536" w:rsidRPr="00251DC4" w:rsidRDefault="003A5536" w:rsidP="003A5536">
      <w:pPr>
        <w:numPr>
          <w:ilvl w:val="0"/>
          <w:numId w:val="5"/>
        </w:numPr>
        <w:spacing w:before="100" w:beforeAutospacing="1" w:after="100" w:afterAutospacing="1" w:line="240" w:lineRule="auto"/>
        <w:jc w:val="left"/>
        <w:rPr>
          <w:rFonts w:eastAsia="Times New Roman" w:cs="Times New Roman"/>
          <w:lang w:eastAsia="en-GB"/>
        </w:rPr>
      </w:pPr>
      <w:r w:rsidRPr="00251DC4">
        <w:rPr>
          <w:rFonts w:eastAsia="Times New Roman" w:cs="Times New Roman"/>
          <w:lang w:eastAsia="en-GB"/>
        </w:rPr>
        <w:t>Application and workload protection</w:t>
      </w:r>
    </w:p>
    <w:p w14:paraId="29DA1155" w14:textId="77777777" w:rsidR="003A5536" w:rsidRPr="00251DC4" w:rsidRDefault="003A5536" w:rsidP="003A5536">
      <w:pPr>
        <w:numPr>
          <w:ilvl w:val="0"/>
          <w:numId w:val="5"/>
        </w:numPr>
        <w:spacing w:before="100" w:beforeAutospacing="1" w:after="100" w:afterAutospacing="1" w:line="240" w:lineRule="auto"/>
        <w:jc w:val="left"/>
        <w:rPr>
          <w:rFonts w:eastAsia="Times New Roman" w:cs="Times New Roman"/>
          <w:lang w:eastAsia="en-GB"/>
        </w:rPr>
      </w:pPr>
      <w:r w:rsidRPr="00251DC4">
        <w:rPr>
          <w:rFonts w:eastAsia="Times New Roman" w:cs="Times New Roman"/>
          <w:lang w:eastAsia="en-GB"/>
        </w:rPr>
        <w:t>AI-enabled detection and response</w:t>
      </w:r>
    </w:p>
    <w:p w14:paraId="2DD7AE5D" w14:textId="77777777" w:rsidR="003A5536" w:rsidRPr="00251DC4" w:rsidRDefault="003A5536" w:rsidP="003A5536">
      <w:pPr>
        <w:numPr>
          <w:ilvl w:val="0"/>
          <w:numId w:val="5"/>
        </w:numPr>
        <w:spacing w:before="100" w:beforeAutospacing="1" w:after="100" w:afterAutospacing="1" w:line="240" w:lineRule="auto"/>
        <w:jc w:val="left"/>
        <w:rPr>
          <w:rFonts w:eastAsia="Times New Roman" w:cs="Times New Roman"/>
          <w:lang w:eastAsia="en-GB"/>
        </w:rPr>
      </w:pPr>
      <w:r w:rsidRPr="00251DC4">
        <w:rPr>
          <w:rFonts w:eastAsia="Times New Roman" w:cs="Times New Roman"/>
          <w:lang w:eastAsia="en-GB"/>
        </w:rPr>
        <w:t>Cyber resilience</w:t>
      </w:r>
    </w:p>
    <w:p w14:paraId="46490060"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Leadership and governance are evaluated alongside CSPM because CSPM operationalises governance through continuous configuration assessment, policy enforcement, compliance monitoring and remediation rather than functioning as an independent strategic capability. Consistent with the Microsoft Cloud Adoption Framework and the NIST Cybersecurity Framework 2.0, network security, data security and third-party supply-chain security are treated as cross-cutting controls implemented through these broader capabilities rather than as standalone capabilities [5], [11].</w:t>
      </w:r>
    </w:p>
    <w:p w14:paraId="79A02D80"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The evaluation criteria have been synthesised from recurring themes across the NIST Cybersecurity Framework 2.0, Microsoft’s Cloud Adoption Framework, IBM X-Force threat intelligence and current academic literature. Together, they provide a consistent basis for assessing each capability’s contribution to securing Azure and hybrid environments.</w:t>
      </w:r>
    </w:p>
    <w:p w14:paraId="10FE8469"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The first criterion, </w:t>
      </w:r>
      <w:r w:rsidRPr="00251DC4">
        <w:rPr>
          <w:rFonts w:eastAsia="Times New Roman" w:cs="Times New Roman"/>
          <w:i/>
          <w:iCs/>
          <w:lang w:eastAsia="en-GB"/>
        </w:rPr>
        <w:t>relevance to contemporary threat actors</w:t>
      </w:r>
      <w:r w:rsidRPr="00251DC4">
        <w:rPr>
          <w:rFonts w:eastAsia="Times New Roman" w:cs="Times New Roman"/>
          <w:lang w:eastAsia="en-GB"/>
        </w:rPr>
        <w:t>, evaluates how each capability addresses the tactics, techniques and procedures used by current adversaries. NIST CSF 2.0 advocates threat-informed risk management, while IBM X-Force, Microsoft’s </w:t>
      </w:r>
      <w:r w:rsidRPr="00251DC4">
        <w:rPr>
          <w:rFonts w:eastAsia="Times New Roman" w:cs="Times New Roman"/>
          <w:i/>
          <w:iCs/>
          <w:lang w:eastAsia="en-GB"/>
        </w:rPr>
        <w:t>Digital Defense Report</w:t>
      </w:r>
      <w:r w:rsidRPr="00251DC4">
        <w:rPr>
          <w:rFonts w:eastAsia="Times New Roman" w:cs="Times New Roman"/>
          <w:lang w:eastAsia="en-GB"/>
        </w:rPr>
        <w:t> and Verizon’s </w:t>
      </w:r>
      <w:r w:rsidRPr="00251DC4">
        <w:rPr>
          <w:rFonts w:eastAsia="Times New Roman" w:cs="Times New Roman"/>
          <w:i/>
          <w:iCs/>
          <w:lang w:eastAsia="en-GB"/>
        </w:rPr>
        <w:t>Data Breach Investigations Report</w:t>
      </w:r>
      <w:r w:rsidRPr="00251DC4">
        <w:rPr>
          <w:rFonts w:eastAsia="Times New Roman" w:cs="Times New Roman"/>
          <w:lang w:eastAsia="en-GB"/>
        </w:rPr>
        <w:t> provide evidence of the techniques most frequently observed during real-world cyber incidents [2], [6], [7], [11].</w:t>
      </w:r>
    </w:p>
    <w:p w14:paraId="0F2A5BD5"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The second criterion, </w:t>
      </w:r>
      <w:r w:rsidRPr="00251DC4">
        <w:rPr>
          <w:rFonts w:eastAsia="Times New Roman" w:cs="Times New Roman"/>
          <w:i/>
          <w:iCs/>
          <w:lang w:eastAsia="en-GB"/>
        </w:rPr>
        <w:t>organisational impact if compromised</w:t>
      </w:r>
      <w:r w:rsidRPr="00251DC4">
        <w:rPr>
          <w:rFonts w:eastAsia="Times New Roman" w:cs="Times New Roman"/>
          <w:lang w:eastAsia="en-GB"/>
        </w:rPr>
        <w:t>, considers the operational, financial, legal and reputational consequences of weaknesses in each capability. This reflects the risk-based approach promoted by NIST CSF 2.0, which treats cybersecurity as an enterprise-wide business risk rather than solely a technical issue [11].</w:t>
      </w:r>
    </w:p>
    <w:p w14:paraId="6711A9E2"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lastRenderedPageBreak/>
        <w:t>The third criterion, </w:t>
      </w:r>
      <w:r w:rsidRPr="00251DC4">
        <w:rPr>
          <w:rFonts w:eastAsia="Times New Roman" w:cs="Times New Roman"/>
          <w:i/>
          <w:iCs/>
          <w:lang w:eastAsia="en-GB"/>
        </w:rPr>
        <w:t>effectiveness across prevention, detection, response and recovery</w:t>
      </w:r>
      <w:r w:rsidRPr="00251DC4">
        <w:rPr>
          <w:rFonts w:eastAsia="Times New Roman" w:cs="Times New Roman"/>
          <w:lang w:eastAsia="en-GB"/>
        </w:rPr>
        <w:t>, acknowledges that no single capability provides complete protection. Effective cybersecurity requires complementary controls spanning prevention, detection, response and recovery [11], [12].</w:t>
      </w:r>
    </w:p>
    <w:p w14:paraId="2BAF2316"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The final criterion, </w:t>
      </w:r>
      <w:r w:rsidRPr="00251DC4">
        <w:rPr>
          <w:rFonts w:eastAsia="Times New Roman" w:cs="Times New Roman"/>
          <w:i/>
          <w:iCs/>
          <w:lang w:eastAsia="en-GB"/>
        </w:rPr>
        <w:t>contribution to securing Microsoft Azure and hybrid environments</w:t>
      </w:r>
      <w:r w:rsidRPr="00251DC4">
        <w:rPr>
          <w:rFonts w:eastAsia="Times New Roman" w:cs="Times New Roman"/>
          <w:lang w:eastAsia="en-GB"/>
        </w:rPr>
        <w:t>, assesses how effectively each capability addresses the challenges of Microsoft’s shared-responsibility model, cloud-native architectures and hybrid infrastructure [5].</w:t>
      </w:r>
    </w:p>
    <w:p w14:paraId="78E1D09D" w14:textId="77777777" w:rsidR="003A5536" w:rsidRPr="00251DC4" w:rsidRDefault="003A5536" w:rsidP="003A5536">
      <w:pPr>
        <w:spacing w:before="100" w:beforeAutospacing="1" w:after="100" w:afterAutospacing="1"/>
        <w:rPr>
          <w:rFonts w:eastAsia="Times New Roman" w:cs="Times New Roman"/>
          <w:lang w:eastAsia="en-GB"/>
        </w:rPr>
      </w:pPr>
      <w:r w:rsidRPr="00251DC4">
        <w:rPr>
          <w:rFonts w:eastAsia="Times New Roman" w:cs="Times New Roman"/>
          <w:lang w:eastAsia="en-GB"/>
        </w:rPr>
        <w:t>These criteria provide a structured basis for evaluating the five capabilities examined in this report.</w:t>
      </w:r>
    </w:p>
    <w:p w14:paraId="0A0D1E22" w14:textId="48E4FA49" w:rsidR="003A5536" w:rsidRPr="00251DC4" w:rsidRDefault="001B1CF2" w:rsidP="001B1CF2">
      <w:pPr>
        <w:pStyle w:val="SectionH"/>
        <w:numPr>
          <w:ilvl w:val="0"/>
          <w:numId w:val="0"/>
        </w:numPr>
        <w:ind w:left="360"/>
      </w:pPr>
      <w:r w:rsidRPr="00251DC4">
        <w:t>2</w:t>
      </w:r>
      <w:r w:rsidR="003A5536" w:rsidRPr="00251DC4">
        <w:t>.1 Leadership, Governance and Cloud Security Posture Management</w:t>
      </w:r>
    </w:p>
    <w:p w14:paraId="3449C503" w14:textId="77777777" w:rsidR="003A5536" w:rsidRPr="00251DC4" w:rsidRDefault="003A5536" w:rsidP="003A5536">
      <w:pPr>
        <w:rPr>
          <w:rFonts w:cs="Times New Roman"/>
          <w:szCs w:val="24"/>
        </w:rPr>
      </w:pPr>
    </w:p>
    <w:p w14:paraId="0D17C295" w14:textId="77777777" w:rsidR="003A5536" w:rsidRPr="00251DC4" w:rsidRDefault="003A5536" w:rsidP="003A5536">
      <w:pPr>
        <w:rPr>
          <w:rFonts w:cs="Times New Roman"/>
          <w:szCs w:val="24"/>
        </w:rPr>
      </w:pPr>
      <w:r w:rsidRPr="00251DC4">
        <w:rPr>
          <w:rFonts w:cs="Times New Roman"/>
          <w:szCs w:val="24"/>
        </w:rPr>
        <w:t>The 2019 Capital One data breach remains one of the most significant case studies demonstrating the importance of leadership, governance and Cloud Security Posture Management (CSPM) in securing cloud environments [13]. The breach occurred when a misconfigured web application firewall enabled an attacker to exploit an overly permissive Identity and Access Management (IAM) role, resulting in the exposure of personal information relating to more than 100 million customers [13]. Although the incident occurred within Amazon Web Services (AWS), subsequent investigations concluded that the primary causes were failures in cloud governance, configuration management and implementation of the shared-responsibility model rather than inherent weaknesses within the cloud platform itself [13].</w:t>
      </w:r>
    </w:p>
    <w:p w14:paraId="63909456" w14:textId="77777777" w:rsidR="003A5536" w:rsidRPr="00251DC4" w:rsidRDefault="003A5536" w:rsidP="003A5536">
      <w:pPr>
        <w:rPr>
          <w:rFonts w:cs="Times New Roman"/>
          <w:szCs w:val="24"/>
        </w:rPr>
      </w:pPr>
    </w:p>
    <w:p w14:paraId="3C9788A6" w14:textId="77777777" w:rsidR="003A5536" w:rsidRPr="00251DC4" w:rsidRDefault="003A5536" w:rsidP="003A5536">
      <w:pPr>
        <w:rPr>
          <w:rFonts w:cs="Times New Roman"/>
          <w:szCs w:val="24"/>
        </w:rPr>
      </w:pPr>
      <w:r w:rsidRPr="00251DC4">
        <w:rPr>
          <w:rFonts w:cs="Times New Roman"/>
          <w:szCs w:val="24"/>
        </w:rPr>
        <w:t>The Capital One breach illustrates a broader challenge associated with cloud adoption. As organisations increasingly operate across Microsoft Azure, hybrid infrastructure and Software-as-a-Service (SaaS) platforms, maintaining consistent governance, security policies and operational visibility becomes significantly more complex [2], [5]. The NIST Cybersecurity Framework (CSF) 2.0 identifies governance as the organisational capability responsible for establishing cybersecurity strategy, assigning accountability and integrating cyber risk into enterprise-wide risk management [11]. Similarly, Microsoft</w:t>
      </w:r>
      <w:r w:rsidRPr="00251DC4">
        <w:rPr>
          <w:rFonts w:cs="Times New Roman"/>
        </w:rPr>
        <w:t>’</w:t>
      </w:r>
      <w:r w:rsidRPr="00251DC4">
        <w:rPr>
          <w:rFonts w:cs="Times New Roman"/>
          <w:szCs w:val="24"/>
        </w:rPr>
        <w:t>s Cloud Adoption Framework positions governance as the foundation for ensuring that cloud resources are deployed, managed and monitored in accordance with organisational security, compliance and operational requirements [5].</w:t>
      </w:r>
    </w:p>
    <w:p w14:paraId="1C62273E" w14:textId="77777777" w:rsidR="003A5536" w:rsidRPr="00251DC4" w:rsidRDefault="003A5536" w:rsidP="003A5536">
      <w:pPr>
        <w:rPr>
          <w:rFonts w:cs="Times New Roman"/>
          <w:szCs w:val="24"/>
        </w:rPr>
      </w:pPr>
    </w:p>
    <w:p w14:paraId="7C882E51" w14:textId="77777777" w:rsidR="003A5536" w:rsidRPr="00251DC4" w:rsidRDefault="003A5536" w:rsidP="003A5536">
      <w:pPr>
        <w:rPr>
          <w:rFonts w:cs="Times New Roman"/>
          <w:szCs w:val="24"/>
        </w:rPr>
      </w:pPr>
      <w:r w:rsidRPr="00251DC4">
        <w:rPr>
          <w:rFonts w:cs="Times New Roman"/>
          <w:szCs w:val="24"/>
        </w:rPr>
        <w:t>Effective governance, however, extends beyond the creation of policies and procedures. Cloud environments are highly dynamic, with resources being created, modified and removed continuously. Manual governance processes alone are therefore insufficient to maintain security at cloud scale. Instead, governance must be supported by automated capabilities that continuously assess security posture, identify configuration weaknesses and enforce organisational policies [5].</w:t>
      </w:r>
    </w:p>
    <w:p w14:paraId="0F65CD7E" w14:textId="77777777" w:rsidR="003A5536" w:rsidRPr="00251DC4" w:rsidRDefault="003A5536" w:rsidP="003A5536">
      <w:pPr>
        <w:rPr>
          <w:rFonts w:cs="Times New Roman"/>
          <w:szCs w:val="24"/>
        </w:rPr>
      </w:pPr>
    </w:p>
    <w:p w14:paraId="4F891C2F" w14:textId="77777777" w:rsidR="003A5536" w:rsidRPr="00251DC4" w:rsidRDefault="003A5536" w:rsidP="003A5536">
      <w:pPr>
        <w:rPr>
          <w:rFonts w:cs="Times New Roman"/>
          <w:szCs w:val="24"/>
        </w:rPr>
      </w:pPr>
      <w:r w:rsidRPr="00251DC4">
        <w:rPr>
          <w:rFonts w:cs="Times New Roman"/>
          <w:szCs w:val="24"/>
        </w:rPr>
        <w:lastRenderedPageBreak/>
        <w:t>Within Microsoft Azure, this operational capability is provided through Microsoft Defender for Cloud and its Cloud Security Posture Management (CSPM) functionality [10]. CSPM continuously evaluates Azure and hybrid resources against organisational policies, regulatory requirements and recognised security best practice. It identifies configuration drift, prioritises security risks, recommends remediation activities and supports continuous compliance monitoring across cloud environments [10]. Rather than replacing governance, CSPM translates governance policies into automated technical controls that can be applied consistently across large and complex cloud estates.</w:t>
      </w:r>
    </w:p>
    <w:p w14:paraId="5A0B26DE" w14:textId="77777777" w:rsidR="003A5536" w:rsidRPr="00251DC4" w:rsidRDefault="003A5536" w:rsidP="003A5536">
      <w:pPr>
        <w:rPr>
          <w:rFonts w:cs="Times New Roman"/>
          <w:szCs w:val="24"/>
        </w:rPr>
      </w:pPr>
    </w:p>
    <w:p w14:paraId="78DEECC9" w14:textId="77777777" w:rsidR="003A5536" w:rsidRPr="00251DC4" w:rsidRDefault="003A5536" w:rsidP="003A5536">
      <w:pPr>
        <w:rPr>
          <w:rFonts w:cs="Times New Roman"/>
          <w:szCs w:val="24"/>
        </w:rPr>
      </w:pPr>
      <w:r w:rsidRPr="00251DC4">
        <w:rPr>
          <w:rFonts w:cs="Times New Roman"/>
          <w:szCs w:val="24"/>
        </w:rPr>
        <w:t>This relationship demonstrates why governance and CSPM should be evaluated together rather than as separate organisational capabilities. Governance establishes strategic direction, defines acceptable risk and allocates organisational responsibility, while CSPM provides the continuous visibility and automated enforcement necessary to implement those strategic objectives effectively. Without governance, CSPM lacks organisational context and policy direction; without CSPM, governance becomes increasingly difficult to enforce within rapidly changing cloud environments.</w:t>
      </w:r>
    </w:p>
    <w:p w14:paraId="1B2EC891" w14:textId="77777777" w:rsidR="003A5536" w:rsidRPr="00251DC4" w:rsidRDefault="003A5536" w:rsidP="003A5536">
      <w:pPr>
        <w:rPr>
          <w:rFonts w:cs="Times New Roman"/>
          <w:szCs w:val="24"/>
        </w:rPr>
      </w:pPr>
    </w:p>
    <w:p w14:paraId="6CD12B94" w14:textId="77777777" w:rsidR="003A5536" w:rsidRPr="00251DC4" w:rsidRDefault="003A5536" w:rsidP="003A5536">
      <w:pPr>
        <w:rPr>
          <w:rFonts w:cs="Times New Roman"/>
          <w:szCs w:val="24"/>
        </w:rPr>
      </w:pPr>
      <w:r w:rsidRPr="00251DC4">
        <w:rPr>
          <w:rFonts w:cs="Times New Roman"/>
          <w:szCs w:val="24"/>
        </w:rPr>
        <w:t>Against the evaluation criteria established in this report, leadership, governance and CSPM perform strongly. They directly address misconfiguration</w:t>
      </w:r>
      <w:r w:rsidRPr="00251DC4">
        <w:rPr>
          <w:rFonts w:cs="Times New Roman"/>
        </w:rPr>
        <w:t xml:space="preserve">, </w:t>
      </w:r>
      <w:r w:rsidRPr="00251DC4">
        <w:rPr>
          <w:rFonts w:cs="Times New Roman"/>
          <w:szCs w:val="24"/>
        </w:rPr>
        <w:t>one of the most common causes of cloud security incidents</w:t>
      </w:r>
      <w:r w:rsidRPr="00251DC4">
        <w:rPr>
          <w:rFonts w:cs="Times New Roman"/>
        </w:rPr>
        <w:t xml:space="preserve">, </w:t>
      </w:r>
      <w:r w:rsidRPr="00251DC4">
        <w:rPr>
          <w:rFonts w:cs="Times New Roman"/>
          <w:szCs w:val="24"/>
        </w:rPr>
        <w:t>while supporting prevention through secure configuration management, detection through continuous posture assessment and response through prioritised remediation guidance [5], [10], [11]. The Capital One breach clearly demonstrates the significant organisational consequences of governance failures, including financial loss, regulatory penalties and reputational damage [13].</w:t>
      </w:r>
    </w:p>
    <w:p w14:paraId="2F81C2DB" w14:textId="77777777" w:rsidR="003A5536" w:rsidRPr="00251DC4" w:rsidRDefault="003A5536" w:rsidP="003A5536">
      <w:pPr>
        <w:rPr>
          <w:rFonts w:cs="Times New Roman"/>
          <w:szCs w:val="24"/>
        </w:rPr>
      </w:pPr>
    </w:p>
    <w:p w14:paraId="201D093A" w14:textId="77777777" w:rsidR="003A5536" w:rsidRPr="00251DC4" w:rsidRDefault="003A5536" w:rsidP="003A5536">
      <w:pPr>
        <w:rPr>
          <w:rFonts w:cs="Times New Roman"/>
          <w:szCs w:val="24"/>
        </w:rPr>
      </w:pPr>
      <w:r w:rsidRPr="00251DC4">
        <w:rPr>
          <w:rFonts w:cs="Times New Roman"/>
          <w:szCs w:val="24"/>
        </w:rPr>
        <w:t>Nevertheless, governance alone cannot eliminate organisational cyber risk</w:t>
      </w:r>
      <w:r w:rsidRPr="00251DC4">
        <w:rPr>
          <w:rFonts w:cs="Times New Roman"/>
        </w:rPr>
        <w:t>, and it should instead</w:t>
      </w:r>
      <w:r w:rsidRPr="00251DC4">
        <w:rPr>
          <w:rFonts w:cs="Times New Roman"/>
          <w:szCs w:val="24"/>
        </w:rPr>
        <w:t xml:space="preserve"> be viewed as the strategic foundation upon which the remaining organisational capabilities are built</w:t>
      </w:r>
      <w:r w:rsidRPr="00251DC4">
        <w:rPr>
          <w:rFonts w:cs="Times New Roman"/>
        </w:rPr>
        <w:t xml:space="preserve">. </w:t>
      </w:r>
      <w:r w:rsidRPr="00251DC4">
        <w:rPr>
          <w:rFonts w:cs="Times New Roman"/>
          <w:szCs w:val="24"/>
        </w:rPr>
        <w:t>Even organisations with mature governance frameworks remain vulnerable if privileged identities are compromised or security policies are not consistently enforced.</w:t>
      </w:r>
    </w:p>
    <w:p w14:paraId="14F7BC5B" w14:textId="77777777" w:rsidR="003A5536" w:rsidRPr="00251DC4" w:rsidRDefault="003A5536" w:rsidP="003A5536">
      <w:pPr>
        <w:rPr>
          <w:rFonts w:cs="Times New Roman"/>
          <w:szCs w:val="24"/>
        </w:rPr>
      </w:pPr>
    </w:p>
    <w:p w14:paraId="7F01B111" w14:textId="77777777" w:rsidR="003A5536" w:rsidRPr="00251DC4" w:rsidRDefault="003A5536" w:rsidP="003A5536">
      <w:pPr>
        <w:rPr>
          <w:rFonts w:cs="Times New Roman"/>
          <w:szCs w:val="24"/>
        </w:rPr>
      </w:pPr>
      <w:r w:rsidRPr="00251DC4">
        <w:rPr>
          <w:rFonts w:cs="Times New Roman"/>
        </w:rPr>
        <w:t>L</w:t>
      </w:r>
      <w:r w:rsidRPr="00251DC4">
        <w:rPr>
          <w:rFonts w:cs="Times New Roman"/>
          <w:szCs w:val="24"/>
        </w:rPr>
        <w:t>eadership, governance and CSPM provide the strategic direction, policy framework and continuous operational oversight necessary to reduce configuration risk, maintain regulatory compliance and support the secure operation of cloud infrastructure. However, their effectiveness ultimately depends upon complementary capabilities</w:t>
      </w:r>
      <w:r w:rsidRPr="00251DC4">
        <w:rPr>
          <w:rFonts w:cs="Times New Roman"/>
        </w:rPr>
        <w:t xml:space="preserve">, </w:t>
      </w:r>
      <w:r w:rsidRPr="00251DC4">
        <w:rPr>
          <w:rFonts w:cs="Times New Roman"/>
          <w:szCs w:val="24"/>
        </w:rPr>
        <w:t>particularly identity and privileged-access management</w:t>
      </w:r>
      <w:r w:rsidRPr="00251DC4">
        <w:rPr>
          <w:rFonts w:cs="Times New Roman"/>
        </w:rPr>
        <w:t xml:space="preserve">, </w:t>
      </w:r>
      <w:r w:rsidRPr="00251DC4">
        <w:rPr>
          <w:rFonts w:cs="Times New Roman"/>
          <w:szCs w:val="24"/>
        </w:rPr>
        <w:t>which are examined in the following section.</w:t>
      </w:r>
    </w:p>
    <w:p w14:paraId="7EF2DA59" w14:textId="77777777" w:rsidR="003A5536" w:rsidRPr="00251DC4" w:rsidRDefault="003A5536" w:rsidP="003A5536">
      <w:pPr>
        <w:rPr>
          <w:rFonts w:cs="Times New Roman"/>
          <w:szCs w:val="24"/>
        </w:rPr>
      </w:pPr>
    </w:p>
    <w:p w14:paraId="45AF8E3B" w14:textId="48B38B7E" w:rsidR="003A5536" w:rsidRPr="00251DC4" w:rsidRDefault="001B1CF2" w:rsidP="001B1CF2">
      <w:pPr>
        <w:pStyle w:val="IEEE-SubSect"/>
        <w:numPr>
          <w:ilvl w:val="0"/>
          <w:numId w:val="0"/>
        </w:numPr>
        <w:ind w:left="360"/>
        <w:rPr>
          <w:rFonts w:cs="Times New Roman"/>
        </w:rPr>
      </w:pPr>
      <w:r w:rsidRPr="00251DC4">
        <w:rPr>
          <w:rFonts w:cs="Times New Roman"/>
        </w:rPr>
        <w:t>2</w:t>
      </w:r>
      <w:r w:rsidR="003A5536" w:rsidRPr="00251DC4">
        <w:rPr>
          <w:rFonts w:cs="Times New Roman"/>
        </w:rPr>
        <w:t>.2 Identity and Privileged-Access Management</w:t>
      </w:r>
    </w:p>
    <w:p w14:paraId="7AF037AF" w14:textId="77777777" w:rsidR="003A5536" w:rsidRPr="00251DC4" w:rsidRDefault="003A5536" w:rsidP="003A5536">
      <w:pPr>
        <w:rPr>
          <w:rFonts w:cs="Times New Roman"/>
          <w:szCs w:val="24"/>
        </w:rPr>
      </w:pPr>
    </w:p>
    <w:p w14:paraId="6C953500" w14:textId="77777777" w:rsidR="003A5536" w:rsidRPr="00251DC4" w:rsidRDefault="003A5536" w:rsidP="003A5536">
      <w:pPr>
        <w:rPr>
          <w:rFonts w:cs="Times New Roman"/>
          <w:szCs w:val="24"/>
        </w:rPr>
      </w:pPr>
      <w:r w:rsidRPr="00251DC4">
        <w:rPr>
          <w:rFonts w:cs="Times New Roman"/>
          <w:szCs w:val="24"/>
        </w:rPr>
        <w:lastRenderedPageBreak/>
        <w:t>The 2024 Snowflake customer compromises provide an appropriate case study for evaluating identity and privileged-access management because attackers gained access to customer environments through compromised credentials rather than by exploiting a vulnerability in Snowflake</w:t>
      </w:r>
      <w:r w:rsidRPr="00251DC4">
        <w:rPr>
          <w:rFonts w:cs="Times New Roman"/>
        </w:rPr>
        <w:t>’</w:t>
      </w:r>
      <w:r w:rsidRPr="00251DC4">
        <w:rPr>
          <w:rFonts w:cs="Times New Roman"/>
          <w:szCs w:val="24"/>
        </w:rPr>
        <w:t>s cloud platform [14]. Mandiant</w:t>
      </w:r>
      <w:r w:rsidRPr="00251DC4">
        <w:rPr>
          <w:rFonts w:cs="Times New Roman"/>
        </w:rPr>
        <w:t>’</w:t>
      </w:r>
      <w:r w:rsidRPr="00251DC4">
        <w:rPr>
          <w:rFonts w:cs="Times New Roman"/>
          <w:szCs w:val="24"/>
        </w:rPr>
        <w:t>s investigation concluded that the threat group UNC5537 primarily used credentials previously stolen by infostealer malware and that many of the compromised accounts were not protected by multi-factor authentication (MFA) [14]. Weak credential management, the absence of mandatory MFA and ineffective identity governance enabled attackers to access customer environments and exfiltrate sensitive data. Organisations including Ticketmaster and Santander subsequently disclosed breaches linked to the incident, demonstrating the significant organisational impact that can result from weaknesses in identity security [14].</w:t>
      </w:r>
    </w:p>
    <w:p w14:paraId="331F2794" w14:textId="77777777" w:rsidR="003A5536" w:rsidRPr="00251DC4" w:rsidRDefault="003A5536" w:rsidP="003A5536">
      <w:pPr>
        <w:rPr>
          <w:rFonts w:cs="Times New Roman"/>
          <w:szCs w:val="24"/>
        </w:rPr>
      </w:pPr>
    </w:p>
    <w:p w14:paraId="4D3E25DE" w14:textId="77777777" w:rsidR="003A5536" w:rsidRPr="00251DC4" w:rsidRDefault="003A5536" w:rsidP="003A5536">
      <w:pPr>
        <w:rPr>
          <w:rFonts w:cs="Times New Roman"/>
          <w:szCs w:val="24"/>
        </w:rPr>
      </w:pPr>
      <w:r w:rsidRPr="00251DC4">
        <w:rPr>
          <w:rFonts w:cs="Times New Roman"/>
          <w:szCs w:val="24"/>
        </w:rPr>
        <w:t>The Snowflake compromises reflect a broader shift in the contemporary threat landscape. As organisations migrate towards cloud-first and hybrid environments, traditional network perimeters have become less significant, while digital identities have emerged as the primary security boundary. Verizon</w:t>
      </w:r>
      <w:r w:rsidRPr="00251DC4">
        <w:rPr>
          <w:rFonts w:cs="Times New Roman"/>
        </w:rPr>
        <w:t>’</w:t>
      </w:r>
      <w:r w:rsidRPr="00251DC4">
        <w:rPr>
          <w:rFonts w:cs="Times New Roman"/>
          <w:szCs w:val="24"/>
        </w:rPr>
        <w:t>s 2025 Data Breach Investigations Report identifies compromised credentials as one of the most common methods of initial access, and Microsoft</w:t>
      </w:r>
      <w:r w:rsidRPr="00251DC4">
        <w:rPr>
          <w:rFonts w:cs="Times New Roman"/>
        </w:rPr>
        <w:t>’</w:t>
      </w:r>
      <w:r w:rsidRPr="00251DC4">
        <w:rPr>
          <w:rFonts w:cs="Times New Roman"/>
          <w:szCs w:val="24"/>
        </w:rPr>
        <w:t>s</w:t>
      </w:r>
      <w:r w:rsidRPr="00251DC4">
        <w:rPr>
          <w:rFonts w:cs="Times New Roman"/>
        </w:rPr>
        <w:t xml:space="preserve"> </w:t>
      </w:r>
      <w:r w:rsidRPr="00251DC4">
        <w:rPr>
          <w:rFonts w:cs="Times New Roman"/>
          <w:szCs w:val="24"/>
        </w:rPr>
        <w:t>Digital Defense Report 2025 similarly highlights identity-based attacks as a dominant technique used by modern threat actors [6], [7]. Rather than attempting to penetrate well-defended networks directly, attackers increasingly target users through phishing, credential theft, session hijacking and social engineering to obtain legitimate access to cloud resources [6], [7]. This trend reinforces the Zero Trust principle that no identity, device or connection should be trusted implicitly, regardless of its location within the network [15].</w:t>
      </w:r>
    </w:p>
    <w:p w14:paraId="643F8BF7" w14:textId="77777777" w:rsidR="003A5536" w:rsidRPr="00251DC4" w:rsidRDefault="003A5536" w:rsidP="003A5536">
      <w:pPr>
        <w:rPr>
          <w:rFonts w:cs="Times New Roman"/>
          <w:szCs w:val="24"/>
        </w:rPr>
      </w:pPr>
    </w:p>
    <w:p w14:paraId="74E96628" w14:textId="77777777" w:rsidR="003A5536" w:rsidRPr="00251DC4" w:rsidRDefault="003A5536" w:rsidP="003A5536">
      <w:pPr>
        <w:rPr>
          <w:rFonts w:cs="Times New Roman"/>
          <w:szCs w:val="24"/>
        </w:rPr>
      </w:pPr>
      <w:r w:rsidRPr="00251DC4">
        <w:rPr>
          <w:rFonts w:cs="Times New Roman"/>
          <w:szCs w:val="24"/>
        </w:rPr>
        <w:t>Microsoft addresses these risks through Microsoft Entra ID, which provides a comprehensive identity and access management platform for Azure and hybrid environments [10]. Core capabilities include Multi-Factor Authentication (MFA), Conditional Access, Identity Protection and Privileged Identity Management (PIM), enabling organisations to verify identities continuously, enforce least-privilege access and apply risk-based authentication policies [10]. These capabilities support Microsoft</w:t>
      </w:r>
      <w:r w:rsidRPr="00251DC4">
        <w:rPr>
          <w:rFonts w:cs="Times New Roman"/>
        </w:rPr>
        <w:t>’</w:t>
      </w:r>
      <w:r w:rsidRPr="00251DC4">
        <w:rPr>
          <w:rFonts w:cs="Times New Roman"/>
          <w:szCs w:val="24"/>
        </w:rPr>
        <w:t>s implementation of Zero Trust by ensuring that access decisions are based on user identity, device health, location, risk level and behavioural indicators rather than assuming trust after initial authentication [10], [15].</w:t>
      </w:r>
    </w:p>
    <w:p w14:paraId="39010E28" w14:textId="77777777" w:rsidR="003A5536" w:rsidRPr="00251DC4" w:rsidRDefault="003A5536" w:rsidP="003A5536">
      <w:pPr>
        <w:rPr>
          <w:rFonts w:cs="Times New Roman"/>
          <w:szCs w:val="24"/>
        </w:rPr>
      </w:pPr>
    </w:p>
    <w:p w14:paraId="7888F782" w14:textId="77777777" w:rsidR="003A5536" w:rsidRPr="00251DC4" w:rsidRDefault="003A5536" w:rsidP="003A5536">
      <w:pPr>
        <w:rPr>
          <w:rFonts w:cs="Times New Roman"/>
        </w:rPr>
      </w:pPr>
      <w:r w:rsidRPr="00251DC4">
        <w:rPr>
          <w:rFonts w:cs="Times New Roman"/>
          <w:szCs w:val="24"/>
        </w:rPr>
        <w:t>However, identity security extends beyond the deployment of technical controls. Although technologies such as MFA and Conditional Access significantly reduce the likelihood of credential-based attacks, they cannot eliminate organisational cyber risk if identity governance processes are weak</w:t>
      </w:r>
      <w:r w:rsidRPr="00251DC4">
        <w:rPr>
          <w:rFonts w:cs="Times New Roman"/>
        </w:rPr>
        <w:t xml:space="preserve"> while a</w:t>
      </w:r>
      <w:r w:rsidRPr="00251DC4">
        <w:rPr>
          <w:rFonts w:cs="Times New Roman"/>
          <w:szCs w:val="24"/>
        </w:rPr>
        <w:t xml:space="preserve">ttackers continue to exploit phishing campaigns, MFA-fatigue attacks, stolen session tokens and infostealer malware to bypass authentication controls and obtain legitimate user access [7], [14]. </w:t>
      </w:r>
      <w:r w:rsidRPr="00251DC4">
        <w:rPr>
          <w:rFonts w:cs="Times New Roman"/>
        </w:rPr>
        <w:t>O</w:t>
      </w:r>
      <w:r w:rsidRPr="00251DC4">
        <w:rPr>
          <w:rFonts w:cs="Times New Roman"/>
          <w:szCs w:val="24"/>
        </w:rPr>
        <w:t xml:space="preserve">rganisations must complement technical controls </w:t>
      </w:r>
      <w:r w:rsidRPr="00251DC4">
        <w:rPr>
          <w:rFonts w:cs="Times New Roman"/>
        </w:rPr>
        <w:t>with effective governance throughout the identity lifecycle, including timely account provisioning and de-provisioning, regular access reviews, privileged-access monitoring and user security awareness training.</w:t>
      </w:r>
    </w:p>
    <w:p w14:paraId="398C3468" w14:textId="77777777" w:rsidR="003A5536" w:rsidRPr="00251DC4" w:rsidRDefault="003A5536" w:rsidP="003A5536">
      <w:pPr>
        <w:rPr>
          <w:rFonts w:cs="Times New Roman"/>
        </w:rPr>
      </w:pPr>
    </w:p>
    <w:p w14:paraId="52C34F20" w14:textId="77777777" w:rsidR="003A5536" w:rsidRPr="00251DC4" w:rsidRDefault="003A5536" w:rsidP="003A5536">
      <w:pPr>
        <w:rPr>
          <w:rFonts w:cs="Times New Roman"/>
        </w:rPr>
      </w:pPr>
      <w:r w:rsidRPr="00251DC4">
        <w:rPr>
          <w:rFonts w:cs="Times New Roman"/>
        </w:rPr>
        <w:lastRenderedPageBreak/>
        <w:t>Identity and privileged-access management performs strongly against the evaluation criteria established in this report. It directly addresses one of the most prevalent attack vectors identified in contemporary threat intelligence while supporting prevention through strong authentication and least-privilege access, detection through risk-based identity monitoring, and response through automated policy enforcement and rapid revocation of compromised accounts [6], [7], [10]. The Snowflake case study illustrates that failures in identity governance can have severe operational, financial and reputational consequences even when the underlying cloud platform remains secure [14]. However, strong identity controls alone cannot eliminate cyber risk because compromised applications, insecure software and delayed incident response can still expose organisational assets. Identity and privileged-access management is therefore most effective as part of a coordinated security strategy incorporating secure application development, workload protection, AI-enabled detection and response, and cyber resilience.</w:t>
      </w:r>
    </w:p>
    <w:p w14:paraId="29BF5432" w14:textId="77777777" w:rsidR="003A5536" w:rsidRPr="00251DC4" w:rsidRDefault="003A5536" w:rsidP="003A5536">
      <w:pPr>
        <w:rPr>
          <w:rFonts w:cs="Times New Roman"/>
          <w:szCs w:val="24"/>
        </w:rPr>
      </w:pPr>
      <w:r w:rsidRPr="00251DC4">
        <w:rPr>
          <w:rFonts w:cs="Times New Roman"/>
        </w:rPr>
        <w:t>Overall, identity and privileged-access management represents one of the most critical organisational capabilities for securing Microsoft Azure and hybrid environments. As cloud adoption continues to replace traditional network perimeters with identity-centric architectures, protecting digital identities has become fundamental to organisational cybersecurity. The evidence from industry reports, Microsoft’s security guidance and the Snowflake compromises demonstrates that organisations capable of implementing strong identity governance, least-privilege</w:t>
      </w:r>
      <w:r w:rsidRPr="00251DC4">
        <w:rPr>
          <w:rFonts w:cs="Times New Roman"/>
          <w:color w:val="F6F6F6"/>
          <w:szCs w:val="24"/>
        </w:rPr>
        <w:t xml:space="preserve"> </w:t>
      </w:r>
      <w:r w:rsidRPr="00251DC4">
        <w:rPr>
          <w:rFonts w:cs="Times New Roman"/>
          <w:szCs w:val="24"/>
        </w:rPr>
        <w:t>access and continuous verification are significantly better positioned to prevent, detect and respond to contemporary cyber threats.</w:t>
      </w:r>
    </w:p>
    <w:p w14:paraId="2C0DC647" w14:textId="77777777" w:rsidR="003A5536" w:rsidRPr="00251DC4" w:rsidRDefault="003A5536" w:rsidP="003A5536">
      <w:pPr>
        <w:rPr>
          <w:rFonts w:cs="Times New Roman"/>
          <w:szCs w:val="24"/>
        </w:rPr>
      </w:pPr>
    </w:p>
    <w:p w14:paraId="277C498B" w14:textId="00F38282" w:rsidR="003A5536" w:rsidRPr="00251DC4" w:rsidRDefault="001B1CF2" w:rsidP="001B1CF2">
      <w:pPr>
        <w:pStyle w:val="IEEE-SubSect"/>
        <w:numPr>
          <w:ilvl w:val="0"/>
          <w:numId w:val="0"/>
        </w:numPr>
        <w:ind w:left="720" w:hanging="360"/>
        <w:rPr>
          <w:rFonts w:cs="Times New Roman"/>
        </w:rPr>
      </w:pPr>
      <w:r w:rsidRPr="00251DC4">
        <w:rPr>
          <w:rFonts w:cs="Times New Roman"/>
        </w:rPr>
        <w:t>2</w:t>
      </w:r>
      <w:r w:rsidR="003A5536" w:rsidRPr="00251DC4">
        <w:rPr>
          <w:rFonts w:cs="Times New Roman"/>
        </w:rPr>
        <w:t>.3 Application and Workload Protection</w:t>
      </w:r>
    </w:p>
    <w:p w14:paraId="661E125D" w14:textId="77777777" w:rsidR="003A5536" w:rsidRPr="00251DC4" w:rsidRDefault="003A5536" w:rsidP="003A5536">
      <w:pPr>
        <w:rPr>
          <w:rFonts w:cs="Times New Roman"/>
          <w:szCs w:val="24"/>
        </w:rPr>
      </w:pPr>
    </w:p>
    <w:p w14:paraId="2AB374D2" w14:textId="77777777" w:rsidR="003A5536" w:rsidRPr="00251DC4" w:rsidRDefault="003A5536" w:rsidP="003A5536">
      <w:pPr>
        <w:rPr>
          <w:rFonts w:cs="Times New Roman"/>
          <w:szCs w:val="24"/>
        </w:rPr>
      </w:pPr>
      <w:r w:rsidRPr="00251DC4">
        <w:rPr>
          <w:rFonts w:cs="Times New Roman"/>
          <w:szCs w:val="24"/>
        </w:rPr>
        <w:t xml:space="preserve">The Log4Shell vulnerability, disclosed in 2021, provides one of the most significant case studies demonstrating the importance of application and workload protection within contemporary cloud and hybrid environments [18]. The critical vulnerability in the widely used Log4j logging library enabled remote code execution across internet-facing applications, allowing threat actors to </w:t>
      </w:r>
      <w:r w:rsidRPr="00251DC4">
        <w:rPr>
          <w:rFonts w:cs="Times New Roman"/>
        </w:rPr>
        <w:t>compromise cloud-hosted workloads worldwide [18]. Hiesgen et al.’s empirical analysis of the incident demonstrated the speed and scale with which vulnerable systems were identified and targeted, highlighting how a single vulnerable software component could expose thousands of organisations simultaneously, irrespective of the maturity of their underlying cloud infrastructure [18]. Log4Shell therefore satisfies</w:t>
      </w:r>
      <w:r w:rsidRPr="00251DC4">
        <w:rPr>
          <w:rFonts w:cs="Times New Roman"/>
          <w:szCs w:val="24"/>
        </w:rPr>
        <w:t xml:space="preserve"> the first two evaluation criteria by illustrating both the continuing relevance of software vulnerabilities to contemporary threat actors and the potentially severe organisational consequences of insecure applications and third-party software dependencies [18].</w:t>
      </w:r>
    </w:p>
    <w:p w14:paraId="41955981" w14:textId="77777777" w:rsidR="003A5536" w:rsidRPr="00251DC4" w:rsidRDefault="003A5536" w:rsidP="003A5536">
      <w:pPr>
        <w:rPr>
          <w:rFonts w:cs="Times New Roman"/>
          <w:szCs w:val="24"/>
        </w:rPr>
      </w:pPr>
    </w:p>
    <w:p w14:paraId="19979311" w14:textId="77777777" w:rsidR="003A5536" w:rsidRPr="00251DC4" w:rsidRDefault="003A5536" w:rsidP="003A5536">
      <w:pPr>
        <w:rPr>
          <w:rFonts w:cs="Times New Roman"/>
          <w:szCs w:val="24"/>
        </w:rPr>
      </w:pPr>
      <w:r w:rsidRPr="00251DC4">
        <w:rPr>
          <w:rFonts w:cs="Times New Roman"/>
          <w:szCs w:val="24"/>
        </w:rPr>
        <w:t>The significance of Log4Shell extends beyond a single software vulnerability because it reflects a broader evolution in contemporary cybersecurity practice [18], [19]. Historically, application security focused primarily on identifying vulnerabilities after software had been developed through activities such as vulnerability scanning, penetration testing and patch management [19]. While these controls remain essential, contemporary guidance increasingly argues that relying principally on reactive remediation is insufficient for securing modern cloud environments [19], [20].</w:t>
      </w:r>
    </w:p>
    <w:p w14:paraId="66F1A78C" w14:textId="77777777" w:rsidR="003A5536" w:rsidRPr="00251DC4" w:rsidRDefault="003A5536" w:rsidP="003A5536">
      <w:pPr>
        <w:rPr>
          <w:rFonts w:cs="Times New Roman"/>
          <w:szCs w:val="24"/>
        </w:rPr>
      </w:pPr>
    </w:p>
    <w:p w14:paraId="5FB5A4C9" w14:textId="77777777" w:rsidR="003A5536" w:rsidRPr="00251DC4" w:rsidRDefault="003A5536" w:rsidP="003A5536">
      <w:pPr>
        <w:rPr>
          <w:rFonts w:cs="Times New Roman"/>
          <w:szCs w:val="24"/>
        </w:rPr>
      </w:pPr>
      <w:r w:rsidRPr="00251DC4">
        <w:rPr>
          <w:rFonts w:cs="Times New Roman"/>
          <w:szCs w:val="24"/>
        </w:rPr>
        <w:t>The NIST Secure Software Development Framework (SSDF) advocates integrating security practices throughout the software development lifecycle to minimise the introduction of vulnerabilities before software is deployed [19]. Similarly, the Cybersecurity and Infrastructure Security Agency</w:t>
      </w:r>
      <w:r w:rsidRPr="00251DC4">
        <w:rPr>
          <w:rFonts w:cs="Times New Roman"/>
        </w:rPr>
        <w:t>’</w:t>
      </w:r>
      <w:r w:rsidRPr="00251DC4">
        <w:rPr>
          <w:rFonts w:cs="Times New Roman"/>
          <w:szCs w:val="24"/>
        </w:rPr>
        <w:t>s Secure by Design initiative argues that security should be embedded into software from its inception rather than relying upon customers to identify, configure and remediate insecure products after deployment [20].</w:t>
      </w:r>
    </w:p>
    <w:p w14:paraId="567FA7AF" w14:textId="77777777" w:rsidR="003A5536" w:rsidRPr="00251DC4" w:rsidRDefault="003A5536" w:rsidP="003A5536">
      <w:pPr>
        <w:rPr>
          <w:rFonts w:cs="Times New Roman"/>
          <w:szCs w:val="24"/>
        </w:rPr>
      </w:pPr>
    </w:p>
    <w:p w14:paraId="7A50B74B" w14:textId="77777777" w:rsidR="003A5536" w:rsidRPr="00251DC4" w:rsidRDefault="003A5536" w:rsidP="003A5536">
      <w:pPr>
        <w:rPr>
          <w:rFonts w:cs="Times New Roman"/>
          <w:szCs w:val="24"/>
        </w:rPr>
      </w:pPr>
      <w:r w:rsidRPr="00251DC4">
        <w:rPr>
          <w:rFonts w:cs="Times New Roman"/>
          <w:szCs w:val="24"/>
        </w:rPr>
        <w:t>Microsoft adopts a comparable philosophy through its Security Development Lifecycle (SDL), which integrates activities such as security requirements, threat modelling, secure coding, security testing and response planning into the development process [21]. Howard</w:t>
      </w:r>
      <w:r w:rsidRPr="00251DC4">
        <w:rPr>
          <w:rFonts w:cs="Times New Roman"/>
        </w:rPr>
        <w:t xml:space="preserve"> et al.’s </w:t>
      </w:r>
      <w:r w:rsidRPr="00251DC4">
        <w:rPr>
          <w:rFonts w:cs="Times New Roman"/>
          <w:szCs w:val="24"/>
        </w:rPr>
        <w:t>work provides a conceptual foundation for this approach by presenting security as an integral part of software engineering rather than an activity applied only after development [1]. Collectively, these sources indicate that application and workload protection has developed beyond operational vulnerability management into a discipline in which security is integrated throughout the software lifecycle [1], [19], [21].</w:t>
      </w:r>
    </w:p>
    <w:p w14:paraId="0594A678" w14:textId="77777777" w:rsidR="003A5536" w:rsidRPr="00251DC4" w:rsidRDefault="003A5536" w:rsidP="003A5536">
      <w:pPr>
        <w:rPr>
          <w:rFonts w:cs="Times New Roman"/>
          <w:szCs w:val="24"/>
        </w:rPr>
      </w:pPr>
    </w:p>
    <w:p w14:paraId="32C30490" w14:textId="77777777" w:rsidR="003A5536" w:rsidRPr="00251DC4" w:rsidRDefault="003A5536" w:rsidP="003A5536">
      <w:pPr>
        <w:rPr>
          <w:rFonts w:cs="Times New Roman"/>
          <w:szCs w:val="24"/>
        </w:rPr>
      </w:pPr>
      <w:r w:rsidRPr="00251DC4">
        <w:rPr>
          <w:rFonts w:cs="Times New Roman"/>
          <w:szCs w:val="24"/>
        </w:rPr>
        <w:t>Microsoft operationalises this philosophy through its SDL, which incorporates security practices throughout development, and Microsoft Defender for Cloud, which extends protection into deployed cloud and hybrid workloads [10], [21]. Defender for Cloud combines cloud security posture management with workload-protection capabilities and provides security recommendations and vulnerability-management functions across supported resources [10]. This layered approach indicates that secure software engineering and operational workload protection are complementary activities, providing assurance before and after deployment rather than functioning as isolated security controls [10], [19], [21].</w:t>
      </w:r>
    </w:p>
    <w:p w14:paraId="7E92E046" w14:textId="77777777" w:rsidR="003A5536" w:rsidRPr="00251DC4" w:rsidRDefault="003A5536" w:rsidP="003A5536">
      <w:pPr>
        <w:rPr>
          <w:rFonts w:cs="Times New Roman"/>
          <w:szCs w:val="24"/>
        </w:rPr>
      </w:pPr>
    </w:p>
    <w:p w14:paraId="63B2E712" w14:textId="77777777" w:rsidR="003A5536" w:rsidRPr="00251DC4" w:rsidRDefault="003A5536" w:rsidP="003A5536">
      <w:pPr>
        <w:rPr>
          <w:rFonts w:cs="Times New Roman"/>
          <w:szCs w:val="24"/>
        </w:rPr>
      </w:pPr>
      <w:r w:rsidRPr="00251DC4">
        <w:rPr>
          <w:rFonts w:cs="Times New Roman"/>
          <w:szCs w:val="24"/>
        </w:rPr>
        <w:t>Application and workload protection is effective because it addresses vulnerabilities across both the development and operational phases of software [10], [19]. Preventive development practices reduce the likelihood that vulnerabilities will be introduced, while vulnerability assessment, security recommendations and workload protection help organisations identify and manage risks after deployment [10], [19]. The Log4Shell incident demonstrates that weaknesses in widely used software components can propagate across many organisations, highlighting the organisational consequences of insecure third-party dependencies and reinforcing the need to integrate security throughout development [18], [19].</w:t>
      </w:r>
    </w:p>
    <w:p w14:paraId="6157914D" w14:textId="77777777" w:rsidR="003A5536" w:rsidRPr="00251DC4" w:rsidRDefault="003A5536" w:rsidP="003A5536">
      <w:pPr>
        <w:rPr>
          <w:rFonts w:cs="Times New Roman"/>
          <w:szCs w:val="24"/>
        </w:rPr>
      </w:pPr>
    </w:p>
    <w:p w14:paraId="776E2929" w14:textId="77777777" w:rsidR="003A5536" w:rsidRPr="00251DC4" w:rsidRDefault="003A5536" w:rsidP="003A5536">
      <w:pPr>
        <w:rPr>
          <w:rFonts w:cs="Times New Roman"/>
          <w:szCs w:val="24"/>
        </w:rPr>
      </w:pPr>
      <w:r w:rsidRPr="00251DC4">
        <w:rPr>
          <w:rFonts w:cs="Times New Roman"/>
          <w:szCs w:val="24"/>
        </w:rPr>
        <w:t>Nevertheless, application and workload protection cannot eliminate organisational cyber risk by itself [11], [15]. Securely engineered applications may still be exposed where identities are compromised, cloud resources are misconfigured or malicious activity is not detected promptly [10], [15]. Application security should therefore operate as part of a broader security strategy integrating governance, identity protection, workload monitoring and organisational resilience [10], [11], [15].</w:t>
      </w:r>
    </w:p>
    <w:p w14:paraId="582E0334" w14:textId="77777777" w:rsidR="003A5536" w:rsidRPr="00251DC4" w:rsidRDefault="003A5536" w:rsidP="003A5536">
      <w:pPr>
        <w:rPr>
          <w:rFonts w:cs="Times New Roman"/>
          <w:szCs w:val="24"/>
        </w:rPr>
      </w:pPr>
    </w:p>
    <w:p w14:paraId="783DBEB9" w14:textId="77777777" w:rsidR="003A5536" w:rsidRPr="00251DC4" w:rsidRDefault="003A5536" w:rsidP="003A5536">
      <w:pPr>
        <w:rPr>
          <w:rFonts w:cs="Times New Roman"/>
          <w:szCs w:val="24"/>
        </w:rPr>
      </w:pPr>
      <w:r w:rsidRPr="00251DC4">
        <w:rPr>
          <w:rFonts w:cs="Times New Roman"/>
          <w:szCs w:val="24"/>
        </w:rPr>
        <w:t>Overall, application and workload protection represents a fundamental organisational capability for securing Microsoft Azure and hybrid environments [10], [19]. The combined guidance of the NIST SSDF, Microsoft SDL and CISA Secure by Design initiative reflects an increasing emphasis on embedding security throughout software development, complementing rather than replacing traditional vulnerability-management practices</w:t>
      </w:r>
      <w:r w:rsidRPr="00251DC4">
        <w:rPr>
          <w:rFonts w:cs="Times New Roman"/>
        </w:rPr>
        <w:t>, precisely to</w:t>
      </w:r>
      <w:r w:rsidRPr="00251DC4">
        <w:rPr>
          <w:rFonts w:cs="Times New Roman"/>
          <w:szCs w:val="24"/>
        </w:rPr>
        <w:t xml:space="preserve"> enable organisations to manage software-related cyber risk more effectively [10], [19], [21].</w:t>
      </w:r>
    </w:p>
    <w:p w14:paraId="73CAC16E" w14:textId="77777777" w:rsidR="003A5536" w:rsidRPr="00251DC4" w:rsidRDefault="003A5536" w:rsidP="003A5536">
      <w:pPr>
        <w:rPr>
          <w:rFonts w:cs="Times New Roman"/>
          <w:szCs w:val="24"/>
        </w:rPr>
      </w:pPr>
      <w:r w:rsidRPr="00251DC4">
        <w:rPr>
          <w:rFonts w:cs="Times New Roman"/>
          <w:szCs w:val="24"/>
        </w:rPr>
        <w:t>Overall, application and workload protection represents a fundamental organisational capability for securing Microsoft Azure and hybrid environments. The combined guidance of the NIST Secure Software Development Framework, Microsoft</w:t>
      </w:r>
      <w:r w:rsidRPr="00251DC4">
        <w:rPr>
          <w:rFonts w:cs="Times New Roman"/>
        </w:rPr>
        <w:t>’</w:t>
      </w:r>
      <w:r w:rsidRPr="00251DC4">
        <w:rPr>
          <w:rFonts w:cs="Times New Roman"/>
          <w:szCs w:val="24"/>
        </w:rPr>
        <w:t>s Secure Development Lifecycle and CISA</w:t>
      </w:r>
      <w:r w:rsidRPr="00251DC4">
        <w:rPr>
          <w:rFonts w:cs="Times New Roman"/>
        </w:rPr>
        <w:t>’</w:t>
      </w:r>
      <w:r w:rsidRPr="00251DC4">
        <w:rPr>
          <w:rFonts w:cs="Times New Roman"/>
          <w:szCs w:val="24"/>
        </w:rPr>
        <w:t>s Secure by Design initiative demonstrates that embedding security throughout software engineering fundamentally changes the objective of application security</w:t>
      </w:r>
      <w:r w:rsidRPr="00251DC4">
        <w:rPr>
          <w:rFonts w:cs="Times New Roman"/>
        </w:rPr>
        <w:t xml:space="preserve"> – </w:t>
      </w:r>
      <w:r w:rsidRPr="00251DC4">
        <w:rPr>
          <w:rFonts w:cs="Times New Roman"/>
          <w:szCs w:val="24"/>
        </w:rPr>
        <w:t>from identifying vulnerabilities after deployment to preventing them from being introduced wherever possible. By integrating secure development practices with continuous workload protection, organisations can reduce organisational risk while simultaneously decreasing the operational burden associated with continual vulnerability remediation.</w:t>
      </w:r>
    </w:p>
    <w:p w14:paraId="446B8D53" w14:textId="77777777" w:rsidR="003A5536" w:rsidRPr="00251DC4" w:rsidRDefault="003A5536" w:rsidP="003A5536">
      <w:pPr>
        <w:rPr>
          <w:rFonts w:cs="Times New Roman"/>
          <w:szCs w:val="24"/>
        </w:rPr>
      </w:pPr>
    </w:p>
    <w:p w14:paraId="6D198670" w14:textId="2661B18D" w:rsidR="003A5536" w:rsidRPr="00251DC4" w:rsidRDefault="001B1CF2" w:rsidP="001B1CF2">
      <w:pPr>
        <w:pStyle w:val="IEEE-SubSect"/>
        <w:numPr>
          <w:ilvl w:val="0"/>
          <w:numId w:val="0"/>
        </w:numPr>
        <w:ind w:left="720" w:hanging="360"/>
        <w:rPr>
          <w:rFonts w:cs="Times New Roman"/>
        </w:rPr>
      </w:pPr>
      <w:r w:rsidRPr="00251DC4">
        <w:rPr>
          <w:rFonts w:cs="Times New Roman"/>
        </w:rPr>
        <w:t>2</w:t>
      </w:r>
      <w:r w:rsidR="003A5536" w:rsidRPr="00251DC4">
        <w:rPr>
          <w:rFonts w:cs="Times New Roman"/>
        </w:rPr>
        <w:t>.4 AI-Enabled Detection and Response</w:t>
      </w:r>
    </w:p>
    <w:p w14:paraId="07475600" w14:textId="77777777" w:rsidR="003A5536" w:rsidRPr="00251DC4" w:rsidRDefault="003A5536" w:rsidP="003A5536">
      <w:pPr>
        <w:rPr>
          <w:rFonts w:cs="Times New Roman"/>
          <w:szCs w:val="24"/>
        </w:rPr>
      </w:pPr>
    </w:p>
    <w:p w14:paraId="56BAF346" w14:textId="77777777" w:rsidR="003A5536" w:rsidRPr="00251DC4" w:rsidRDefault="003A5536" w:rsidP="003A5536">
      <w:pPr>
        <w:rPr>
          <w:rFonts w:cs="Times New Roman"/>
          <w:szCs w:val="24"/>
        </w:rPr>
      </w:pPr>
      <w:r w:rsidRPr="00251DC4">
        <w:rPr>
          <w:rFonts w:cs="Times New Roman"/>
          <w:szCs w:val="24"/>
        </w:rPr>
        <w:t>The 2023 Storm-0558 cyber espionage campaign provides an appropriate case study for evaluating AI-enabled detection and response because attackers exploited forged authentication tokens to access Microsoft cloud services, demonstrating how sophisticated threat actors can evade conventional security controls [22]. The subsequent Cyber Safety Review Board (CSRB) investigation concluded that although Microsoft possessed extensive security telemetry, improvements were required in the detection, analysis and communication of anomalous activity [22]. The incident demonstrates both the continuing relevance of advanced threat actors and the significant organisational consequences of delayed threat detection, satisfying the first two analytical criteria of the present evaluation [22].</w:t>
      </w:r>
    </w:p>
    <w:p w14:paraId="5D13A3E3" w14:textId="77777777" w:rsidR="003A5536" w:rsidRPr="00251DC4" w:rsidRDefault="003A5536" w:rsidP="003A5536">
      <w:pPr>
        <w:rPr>
          <w:rFonts w:cs="Times New Roman"/>
          <w:szCs w:val="24"/>
        </w:rPr>
      </w:pPr>
    </w:p>
    <w:p w14:paraId="5583250A" w14:textId="77777777" w:rsidR="003A5536" w:rsidRPr="00251DC4" w:rsidRDefault="003A5536" w:rsidP="003A5536">
      <w:pPr>
        <w:rPr>
          <w:rFonts w:cs="Times New Roman"/>
          <w:szCs w:val="24"/>
        </w:rPr>
      </w:pPr>
      <w:r w:rsidRPr="00251DC4">
        <w:rPr>
          <w:rFonts w:cs="Times New Roman"/>
          <w:szCs w:val="24"/>
        </w:rPr>
        <w:t xml:space="preserve">The lessons arising from Storm-0558 are reinforced across academic and industry literature [7], [23]. Microsoft argues that the volume, velocity and complexity of telemetry generated across modern cloud and hybrid environments increasingly exceeds the capacity of human analysts to detect and investigate threats manually [7]. ENISA similarly reports that the speed and sophistication of contemporary </w:t>
      </w:r>
      <w:proofErr w:type="spellStart"/>
      <w:r w:rsidRPr="00251DC4">
        <w:rPr>
          <w:rFonts w:cs="Times New Roman"/>
          <w:szCs w:val="24"/>
        </w:rPr>
        <w:t>cyber attacks</w:t>
      </w:r>
      <w:proofErr w:type="spellEnd"/>
      <w:r w:rsidRPr="00251DC4">
        <w:rPr>
          <w:rFonts w:cs="Times New Roman"/>
          <w:szCs w:val="24"/>
        </w:rPr>
        <w:t xml:space="preserve"> require AI-assisted automation to correlate security events, prioritise alerts and accelerate incident response within operational timescales [23]. Freitas et al. likewise demonstrate that AI-assisted investigation and guided response can improve the efficiency of security operations by supporting incident triage, investigation and remediation within production-scale security operations centres [24]. Collectively, these sources demonstrate that AI has become an essential capability for modern cloud security because it enables organisations to identify and respond to threats that would otherwise overwhelm conventional security operations [7], [23], [24].</w:t>
      </w:r>
    </w:p>
    <w:p w14:paraId="2330C7DA" w14:textId="77777777" w:rsidR="003A5536" w:rsidRPr="00251DC4" w:rsidRDefault="003A5536" w:rsidP="003A5536">
      <w:pPr>
        <w:rPr>
          <w:rFonts w:cs="Times New Roman"/>
          <w:szCs w:val="24"/>
        </w:rPr>
      </w:pPr>
    </w:p>
    <w:p w14:paraId="216FBA28" w14:textId="77777777" w:rsidR="003A5536" w:rsidRPr="00251DC4" w:rsidRDefault="003A5536" w:rsidP="003A5536">
      <w:pPr>
        <w:rPr>
          <w:rFonts w:cs="Times New Roman"/>
          <w:szCs w:val="24"/>
        </w:rPr>
      </w:pPr>
      <w:r w:rsidRPr="00251DC4">
        <w:rPr>
          <w:rFonts w:cs="Times New Roman"/>
          <w:szCs w:val="24"/>
        </w:rPr>
        <w:lastRenderedPageBreak/>
        <w:t>Microsoft operationalises these principles through Microsoft Sentinel, Defender XDR and Security Copilot, which combine artificial intelligence with threat intelligence to correlate security telemetry, prioritise alerts and automate investigation across Azure and hybrid environments [25]. These capabilities reduce alert fatigue, accelerate incident investigation and provide security analysts with prioritised, contextualised information, enabling faster detection and response while maintaining visibility across distributed cloud services [25].</w:t>
      </w:r>
    </w:p>
    <w:p w14:paraId="564560B4" w14:textId="77777777" w:rsidR="003A5536" w:rsidRPr="00251DC4" w:rsidRDefault="003A5536" w:rsidP="003A5536">
      <w:pPr>
        <w:rPr>
          <w:rFonts w:cs="Times New Roman"/>
          <w:szCs w:val="24"/>
        </w:rPr>
      </w:pPr>
    </w:p>
    <w:p w14:paraId="3E9BC0DE" w14:textId="77777777" w:rsidR="003A5536" w:rsidRPr="00251DC4" w:rsidRDefault="003A5536" w:rsidP="003A5536">
      <w:pPr>
        <w:rPr>
          <w:rFonts w:cs="Times New Roman"/>
          <w:szCs w:val="24"/>
        </w:rPr>
      </w:pPr>
      <w:r w:rsidRPr="00251DC4">
        <w:rPr>
          <w:rFonts w:cs="Times New Roman"/>
          <w:szCs w:val="24"/>
        </w:rPr>
        <w:t xml:space="preserve">However, although artificial intelligence significantly improves the speed and scale of security operations, it does not replace human judgement [23], [26]. The NIST Artificial Intelligence Risk Management Framework states that trustworthy AI systems require appropriate human oversight, transparency and accountability throughout their operation [26]. ENISA likewise cautions that AI-assisted cybersecurity systems remain susceptible to false positives, hallucinations in generative AI outputs, limited explainability and adversarial manipulation, meaning that automated recommendations cannot be accepted without expert validation [23]. </w:t>
      </w:r>
      <w:r w:rsidRPr="00251DC4">
        <w:rPr>
          <w:rFonts w:cs="Times New Roman"/>
        </w:rPr>
        <w:t>E</w:t>
      </w:r>
      <w:r w:rsidRPr="00251DC4">
        <w:rPr>
          <w:rFonts w:cs="Times New Roman"/>
          <w:szCs w:val="24"/>
        </w:rPr>
        <w:t>xperienced security analysts remain essential for interpreting AI-generated findings, understanding organisational context, assessing business risk and making accountable incident response decisions [23], [26]. AI delivers its greatest value by augmenting human expertise rather than replacing it [23], [26].</w:t>
      </w:r>
    </w:p>
    <w:p w14:paraId="7842D891" w14:textId="77777777" w:rsidR="003A5536" w:rsidRPr="00251DC4" w:rsidRDefault="003A5536" w:rsidP="003A5536">
      <w:pPr>
        <w:rPr>
          <w:rFonts w:cs="Times New Roman"/>
          <w:szCs w:val="24"/>
        </w:rPr>
      </w:pPr>
    </w:p>
    <w:p w14:paraId="377B1D4D" w14:textId="4EB4D167" w:rsidR="003A5536" w:rsidRPr="00251DC4" w:rsidRDefault="001B1CF2" w:rsidP="001B1CF2">
      <w:pPr>
        <w:pStyle w:val="IEEE-SubSect"/>
        <w:numPr>
          <w:ilvl w:val="0"/>
          <w:numId w:val="0"/>
        </w:numPr>
        <w:ind w:left="720" w:hanging="360"/>
        <w:rPr>
          <w:rFonts w:cs="Times New Roman"/>
        </w:rPr>
      </w:pPr>
      <w:r w:rsidRPr="00251DC4">
        <w:rPr>
          <w:rFonts w:cs="Times New Roman"/>
        </w:rPr>
        <w:t>2</w:t>
      </w:r>
      <w:r w:rsidR="003A5536" w:rsidRPr="00251DC4">
        <w:rPr>
          <w:rFonts w:cs="Times New Roman"/>
        </w:rPr>
        <w:t>.5 Cyber Resilience</w:t>
      </w:r>
    </w:p>
    <w:p w14:paraId="091FD8BC" w14:textId="77777777" w:rsidR="003A5536" w:rsidRPr="00251DC4" w:rsidRDefault="003A5536" w:rsidP="003A5536">
      <w:pPr>
        <w:rPr>
          <w:rFonts w:cs="Times New Roman"/>
          <w:szCs w:val="24"/>
        </w:rPr>
      </w:pPr>
    </w:p>
    <w:p w14:paraId="25CA5BE5" w14:textId="77777777" w:rsidR="003A5536" w:rsidRPr="00251DC4" w:rsidRDefault="003A5536" w:rsidP="003A5536">
      <w:pPr>
        <w:rPr>
          <w:rFonts w:cs="Times New Roman"/>
          <w:szCs w:val="24"/>
        </w:rPr>
      </w:pPr>
      <w:r w:rsidRPr="00251DC4">
        <w:rPr>
          <w:rFonts w:cs="Times New Roman"/>
          <w:szCs w:val="24"/>
        </w:rPr>
        <w:t>The 2021 Conti ransomware attack against Ireland</w:t>
      </w:r>
      <w:r w:rsidRPr="00251DC4">
        <w:rPr>
          <w:rFonts w:cs="Times New Roman"/>
        </w:rPr>
        <w:t>’</w:t>
      </w:r>
      <w:r w:rsidRPr="00251DC4">
        <w:rPr>
          <w:rFonts w:cs="Times New Roman"/>
          <w:szCs w:val="24"/>
        </w:rPr>
        <w:t>s Health Service Executive (HSE) provides an appropriate case study for evaluating cyber resilience because it caused widespread disruption to national healthcare services and prolonged loss of access to essential information and communications technology systems [27]. The independent post-incident review commissioned by the HSE concluded that the attack exposed weaknesses not only in technical security controls, but also in cybersecurity governance, organisational preparedness, business continuity arrangements and recovery planning [27]. The incident therefore demonstrates both the continuing relevance of ransomware to contemporary threat actors and the severe organisational consequences of inadequate resilience [27].</w:t>
      </w:r>
    </w:p>
    <w:p w14:paraId="5F34317D" w14:textId="77777777" w:rsidR="003A5536" w:rsidRPr="00251DC4" w:rsidRDefault="003A5536" w:rsidP="003A5536">
      <w:pPr>
        <w:rPr>
          <w:rFonts w:cs="Times New Roman"/>
          <w:szCs w:val="24"/>
        </w:rPr>
      </w:pPr>
    </w:p>
    <w:p w14:paraId="705B6552" w14:textId="77777777" w:rsidR="003A5536" w:rsidRPr="00251DC4" w:rsidRDefault="003A5536" w:rsidP="003A5536">
      <w:pPr>
        <w:rPr>
          <w:rFonts w:cs="Times New Roman"/>
          <w:szCs w:val="24"/>
        </w:rPr>
      </w:pPr>
      <w:r w:rsidRPr="00251DC4">
        <w:rPr>
          <w:rFonts w:cs="Times New Roman"/>
          <w:szCs w:val="24"/>
        </w:rPr>
        <w:t>The lessons arising from the HSE incident are reinforced across standards, threat intelligence and academic literature. The Recover function of the NIST Cybersecurity Framework 2.0 requires organisations to execute, maintain and improve recovery activities so that assets and operations affected by a cybersecurity incident can be restored [11]. NIST</w:t>
      </w:r>
      <w:r w:rsidRPr="00251DC4">
        <w:rPr>
          <w:rFonts w:cs="Times New Roman"/>
        </w:rPr>
        <w:t>’</w:t>
      </w:r>
      <w:r w:rsidRPr="00251DC4">
        <w:rPr>
          <w:rFonts w:cs="Times New Roman"/>
          <w:szCs w:val="24"/>
        </w:rPr>
        <w:t>s Guide for Cybersecurity Event Recovery further emphasises comprehensive recovery planning, realistic testing, resource prioritisation and continual improvement as necessary conditions for rapid and effective restoration [28]. ENISA likewise identifies ransomware as a persistent and highly disruptive threat capable of interrupting essential services and producing significant operational consequences, particularly within the health sector [3]. Recent academic research similarly characterises cyber resilience as an organisation</w:t>
      </w:r>
      <w:r w:rsidRPr="00251DC4">
        <w:rPr>
          <w:rFonts w:cs="Times New Roman"/>
        </w:rPr>
        <w:t>’</w:t>
      </w:r>
      <w:r w:rsidRPr="00251DC4">
        <w:rPr>
          <w:rFonts w:cs="Times New Roman"/>
          <w:szCs w:val="24"/>
        </w:rPr>
        <w:t xml:space="preserve">s capacity to prepare for, respond to, recover from and adapt following cybersecurity events [29]. Collectively, these sources </w:t>
      </w:r>
      <w:r w:rsidRPr="00251DC4">
        <w:rPr>
          <w:rFonts w:cs="Times New Roman"/>
          <w:szCs w:val="24"/>
        </w:rPr>
        <w:lastRenderedPageBreak/>
        <w:t>demonstrate that resilience is achieved not through recovery technologies alone, but through an organisation</w:t>
      </w:r>
      <w:r w:rsidRPr="00251DC4">
        <w:rPr>
          <w:rFonts w:cs="Times New Roman"/>
        </w:rPr>
        <w:t>’</w:t>
      </w:r>
      <w:r w:rsidRPr="00251DC4">
        <w:rPr>
          <w:rFonts w:cs="Times New Roman"/>
          <w:szCs w:val="24"/>
        </w:rPr>
        <w:t>s ability to prepare for disruption, maintain essential functions, restore affected services and learn from cyber incidents [11], [28], [29].</w:t>
      </w:r>
    </w:p>
    <w:p w14:paraId="7D4ADD9E" w14:textId="77777777" w:rsidR="003A5536" w:rsidRPr="00251DC4" w:rsidRDefault="003A5536" w:rsidP="003A5536">
      <w:pPr>
        <w:rPr>
          <w:rFonts w:cs="Times New Roman"/>
          <w:szCs w:val="24"/>
        </w:rPr>
      </w:pPr>
    </w:p>
    <w:p w14:paraId="3C24E6B7" w14:textId="77777777" w:rsidR="003A5536" w:rsidRPr="00251DC4" w:rsidRDefault="003A5536" w:rsidP="003A5536">
      <w:pPr>
        <w:rPr>
          <w:rFonts w:cs="Times New Roman"/>
          <w:szCs w:val="24"/>
        </w:rPr>
      </w:pPr>
      <w:r w:rsidRPr="00251DC4">
        <w:rPr>
          <w:rFonts w:cs="Times New Roman"/>
          <w:szCs w:val="24"/>
        </w:rPr>
        <w:t>Microsoft operationalises these principles through Azure Backup, Azure Site Recovery, Microsoft Sentinel and Defender XDR, providing integrated capabilities for backup protection, disaster recovery, workload replication, incident investigation and coordinated response across Azure and hybrid environments [30]. These services protect recovery data, support workload availability through replication and failover, and integrate recovery activities with broader incident-response processes. Features such as immutable backup storage, automated recovery orchestration and AI-assisted incident management strengthen an organisation</w:t>
      </w:r>
      <w:r w:rsidRPr="00251DC4">
        <w:rPr>
          <w:rFonts w:cs="Times New Roman"/>
        </w:rPr>
        <w:t>’</w:t>
      </w:r>
      <w:r w:rsidRPr="00251DC4">
        <w:rPr>
          <w:rFonts w:cs="Times New Roman"/>
          <w:szCs w:val="24"/>
        </w:rPr>
        <w:t>s ability to recover from ransomware and other disruptive cyber incidents [30].</w:t>
      </w:r>
    </w:p>
    <w:p w14:paraId="6EB3DF1B" w14:textId="77777777" w:rsidR="003A5536" w:rsidRPr="00251DC4" w:rsidRDefault="003A5536" w:rsidP="003A5536">
      <w:pPr>
        <w:rPr>
          <w:rFonts w:cs="Times New Roman"/>
          <w:szCs w:val="24"/>
        </w:rPr>
      </w:pPr>
    </w:p>
    <w:p w14:paraId="05830CD8" w14:textId="77777777" w:rsidR="003A5536" w:rsidRPr="00251DC4" w:rsidRDefault="003A5536" w:rsidP="003A5536">
      <w:pPr>
        <w:rPr>
          <w:rFonts w:cs="Times New Roman"/>
          <w:szCs w:val="24"/>
        </w:rPr>
      </w:pPr>
      <w:r w:rsidRPr="00251DC4">
        <w:rPr>
          <w:rFonts w:cs="Times New Roman"/>
          <w:szCs w:val="24"/>
        </w:rPr>
        <w:t>However, the HSE incident demonstrates that the availability of recovery technologies does not itself guarantee organisational resilience [27]. The independent review found that effective response and recovery depended upon clear governance, defined responsibilities, business continuity planning, crisis-management structures and regularly rehearsed recovery procedures [27]. Microsoft likewise emphasises that recovery capabilities should be supported by documented recovery plans, communication arrangements, escalation procedures and regular testing rather than relying solely on technological redundancy [30]. Consequently, cyber resilience depends upon integrating recovery technologies with governance, organisational preparedness, rehearsed procedures and continual organisational learning, enabling essential services to be restored when preventive and detective controls have been bypassed [27], [28], [29].</w:t>
      </w:r>
    </w:p>
    <w:p w14:paraId="0F905B84" w14:textId="77777777" w:rsidR="003A5536" w:rsidRPr="00251DC4" w:rsidRDefault="003A5536" w:rsidP="003A5536">
      <w:pPr>
        <w:rPr>
          <w:rFonts w:cs="Times New Roman"/>
          <w:szCs w:val="24"/>
        </w:rPr>
      </w:pPr>
    </w:p>
    <w:p w14:paraId="30138E67" w14:textId="77777777" w:rsidR="003A5536" w:rsidRPr="00251DC4" w:rsidRDefault="003A5536" w:rsidP="001B1CF2">
      <w:pPr>
        <w:pStyle w:val="SectionH"/>
        <w:numPr>
          <w:ilvl w:val="0"/>
          <w:numId w:val="0"/>
        </w:numPr>
        <w:ind w:left="720" w:hanging="360"/>
      </w:pPr>
      <w:r w:rsidRPr="00251DC4">
        <w:t>Conclusion</w:t>
      </w:r>
    </w:p>
    <w:p w14:paraId="794AC8C6" w14:textId="77777777" w:rsidR="003A5536" w:rsidRPr="00251DC4" w:rsidRDefault="003A5536" w:rsidP="003A5536">
      <w:pPr>
        <w:rPr>
          <w:rFonts w:cs="Times New Roman"/>
          <w:szCs w:val="24"/>
        </w:rPr>
      </w:pPr>
    </w:p>
    <w:p w14:paraId="45055F72" w14:textId="77777777" w:rsidR="003A5536" w:rsidRPr="00251DC4" w:rsidRDefault="003A5536" w:rsidP="003A5536">
      <w:pPr>
        <w:rPr>
          <w:rFonts w:cs="Times New Roman"/>
          <w:szCs w:val="24"/>
        </w:rPr>
      </w:pPr>
      <w:r w:rsidRPr="00251DC4">
        <w:rPr>
          <w:rFonts w:cs="Times New Roman"/>
        </w:rPr>
        <w:t>In summary,</w:t>
      </w:r>
      <w:r w:rsidRPr="00251DC4">
        <w:rPr>
          <w:rFonts w:cs="Times New Roman"/>
          <w:szCs w:val="24"/>
        </w:rPr>
        <w:t xml:space="preserve"> securing Azure and hybrid environments cannot be achieved through the deployment of isolated security technologies alone</w:t>
      </w:r>
      <w:r w:rsidRPr="00251DC4">
        <w:rPr>
          <w:rFonts w:cs="Times New Roman"/>
        </w:rPr>
        <w:t>;</w:t>
      </w:r>
      <w:r w:rsidRPr="00251DC4">
        <w:rPr>
          <w:rFonts w:cs="Times New Roman"/>
          <w:szCs w:val="24"/>
        </w:rPr>
        <w:t xml:space="preserve"> instead </w:t>
      </w:r>
      <w:r w:rsidRPr="00251DC4">
        <w:rPr>
          <w:rFonts w:cs="Times New Roman"/>
        </w:rPr>
        <w:t xml:space="preserve">it </w:t>
      </w:r>
      <w:r w:rsidRPr="00251DC4">
        <w:rPr>
          <w:rFonts w:cs="Times New Roman"/>
          <w:szCs w:val="24"/>
        </w:rPr>
        <w:t xml:space="preserve">requires the coordinated implementation of complementary organisational and technical capabilities. </w:t>
      </w:r>
    </w:p>
    <w:p w14:paraId="7A2B7A7E" w14:textId="77777777" w:rsidR="003A5536" w:rsidRPr="00251DC4" w:rsidRDefault="003A5536" w:rsidP="003A5536">
      <w:pPr>
        <w:rPr>
          <w:rFonts w:cs="Times New Roman"/>
          <w:szCs w:val="24"/>
        </w:rPr>
      </w:pPr>
    </w:p>
    <w:p w14:paraId="71072B0E" w14:textId="77777777" w:rsidR="003A5536" w:rsidRPr="00251DC4" w:rsidRDefault="003A5536" w:rsidP="003A5536">
      <w:pPr>
        <w:rPr>
          <w:rFonts w:cs="Times New Roman"/>
          <w:szCs w:val="24"/>
        </w:rPr>
      </w:pPr>
      <w:r w:rsidRPr="00251DC4">
        <w:rPr>
          <w:rFonts w:cs="Times New Roman"/>
          <w:szCs w:val="24"/>
        </w:rPr>
        <w:t xml:space="preserve">The findings demonstrate that effective cloud security depends upon the integration of governance, identity and access management, secure software engineering, AI-enabled detection and response, and cyber resilience. Leadership and governance establish the strategic direction required to manage cyber risk, while Cloud Security Posture Management provides continuous visibility and assurance across cloud resources. Identity and privileged access management remain fundamental because identities have become the primary security boundary, although their effectiveness depends upon robust lifecycle management and informed user behaviour. Secure software engineering reduces vulnerabilities by embedding security throughout software development, while AI-enabled detection and response improve the speed and effectiveness of threat detection without replacing human judgement. Finally, </w:t>
      </w:r>
      <w:r w:rsidRPr="00251DC4">
        <w:rPr>
          <w:rFonts w:cs="Times New Roman"/>
          <w:szCs w:val="24"/>
        </w:rPr>
        <w:lastRenderedPageBreak/>
        <w:t>cyber resilience ensures that organisations can maintain essential services and recover effectively when preventive and detective controls are bypassed.</w:t>
      </w:r>
    </w:p>
    <w:p w14:paraId="3B0BBEE2" w14:textId="77777777" w:rsidR="003A5536" w:rsidRPr="00251DC4" w:rsidRDefault="003A5536" w:rsidP="003A5536">
      <w:pPr>
        <w:rPr>
          <w:rFonts w:cs="Times New Roman"/>
          <w:szCs w:val="24"/>
        </w:rPr>
      </w:pPr>
    </w:p>
    <w:p w14:paraId="4CA6B540" w14:textId="77777777" w:rsidR="003A5536" w:rsidRPr="00251DC4" w:rsidRDefault="003A5536" w:rsidP="003A5536">
      <w:pPr>
        <w:rPr>
          <w:rFonts w:cs="Times New Roman"/>
          <w:szCs w:val="24"/>
        </w:rPr>
      </w:pPr>
      <w:r w:rsidRPr="00251DC4">
        <w:rPr>
          <w:rFonts w:cs="Times New Roman"/>
        </w:rPr>
        <w:t xml:space="preserve">The present overall conclusion is that </w:t>
      </w:r>
      <w:r w:rsidRPr="00251DC4">
        <w:rPr>
          <w:rFonts w:cs="Times New Roman"/>
          <w:szCs w:val="24"/>
        </w:rPr>
        <w:t>no single capability is sufficient to secure Azure and hybrid environments in isolation. Rather, effective cloud security is achieved through the integration of governance, people, secure software engineering, intelligent automation and resilient recovery capabilities into a coherent defence-in-depth strategy. Organisations that successfully align these capabilities will be better positioned to anticipate, withstand and recover from the evolving cyber threats affecting modern cloud environments.</w:t>
      </w:r>
    </w:p>
    <w:p w14:paraId="3284273A" w14:textId="77777777" w:rsidR="003A5536" w:rsidRPr="00251DC4" w:rsidRDefault="003A5536" w:rsidP="003A5536">
      <w:pPr>
        <w:rPr>
          <w:rFonts w:cs="Times New Roman"/>
          <w:szCs w:val="24"/>
        </w:rPr>
      </w:pPr>
    </w:p>
    <w:p w14:paraId="12E1A0C8" w14:textId="77777777" w:rsidR="003A5536" w:rsidRPr="00251DC4" w:rsidRDefault="003A5536" w:rsidP="003A5536">
      <w:pPr>
        <w:rPr>
          <w:rFonts w:cs="Times New Roman"/>
          <w:szCs w:val="24"/>
        </w:rPr>
      </w:pPr>
    </w:p>
    <w:p w14:paraId="74E1E1C9" w14:textId="77777777" w:rsidR="003A5536" w:rsidRPr="00251DC4" w:rsidRDefault="003A5536" w:rsidP="003A5536">
      <w:pPr>
        <w:rPr>
          <w:rFonts w:cs="Times New Roman"/>
          <w:szCs w:val="24"/>
        </w:rPr>
      </w:pPr>
    </w:p>
    <w:p w14:paraId="189FC0A7" w14:textId="77777777" w:rsidR="003A5536" w:rsidRPr="00251DC4" w:rsidRDefault="003A5536" w:rsidP="003A5536">
      <w:pPr>
        <w:rPr>
          <w:rFonts w:cs="Times New Roman"/>
          <w:szCs w:val="24"/>
        </w:rPr>
      </w:pPr>
    </w:p>
    <w:p w14:paraId="43AE780C" w14:textId="77777777" w:rsidR="003A5536" w:rsidRPr="00251DC4" w:rsidRDefault="003A5536" w:rsidP="001B1CF2">
      <w:pPr>
        <w:pStyle w:val="SectionH"/>
        <w:numPr>
          <w:ilvl w:val="0"/>
          <w:numId w:val="0"/>
        </w:numPr>
        <w:ind w:left="720" w:hanging="360"/>
      </w:pPr>
      <w:r w:rsidRPr="00251DC4">
        <w:t xml:space="preserve">References </w:t>
      </w:r>
    </w:p>
    <w:p w14:paraId="174032BD" w14:textId="77777777" w:rsidR="003A5536" w:rsidRPr="00251DC4" w:rsidRDefault="003A5536" w:rsidP="003A5536">
      <w:pPr>
        <w:rPr>
          <w:rFonts w:cs="Times New Roman"/>
          <w:szCs w:val="24"/>
        </w:rPr>
      </w:pPr>
    </w:p>
    <w:p w14:paraId="0428C0A6" w14:textId="5D8C3720" w:rsidR="003A5536" w:rsidRPr="00251DC4" w:rsidRDefault="003A5536" w:rsidP="003A5536">
      <w:pPr>
        <w:rPr>
          <w:rFonts w:cs="Times New Roman"/>
          <w:szCs w:val="24"/>
        </w:rPr>
      </w:pPr>
      <w:r w:rsidRPr="00251DC4">
        <w:rPr>
          <w:rFonts w:cs="Times New Roman"/>
          <w:szCs w:val="24"/>
        </w:rPr>
        <w:t xml:space="preserve">[1] </w:t>
      </w:r>
      <w:r w:rsidRPr="00251DC4">
        <w:rPr>
          <w:rFonts w:cs="Times New Roman"/>
        </w:rPr>
        <w:t>Michael Howard, Lee Holmes, Sherrod DeGrippo, Shawn Hernan</w:t>
      </w:r>
      <w:r w:rsidRPr="00251DC4">
        <w:rPr>
          <w:rFonts w:cs="Times New Roman"/>
          <w:szCs w:val="24"/>
        </w:rPr>
        <w:t>,</w:t>
      </w:r>
      <w:r w:rsidRPr="00251DC4">
        <w:rPr>
          <w:rFonts w:cs="Times New Roman"/>
        </w:rPr>
        <w:t xml:space="preserve"> </w:t>
      </w:r>
      <w:r w:rsidRPr="00251DC4">
        <w:rPr>
          <w:rFonts w:cs="Times New Roman"/>
          <w:szCs w:val="24"/>
        </w:rPr>
        <w:t>Threat-Driven Software Development.</w:t>
      </w:r>
      <w:r w:rsidRPr="00251DC4">
        <w:rPr>
          <w:rFonts w:cs="Times New Roman"/>
        </w:rPr>
        <w:t xml:space="preserve"> Microsoft Press, 2026</w:t>
      </w:r>
    </w:p>
    <w:p w14:paraId="268CE3E1" w14:textId="72728D53" w:rsidR="003A5536" w:rsidRPr="00251DC4" w:rsidRDefault="003A5536" w:rsidP="003A5536">
      <w:pPr>
        <w:rPr>
          <w:rFonts w:cs="Times New Roman"/>
          <w:szCs w:val="24"/>
        </w:rPr>
      </w:pPr>
      <w:r w:rsidRPr="00251DC4">
        <w:rPr>
          <w:rFonts w:cs="Times New Roman"/>
          <w:szCs w:val="24"/>
        </w:rPr>
        <w:t>[2] IBM Security X-Force,</w:t>
      </w:r>
      <w:r w:rsidRPr="00251DC4">
        <w:rPr>
          <w:rFonts w:cs="Times New Roman"/>
        </w:rPr>
        <w:t xml:space="preserve"> </w:t>
      </w:r>
      <w:r w:rsidRPr="00251DC4">
        <w:rPr>
          <w:rFonts w:cs="Times New Roman"/>
          <w:szCs w:val="24"/>
        </w:rPr>
        <w:t>X-Force Threat Intelligence Index 2025</w:t>
      </w:r>
      <w:r w:rsidR="001B1CF2" w:rsidRPr="00251DC4">
        <w:rPr>
          <w:rFonts w:cs="Times New Roman"/>
        </w:rPr>
        <w:t>.</w:t>
      </w:r>
      <w:r w:rsidRPr="00251DC4">
        <w:rPr>
          <w:rFonts w:cs="Times New Roman"/>
          <w:szCs w:val="24"/>
        </w:rPr>
        <w:t xml:space="preserve"> Armonk, NY, USA: IBM, 2025.</w:t>
      </w:r>
    </w:p>
    <w:p w14:paraId="08BAB399" w14:textId="5886A4F5" w:rsidR="003A5536" w:rsidRPr="00251DC4" w:rsidRDefault="003A5536" w:rsidP="003A5536">
      <w:pPr>
        <w:rPr>
          <w:rFonts w:cs="Times New Roman"/>
          <w:szCs w:val="24"/>
        </w:rPr>
      </w:pPr>
      <w:r w:rsidRPr="00251DC4">
        <w:rPr>
          <w:rFonts w:cs="Times New Roman"/>
          <w:szCs w:val="24"/>
        </w:rPr>
        <w:t>[3]</w:t>
      </w:r>
      <w:r w:rsidR="000605AC" w:rsidRPr="00251DC4">
        <w:rPr>
          <w:rFonts w:cs="Times New Roman"/>
          <w:szCs w:val="24"/>
        </w:rPr>
        <w:t xml:space="preserve"> </w:t>
      </w:r>
      <w:r w:rsidRPr="00251DC4">
        <w:rPr>
          <w:rFonts w:cs="Times New Roman"/>
          <w:szCs w:val="24"/>
        </w:rPr>
        <w:t>European Union Agency for Cybersecurity (ENISA),</w:t>
      </w:r>
      <w:r w:rsidRPr="00251DC4">
        <w:rPr>
          <w:rFonts w:cs="Times New Roman"/>
        </w:rPr>
        <w:t xml:space="preserve"> </w:t>
      </w:r>
      <w:r w:rsidRPr="00251DC4">
        <w:rPr>
          <w:rFonts w:cs="Times New Roman"/>
          <w:i/>
          <w:iCs/>
          <w:szCs w:val="24"/>
        </w:rPr>
        <w:t>ENISA Threat Landscape</w:t>
      </w:r>
      <w:r w:rsidRPr="00251DC4">
        <w:rPr>
          <w:rFonts w:cs="Times New Roman"/>
          <w:szCs w:val="24"/>
        </w:rPr>
        <w:t xml:space="preserve"> 2024. </w:t>
      </w:r>
      <w:r w:rsidR="000605AC" w:rsidRPr="00251DC4">
        <w:rPr>
          <w:rFonts w:cs="Times New Roman"/>
          <w:szCs w:val="24"/>
        </w:rPr>
        <w:t>Heraklion</w:t>
      </w:r>
      <w:r w:rsidRPr="00251DC4">
        <w:rPr>
          <w:rFonts w:cs="Times New Roman"/>
          <w:szCs w:val="24"/>
        </w:rPr>
        <w:t>, Greece: ENISA, 2024.</w:t>
      </w:r>
    </w:p>
    <w:p w14:paraId="7F22936D" w14:textId="68DB9E12" w:rsidR="003A5536" w:rsidRPr="00251DC4" w:rsidRDefault="003A5536" w:rsidP="003A5536">
      <w:pPr>
        <w:rPr>
          <w:rFonts w:cs="Times New Roman"/>
          <w:szCs w:val="24"/>
        </w:rPr>
      </w:pPr>
      <w:r w:rsidRPr="00251DC4">
        <w:rPr>
          <w:rFonts w:cs="Times New Roman"/>
          <w:szCs w:val="24"/>
        </w:rPr>
        <w:t xml:space="preserve">[4] </w:t>
      </w:r>
      <w:r w:rsidR="000605AC" w:rsidRPr="00251DC4">
        <w:rPr>
          <w:rFonts w:cs="Times New Roman"/>
        </w:rPr>
        <w:t>Microsoft, Microsoft Digital Defense Report 2024. Redmond, WA, USA: Microsoft Corp., 2024.</w:t>
      </w:r>
    </w:p>
    <w:p w14:paraId="569F04E4" w14:textId="6FA753C7" w:rsidR="003A5536" w:rsidRPr="00251DC4" w:rsidRDefault="003A5536" w:rsidP="003A5536">
      <w:pPr>
        <w:rPr>
          <w:rFonts w:cs="Times New Roman"/>
          <w:szCs w:val="24"/>
        </w:rPr>
      </w:pPr>
      <w:r w:rsidRPr="00251DC4">
        <w:rPr>
          <w:rFonts w:cs="Times New Roman"/>
          <w:szCs w:val="24"/>
        </w:rPr>
        <w:t>[5] Microsoft,</w:t>
      </w:r>
      <w:r w:rsidRPr="00251DC4">
        <w:rPr>
          <w:rFonts w:cs="Times New Roman"/>
        </w:rPr>
        <w:t xml:space="preserve"> “</w:t>
      </w:r>
      <w:r w:rsidRPr="00251DC4">
        <w:rPr>
          <w:rFonts w:cs="Times New Roman"/>
          <w:szCs w:val="24"/>
        </w:rPr>
        <w:t>Cloud Adoption Framework for Azure,</w:t>
      </w:r>
      <w:r w:rsidRPr="00251DC4">
        <w:rPr>
          <w:rFonts w:cs="Times New Roman"/>
        </w:rPr>
        <w:t xml:space="preserve">” </w:t>
      </w:r>
      <w:r w:rsidRPr="00251DC4">
        <w:rPr>
          <w:rFonts w:cs="Times New Roman"/>
          <w:szCs w:val="24"/>
        </w:rPr>
        <w:t>Microsoft Learn</w:t>
      </w:r>
      <w:r w:rsidR="001B1CF2" w:rsidRPr="00251DC4">
        <w:rPr>
          <w:rFonts w:cs="Times New Roman"/>
        </w:rPr>
        <w:t>.</w:t>
      </w:r>
      <w:r w:rsidRPr="00251DC4">
        <w:rPr>
          <w:rFonts w:cs="Times New Roman"/>
          <w:szCs w:val="24"/>
        </w:rPr>
        <w:t xml:space="preserve"> [Online]. Available: https://learn.microsoft.com/azure/cloud-adoption-framework/ Accessed: 24-Jul-2026.</w:t>
      </w:r>
    </w:p>
    <w:p w14:paraId="59595889" w14:textId="27D64EBB" w:rsidR="003A5536" w:rsidRPr="00251DC4" w:rsidRDefault="003A5536" w:rsidP="003A5536">
      <w:pPr>
        <w:rPr>
          <w:rFonts w:cs="Times New Roman"/>
          <w:szCs w:val="24"/>
        </w:rPr>
      </w:pPr>
      <w:r w:rsidRPr="00251DC4">
        <w:rPr>
          <w:rFonts w:cs="Times New Roman"/>
          <w:szCs w:val="24"/>
        </w:rPr>
        <w:t>[6] Verizon Business,</w:t>
      </w:r>
      <w:r w:rsidRPr="00251DC4">
        <w:rPr>
          <w:rFonts w:cs="Times New Roman"/>
        </w:rPr>
        <w:t xml:space="preserve"> </w:t>
      </w:r>
      <w:r w:rsidRPr="00251DC4">
        <w:rPr>
          <w:rFonts w:cs="Times New Roman"/>
          <w:szCs w:val="24"/>
        </w:rPr>
        <w:t>2025 Data Breach Investigations Report. New York, NY, USA: Verizon Business, 2025.</w:t>
      </w:r>
    </w:p>
    <w:p w14:paraId="312177D3" w14:textId="7B44C8B2" w:rsidR="003A5536" w:rsidRPr="00251DC4" w:rsidRDefault="003A5536" w:rsidP="003A5536">
      <w:pPr>
        <w:rPr>
          <w:rFonts w:cs="Times New Roman"/>
          <w:szCs w:val="24"/>
        </w:rPr>
      </w:pPr>
      <w:r w:rsidRPr="00251DC4">
        <w:rPr>
          <w:rFonts w:cs="Times New Roman"/>
          <w:szCs w:val="24"/>
        </w:rPr>
        <w:t>[7] Microsoft,</w:t>
      </w:r>
      <w:r w:rsidRPr="00251DC4">
        <w:rPr>
          <w:rFonts w:cs="Times New Roman"/>
        </w:rPr>
        <w:t xml:space="preserve"> </w:t>
      </w:r>
      <w:r w:rsidRPr="00251DC4">
        <w:rPr>
          <w:rFonts w:cs="Times New Roman"/>
          <w:szCs w:val="24"/>
        </w:rPr>
        <w:t>Microsoft Digital Defense Report 2025. Redmond, WA, USA: Microsoft, 2025.</w:t>
      </w:r>
    </w:p>
    <w:p w14:paraId="25C873FB" w14:textId="3796AE09" w:rsidR="003A5536" w:rsidRPr="00251DC4" w:rsidRDefault="003A5536" w:rsidP="003A5536">
      <w:pPr>
        <w:rPr>
          <w:rFonts w:cs="Times New Roman"/>
          <w:szCs w:val="24"/>
        </w:rPr>
      </w:pPr>
      <w:r w:rsidRPr="00251DC4">
        <w:rPr>
          <w:rFonts w:cs="Times New Roman"/>
          <w:szCs w:val="24"/>
        </w:rPr>
        <w:t>[8] M. Schmitt and I. Flechais,</w:t>
      </w:r>
      <w:r w:rsidRPr="00251DC4">
        <w:rPr>
          <w:rFonts w:cs="Times New Roman"/>
        </w:rPr>
        <w:t xml:space="preserve"> “</w:t>
      </w:r>
      <w:r w:rsidRPr="00251DC4">
        <w:rPr>
          <w:rFonts w:cs="Times New Roman"/>
          <w:szCs w:val="24"/>
        </w:rPr>
        <w:t>Digital deception: Generative artificial intelligence in social engineering and phishing,</w:t>
      </w:r>
      <w:r w:rsidRPr="00251DC4">
        <w:rPr>
          <w:rFonts w:cs="Times New Roman"/>
        </w:rPr>
        <w:t xml:space="preserve">” </w:t>
      </w:r>
      <w:r w:rsidRPr="00251DC4">
        <w:rPr>
          <w:rFonts w:cs="Times New Roman"/>
          <w:szCs w:val="24"/>
        </w:rPr>
        <w:t>arXiv preprint arXiv:2310.13715</w:t>
      </w:r>
      <w:r w:rsidR="00CE7337" w:rsidRPr="00251DC4">
        <w:rPr>
          <w:rFonts w:cs="Times New Roman"/>
        </w:rPr>
        <w:t>,</w:t>
      </w:r>
      <w:r w:rsidRPr="00251DC4">
        <w:rPr>
          <w:rFonts w:cs="Times New Roman"/>
          <w:szCs w:val="24"/>
        </w:rPr>
        <w:t xml:space="preserve"> 2023.</w:t>
      </w:r>
    </w:p>
    <w:p w14:paraId="6C22D732" w14:textId="59E266BD" w:rsidR="003A5536" w:rsidRPr="00251DC4" w:rsidRDefault="003A5536" w:rsidP="003A5536">
      <w:pPr>
        <w:rPr>
          <w:rFonts w:cs="Times New Roman"/>
          <w:szCs w:val="24"/>
        </w:rPr>
      </w:pPr>
      <w:r w:rsidRPr="00251DC4">
        <w:rPr>
          <w:rFonts w:cs="Times New Roman"/>
          <w:szCs w:val="24"/>
        </w:rPr>
        <w:t>[9] Europol,</w:t>
      </w:r>
      <w:r w:rsidRPr="00251DC4">
        <w:rPr>
          <w:rFonts w:cs="Times New Roman"/>
        </w:rPr>
        <w:t xml:space="preserve"> </w:t>
      </w:r>
      <w:r w:rsidRPr="00251DC4">
        <w:rPr>
          <w:rFonts w:cs="Times New Roman"/>
          <w:szCs w:val="24"/>
        </w:rPr>
        <w:t>Internet Organised Crime Threat Assessment (IOCTA) 2024</w:t>
      </w:r>
      <w:r w:rsidR="001B1CF2" w:rsidRPr="00251DC4">
        <w:rPr>
          <w:rFonts w:cs="Times New Roman"/>
        </w:rPr>
        <w:t>.</w:t>
      </w:r>
      <w:r w:rsidRPr="00251DC4">
        <w:rPr>
          <w:rFonts w:cs="Times New Roman"/>
          <w:szCs w:val="24"/>
        </w:rPr>
        <w:t xml:space="preserve"> The Hague, The Netherlands: Europol, 2024.</w:t>
      </w:r>
    </w:p>
    <w:p w14:paraId="0595BA0E" w14:textId="2FA4A1DD" w:rsidR="003A5536" w:rsidRPr="00251DC4" w:rsidRDefault="003A5536" w:rsidP="003A5536">
      <w:pPr>
        <w:rPr>
          <w:rFonts w:cs="Times New Roman"/>
          <w:szCs w:val="24"/>
        </w:rPr>
      </w:pPr>
      <w:r w:rsidRPr="00251DC4">
        <w:rPr>
          <w:rFonts w:cs="Times New Roman"/>
          <w:szCs w:val="24"/>
        </w:rPr>
        <w:t>[10] Microsoft,</w:t>
      </w:r>
      <w:r w:rsidRPr="00251DC4">
        <w:rPr>
          <w:rFonts w:cs="Times New Roman"/>
        </w:rPr>
        <w:t xml:space="preserve"> “</w:t>
      </w:r>
      <w:r w:rsidRPr="00251DC4">
        <w:rPr>
          <w:rFonts w:cs="Times New Roman"/>
          <w:szCs w:val="24"/>
        </w:rPr>
        <w:t>Microsoft Defender for Cloud documentation,</w:t>
      </w:r>
      <w:r w:rsidRPr="00251DC4">
        <w:rPr>
          <w:rFonts w:cs="Times New Roman"/>
        </w:rPr>
        <w:t xml:space="preserve">” </w:t>
      </w:r>
      <w:r w:rsidRPr="00251DC4">
        <w:rPr>
          <w:rFonts w:cs="Times New Roman"/>
          <w:szCs w:val="24"/>
        </w:rPr>
        <w:t>Microsoft Learn</w:t>
      </w:r>
      <w:r w:rsidR="001B1CF2" w:rsidRPr="00251DC4">
        <w:rPr>
          <w:rFonts w:cs="Times New Roman"/>
        </w:rPr>
        <w:t>.</w:t>
      </w:r>
      <w:r w:rsidRPr="00251DC4">
        <w:rPr>
          <w:rFonts w:cs="Times New Roman"/>
          <w:szCs w:val="24"/>
        </w:rPr>
        <w:t xml:space="preserve"> [Online]. Available: https://learn.microsoft.com/azure/defender-for-cloud/ Accessed: 24-Jul-2026.</w:t>
      </w:r>
    </w:p>
    <w:p w14:paraId="538EF8C9" w14:textId="140D81AB" w:rsidR="003A5536" w:rsidRPr="00251DC4" w:rsidRDefault="003A5536" w:rsidP="003A5536">
      <w:pPr>
        <w:rPr>
          <w:rFonts w:cs="Times New Roman"/>
          <w:szCs w:val="24"/>
        </w:rPr>
      </w:pPr>
      <w:r w:rsidRPr="00251DC4">
        <w:rPr>
          <w:rFonts w:cs="Times New Roman"/>
          <w:szCs w:val="24"/>
        </w:rPr>
        <w:t>[11] National Institute of Standards and Technology,</w:t>
      </w:r>
      <w:r w:rsidRPr="00251DC4">
        <w:rPr>
          <w:rFonts w:cs="Times New Roman"/>
        </w:rPr>
        <w:t xml:space="preserve"> </w:t>
      </w:r>
      <w:r w:rsidRPr="00251DC4">
        <w:rPr>
          <w:rFonts w:cs="Times New Roman"/>
          <w:szCs w:val="24"/>
        </w:rPr>
        <w:t>Cybersecurity Framework (CSF) 2.0</w:t>
      </w:r>
      <w:r w:rsidR="001B1CF2" w:rsidRPr="00251DC4">
        <w:rPr>
          <w:rFonts w:cs="Times New Roman"/>
        </w:rPr>
        <w:t>.</w:t>
      </w:r>
      <w:r w:rsidRPr="00251DC4">
        <w:rPr>
          <w:rFonts w:cs="Times New Roman"/>
          <w:szCs w:val="24"/>
        </w:rPr>
        <w:t xml:space="preserve"> Gaithersburg, MD, USA: National Institute of Standards and Technology, 2024.</w:t>
      </w:r>
    </w:p>
    <w:p w14:paraId="0E879058" w14:textId="1BD06FE9" w:rsidR="003A5536" w:rsidRPr="00251DC4" w:rsidRDefault="003A5536" w:rsidP="003A5536">
      <w:pPr>
        <w:rPr>
          <w:rFonts w:cs="Times New Roman"/>
          <w:szCs w:val="24"/>
        </w:rPr>
      </w:pPr>
      <w:r w:rsidRPr="00251DC4">
        <w:rPr>
          <w:rFonts w:cs="Times New Roman"/>
          <w:szCs w:val="24"/>
        </w:rPr>
        <w:lastRenderedPageBreak/>
        <w:t>[12]</w:t>
      </w:r>
      <w:r w:rsidR="00CE7337" w:rsidRPr="00251DC4">
        <w:rPr>
          <w:rFonts w:cs="Times New Roman"/>
          <w:szCs w:val="24"/>
        </w:rPr>
        <w:t xml:space="preserve"> </w:t>
      </w:r>
      <w:r w:rsidR="00CE7337" w:rsidRPr="00251DC4">
        <w:rPr>
          <w:rFonts w:cs="Times New Roman"/>
          <w:szCs w:val="24"/>
        </w:rPr>
        <w:t>A. Nelson, S. Rekhi, M. Souppaya and K. Scarfone,</w:t>
      </w:r>
      <w:r w:rsidR="00CE7337" w:rsidRPr="00251DC4">
        <w:rPr>
          <w:rStyle w:val="apple-converted-space"/>
          <w:rFonts w:cs="Times New Roman"/>
          <w:szCs w:val="24"/>
        </w:rPr>
        <w:t> </w:t>
      </w:r>
      <w:r w:rsidR="00CE7337" w:rsidRPr="00251DC4">
        <w:rPr>
          <w:rStyle w:val="Emphasis"/>
          <w:rFonts w:cs="Times New Roman"/>
          <w:szCs w:val="24"/>
        </w:rPr>
        <w:t>Incident Response Recommendations and Considerations for Cybersecurity Risk Management: A CSF 2.0 Community Profile</w:t>
      </w:r>
      <w:r w:rsidR="00CE7337" w:rsidRPr="00251DC4">
        <w:rPr>
          <w:rFonts w:cs="Times New Roman"/>
          <w:szCs w:val="24"/>
        </w:rPr>
        <w:t>, NIST Special Publication 800-61 Revision 3. Gaithersburg, MD, USA:</w:t>
      </w:r>
      <w:r w:rsidR="00CE7337" w:rsidRPr="00251DC4">
        <w:rPr>
          <w:rFonts w:cs="Times New Roman"/>
          <w:szCs w:val="24"/>
        </w:rPr>
        <w:t xml:space="preserve"> </w:t>
      </w:r>
      <w:r w:rsidR="00CE7337" w:rsidRPr="00251DC4">
        <w:rPr>
          <w:rFonts w:cs="Times New Roman"/>
          <w:szCs w:val="24"/>
        </w:rPr>
        <w:t>National Institute of Standards and Technology, Apr. 2025. doi: 10.6028/NIST.SP.800-61r3.</w:t>
      </w:r>
    </w:p>
    <w:p w14:paraId="01B928BC" w14:textId="77777777" w:rsidR="003A5536" w:rsidRPr="00251DC4" w:rsidRDefault="003A5536" w:rsidP="003A5536">
      <w:pPr>
        <w:rPr>
          <w:rFonts w:cs="Times New Roman"/>
          <w:szCs w:val="24"/>
        </w:rPr>
      </w:pPr>
      <w:r w:rsidRPr="00251DC4">
        <w:rPr>
          <w:rFonts w:cs="Times New Roman"/>
          <w:szCs w:val="24"/>
        </w:rPr>
        <w:t>[13] U.S. Department of Justice,</w:t>
      </w:r>
      <w:r w:rsidRPr="00251DC4">
        <w:rPr>
          <w:rFonts w:cs="Times New Roman"/>
        </w:rPr>
        <w:t xml:space="preserve"> “</w:t>
      </w:r>
      <w:r w:rsidRPr="00251DC4">
        <w:rPr>
          <w:rFonts w:cs="Times New Roman"/>
          <w:szCs w:val="24"/>
        </w:rPr>
        <w:t>Seattle Tech Worker Arrested for Data Theft Involving Capital One,</w:t>
      </w:r>
      <w:r w:rsidRPr="00251DC4">
        <w:rPr>
          <w:rFonts w:cs="Times New Roman"/>
        </w:rPr>
        <w:t xml:space="preserve">” </w:t>
      </w:r>
      <w:r w:rsidRPr="00251DC4">
        <w:rPr>
          <w:rFonts w:cs="Times New Roman"/>
          <w:szCs w:val="24"/>
        </w:rPr>
        <w:t>Jul. 29, 2019. [Online]. Available: https://www.justice.gov/</w:t>
      </w:r>
    </w:p>
    <w:p w14:paraId="765196D5" w14:textId="113CD1A1" w:rsidR="003A5536" w:rsidRPr="00251DC4" w:rsidRDefault="003A5536" w:rsidP="003A5536">
      <w:pPr>
        <w:rPr>
          <w:rFonts w:cs="Times New Roman"/>
          <w:szCs w:val="24"/>
        </w:rPr>
      </w:pPr>
      <w:r w:rsidRPr="00251DC4">
        <w:rPr>
          <w:rFonts w:cs="Times New Roman"/>
          <w:szCs w:val="24"/>
        </w:rPr>
        <w:t>[14] Mandiant,</w:t>
      </w:r>
      <w:r w:rsidRPr="00251DC4">
        <w:rPr>
          <w:rFonts w:cs="Times New Roman"/>
        </w:rPr>
        <w:t xml:space="preserve"> “</w:t>
      </w:r>
      <w:r w:rsidRPr="00251DC4">
        <w:rPr>
          <w:rFonts w:cs="Times New Roman"/>
          <w:szCs w:val="24"/>
        </w:rPr>
        <w:t>UNC5537 Targets Snowflake Customer Instances for Data Theft and Extortion,</w:t>
      </w:r>
      <w:r w:rsidRPr="00251DC4">
        <w:rPr>
          <w:rFonts w:cs="Times New Roman"/>
        </w:rPr>
        <w:t xml:space="preserve">” </w:t>
      </w:r>
      <w:r w:rsidRPr="00251DC4">
        <w:rPr>
          <w:rFonts w:cs="Times New Roman"/>
          <w:szCs w:val="24"/>
        </w:rPr>
        <w:t>Google Cloud Threat Intelligence, Jun. 2024. [Online]. Available: https://cloud.google.com/blog/topics/threat-intelligence</w:t>
      </w:r>
    </w:p>
    <w:p w14:paraId="2E65EA6F" w14:textId="50FAFB11" w:rsidR="003A5536" w:rsidRPr="00251DC4" w:rsidRDefault="003A5536" w:rsidP="003A5536">
      <w:pPr>
        <w:rPr>
          <w:rFonts w:cs="Times New Roman"/>
          <w:szCs w:val="24"/>
        </w:rPr>
      </w:pPr>
      <w:r w:rsidRPr="00251DC4">
        <w:rPr>
          <w:rFonts w:cs="Times New Roman"/>
          <w:szCs w:val="24"/>
        </w:rPr>
        <w:t>[15] S. Rose, O. Borchert, S. Mitchell and S. Connelly,</w:t>
      </w:r>
      <w:r w:rsidRPr="00251DC4">
        <w:rPr>
          <w:rFonts w:cs="Times New Roman"/>
        </w:rPr>
        <w:t xml:space="preserve"> </w:t>
      </w:r>
      <w:r w:rsidRPr="00251DC4">
        <w:rPr>
          <w:rFonts w:cs="Times New Roman"/>
          <w:szCs w:val="24"/>
        </w:rPr>
        <w:t>Zero Trust Architecture</w:t>
      </w:r>
      <w:r w:rsidR="00CE7337" w:rsidRPr="00251DC4">
        <w:rPr>
          <w:rFonts w:cs="Times New Roman"/>
        </w:rPr>
        <w:t>,</w:t>
      </w:r>
      <w:r w:rsidRPr="00251DC4">
        <w:rPr>
          <w:rFonts w:cs="Times New Roman"/>
          <w:szCs w:val="24"/>
        </w:rPr>
        <w:t xml:space="preserve"> NIST Special Publication 800-207. Gaithersburg, MD, USA: National Institute of Standards and Technology, 2020.</w:t>
      </w:r>
    </w:p>
    <w:p w14:paraId="1368ABEE" w14:textId="357763B8" w:rsidR="003A5536" w:rsidRPr="00251DC4" w:rsidRDefault="003A5536" w:rsidP="003A5536">
      <w:pPr>
        <w:rPr>
          <w:rFonts w:cs="Times New Roman"/>
          <w:szCs w:val="24"/>
        </w:rPr>
      </w:pPr>
      <w:r w:rsidRPr="00251DC4">
        <w:rPr>
          <w:rFonts w:cs="Times New Roman"/>
          <w:szCs w:val="24"/>
        </w:rPr>
        <w:t>[16] W. Pourmajidi</w:t>
      </w:r>
      <w:r w:rsidRPr="00251DC4">
        <w:rPr>
          <w:rFonts w:cs="Times New Roman"/>
        </w:rPr>
        <w:t xml:space="preserve"> </w:t>
      </w:r>
      <w:r w:rsidRPr="00251DC4">
        <w:rPr>
          <w:rFonts w:cs="Times New Roman"/>
          <w:szCs w:val="24"/>
        </w:rPr>
        <w:t>et al.,</w:t>
      </w:r>
      <w:r w:rsidRPr="00251DC4">
        <w:rPr>
          <w:rFonts w:cs="Times New Roman"/>
        </w:rPr>
        <w:t xml:space="preserve"> “</w:t>
      </w:r>
      <w:r w:rsidRPr="00251DC4">
        <w:rPr>
          <w:rFonts w:cs="Times New Roman"/>
          <w:szCs w:val="24"/>
        </w:rPr>
        <w:t>A Reference Architecture for Governance of Cloud-Native Applications,</w:t>
      </w:r>
      <w:r w:rsidRPr="00251DC4">
        <w:rPr>
          <w:rFonts w:cs="Times New Roman"/>
        </w:rPr>
        <w:t xml:space="preserve">” </w:t>
      </w:r>
      <w:r w:rsidRPr="00251DC4">
        <w:rPr>
          <w:rFonts w:cs="Times New Roman"/>
          <w:szCs w:val="24"/>
        </w:rPr>
        <w:t>arXiv preprint</w:t>
      </w:r>
      <w:r w:rsidR="00CE7337" w:rsidRPr="00251DC4">
        <w:rPr>
          <w:rFonts w:cs="Times New Roman"/>
        </w:rPr>
        <w:t>,</w:t>
      </w:r>
      <w:r w:rsidRPr="00251DC4">
        <w:rPr>
          <w:rFonts w:cs="Times New Roman"/>
          <w:szCs w:val="24"/>
        </w:rPr>
        <w:t xml:space="preserve"> 2023.</w:t>
      </w:r>
    </w:p>
    <w:p w14:paraId="423A3225" w14:textId="2097B3F8" w:rsidR="003A5536" w:rsidRPr="00251DC4" w:rsidRDefault="003A5536" w:rsidP="003A5536">
      <w:pPr>
        <w:rPr>
          <w:rFonts w:cs="Times New Roman"/>
          <w:szCs w:val="24"/>
        </w:rPr>
      </w:pPr>
      <w:r w:rsidRPr="00251DC4">
        <w:rPr>
          <w:rFonts w:cs="Times New Roman"/>
          <w:szCs w:val="24"/>
        </w:rPr>
        <w:t>[17] Microsoft,</w:t>
      </w:r>
      <w:r w:rsidRPr="00251DC4">
        <w:rPr>
          <w:rFonts w:cs="Times New Roman"/>
        </w:rPr>
        <w:t xml:space="preserve"> “</w:t>
      </w:r>
      <w:r w:rsidRPr="00251DC4">
        <w:rPr>
          <w:rFonts w:cs="Times New Roman"/>
          <w:szCs w:val="24"/>
        </w:rPr>
        <w:t>Microsoft Entra ID documentation,</w:t>
      </w:r>
      <w:r w:rsidRPr="00251DC4">
        <w:rPr>
          <w:rFonts w:cs="Times New Roman"/>
        </w:rPr>
        <w:t xml:space="preserve">” </w:t>
      </w:r>
      <w:r w:rsidRPr="00251DC4">
        <w:rPr>
          <w:rFonts w:cs="Times New Roman"/>
          <w:szCs w:val="24"/>
        </w:rPr>
        <w:t>Microsoft Learn</w:t>
      </w:r>
      <w:r w:rsidR="001B1CF2" w:rsidRPr="00251DC4">
        <w:rPr>
          <w:rFonts w:cs="Times New Roman"/>
        </w:rPr>
        <w:t>.</w:t>
      </w:r>
      <w:r w:rsidRPr="00251DC4">
        <w:rPr>
          <w:rFonts w:cs="Times New Roman"/>
          <w:szCs w:val="24"/>
        </w:rPr>
        <w:t xml:space="preserve"> [Online]. Available: https://learn.microsoft.com/entra/ Accessed: 24-Jul-2026.</w:t>
      </w:r>
    </w:p>
    <w:p w14:paraId="6ED5C08B" w14:textId="199B6898" w:rsidR="003A5536" w:rsidRPr="00251DC4" w:rsidRDefault="003A5536" w:rsidP="003A5536">
      <w:pPr>
        <w:rPr>
          <w:rFonts w:cs="Times New Roman"/>
        </w:rPr>
      </w:pPr>
      <w:r w:rsidRPr="00251DC4">
        <w:rPr>
          <w:rFonts w:cs="Times New Roman"/>
        </w:rPr>
        <w:t>[18] Raphael Hiesgen, Marcin Nawrocki, Thomas C. Schmidt, Matthias Wählisch, IEEE Transactions on Network and Service Management, vol. 21, no. 6, pp. 5921–5934, 2024, doi: 10.1109/TNSM.2024.3440188.</w:t>
      </w:r>
    </w:p>
    <w:p w14:paraId="19488963" w14:textId="77777777" w:rsidR="003A5536" w:rsidRPr="00251DC4" w:rsidRDefault="003A5536" w:rsidP="003A5536">
      <w:pPr>
        <w:rPr>
          <w:rFonts w:cs="Times New Roman"/>
          <w:szCs w:val="24"/>
        </w:rPr>
      </w:pPr>
      <w:r w:rsidRPr="00251DC4">
        <w:rPr>
          <w:rFonts w:cs="Times New Roman"/>
          <w:szCs w:val="24"/>
        </w:rPr>
        <w:t>[19] National Institute of Standards and Technology, Secure Software Development Framework (SSDF) Version 1.1: Recommendations for Mitigating the Risk of Software Vulnerabilities, NIST Special Publication 800-218, Gaithersburg, MD, USA: National Institute of Standards and Technology, 2022.</w:t>
      </w:r>
    </w:p>
    <w:p w14:paraId="2A9DFEEE" w14:textId="2130C3C8" w:rsidR="003A5536" w:rsidRPr="00251DC4" w:rsidRDefault="003A5536" w:rsidP="003A5536">
      <w:pPr>
        <w:rPr>
          <w:rFonts w:cs="Times New Roman"/>
          <w:szCs w:val="24"/>
        </w:rPr>
      </w:pPr>
      <w:r w:rsidRPr="00251DC4">
        <w:rPr>
          <w:rFonts w:cs="Times New Roman"/>
          <w:szCs w:val="24"/>
        </w:rPr>
        <w:t>[20] Cybersecurity and Infrastructure Security Agency (CISA), Shifting the Balance of Cybersecurity Risk: Principles and Approaches for Secure by Design Software, Washington, DC, USA: CISA, 2023.</w:t>
      </w:r>
    </w:p>
    <w:p w14:paraId="0A49AC7B" w14:textId="51B754CA" w:rsidR="003A5536" w:rsidRPr="00251DC4" w:rsidRDefault="003A5536" w:rsidP="003A5536">
      <w:pPr>
        <w:rPr>
          <w:rFonts w:cs="Times New Roman"/>
          <w:szCs w:val="24"/>
        </w:rPr>
      </w:pPr>
      <w:r w:rsidRPr="00251DC4">
        <w:rPr>
          <w:rFonts w:cs="Times New Roman"/>
          <w:szCs w:val="24"/>
        </w:rPr>
        <w:t>[21] Microsoft,</w:t>
      </w:r>
      <w:r w:rsidRPr="00251DC4">
        <w:rPr>
          <w:rFonts w:cs="Times New Roman"/>
        </w:rPr>
        <w:t xml:space="preserve"> “</w:t>
      </w:r>
      <w:r w:rsidRPr="00251DC4">
        <w:rPr>
          <w:rFonts w:cs="Times New Roman"/>
          <w:szCs w:val="24"/>
        </w:rPr>
        <w:t>Microsoft Security Development Lifecycle (SDL),</w:t>
      </w:r>
      <w:r w:rsidRPr="00251DC4">
        <w:rPr>
          <w:rFonts w:cs="Times New Roman"/>
        </w:rPr>
        <w:t xml:space="preserve">” </w:t>
      </w:r>
      <w:r w:rsidRPr="00251DC4">
        <w:rPr>
          <w:rFonts w:cs="Times New Roman"/>
          <w:szCs w:val="24"/>
        </w:rPr>
        <w:t>Microsoft Security Engineering. [Online]. Available: Microsoft Security Engineering SDL website. Accessed: Jul. 24, 2026.</w:t>
      </w:r>
    </w:p>
    <w:p w14:paraId="63199BD8" w14:textId="287CAAF6" w:rsidR="003A5536" w:rsidRPr="00251DC4" w:rsidRDefault="003A5536" w:rsidP="003A5536">
      <w:pPr>
        <w:rPr>
          <w:rFonts w:cs="Times New Roman"/>
          <w:szCs w:val="24"/>
        </w:rPr>
      </w:pPr>
      <w:r w:rsidRPr="00251DC4">
        <w:rPr>
          <w:rFonts w:cs="Times New Roman"/>
          <w:szCs w:val="24"/>
        </w:rPr>
        <w:t>[22] Cyber Safety Review Board, Review of the Summer 2023 Microsoft Exchange Online Intrusion, U.S. Department of Homeland Security, 2024.</w:t>
      </w:r>
    </w:p>
    <w:p w14:paraId="11089DB4" w14:textId="740615BB" w:rsidR="003A5536" w:rsidRPr="00251DC4" w:rsidRDefault="003A5536" w:rsidP="003A5536">
      <w:pPr>
        <w:rPr>
          <w:rFonts w:cs="Times New Roman"/>
          <w:szCs w:val="24"/>
        </w:rPr>
      </w:pPr>
      <w:r w:rsidRPr="00251DC4">
        <w:rPr>
          <w:rFonts w:cs="Times New Roman"/>
          <w:szCs w:val="24"/>
        </w:rPr>
        <w:t>[23] European Union Agency for Cybersecurity (ENISA), Artificial Intelligence and Cybersecurity: Challenges and Opportunities, 2024.</w:t>
      </w:r>
    </w:p>
    <w:p w14:paraId="3D249C4B" w14:textId="29937926" w:rsidR="003A5536" w:rsidRPr="00251DC4" w:rsidRDefault="003A5536" w:rsidP="003A5536">
      <w:pPr>
        <w:rPr>
          <w:rFonts w:cs="Times New Roman"/>
          <w:szCs w:val="24"/>
        </w:rPr>
      </w:pPr>
      <w:r w:rsidRPr="00251DC4">
        <w:rPr>
          <w:rFonts w:cs="Times New Roman"/>
          <w:szCs w:val="24"/>
        </w:rPr>
        <w:t>[24] S. Freitas, J. Kalajdjieski, A. Gharib and R. McCann,</w:t>
      </w:r>
      <w:r w:rsidRPr="00251DC4">
        <w:rPr>
          <w:rFonts w:cs="Times New Roman"/>
        </w:rPr>
        <w:t xml:space="preserve"> “</w:t>
      </w:r>
      <w:r w:rsidRPr="00251DC4">
        <w:rPr>
          <w:rFonts w:cs="Times New Roman"/>
          <w:szCs w:val="24"/>
        </w:rPr>
        <w:t>AI-Driven Guided Response for Security Operation Centers with Microsoft Copilot for Security,</w:t>
      </w:r>
      <w:r w:rsidRPr="00251DC4">
        <w:rPr>
          <w:rFonts w:cs="Times New Roman"/>
        </w:rPr>
        <w:t xml:space="preserve">” </w:t>
      </w:r>
      <w:r w:rsidRPr="00251DC4">
        <w:rPr>
          <w:rFonts w:cs="Times New Roman"/>
          <w:szCs w:val="24"/>
        </w:rPr>
        <w:t>Companion Proceedings of the ACM Web Conference, 2025.</w:t>
      </w:r>
    </w:p>
    <w:p w14:paraId="707BB350" w14:textId="211123B4" w:rsidR="003A5536" w:rsidRPr="00251DC4" w:rsidRDefault="003A5536" w:rsidP="003A5536">
      <w:pPr>
        <w:rPr>
          <w:rFonts w:cs="Times New Roman"/>
          <w:szCs w:val="24"/>
        </w:rPr>
      </w:pPr>
      <w:r w:rsidRPr="00251DC4">
        <w:rPr>
          <w:rFonts w:cs="Times New Roman"/>
          <w:szCs w:val="24"/>
        </w:rPr>
        <w:t>[25] Microsoft,</w:t>
      </w:r>
      <w:r w:rsidRPr="00251DC4">
        <w:rPr>
          <w:rFonts w:cs="Times New Roman"/>
        </w:rPr>
        <w:t xml:space="preserve"> “</w:t>
      </w:r>
      <w:r w:rsidRPr="00251DC4">
        <w:rPr>
          <w:rFonts w:cs="Times New Roman"/>
          <w:szCs w:val="24"/>
        </w:rPr>
        <w:t>Microsoft Sentinel, Microsoft Defender XDR and Security Copilot documentation,</w:t>
      </w:r>
      <w:r w:rsidRPr="00251DC4">
        <w:rPr>
          <w:rFonts w:cs="Times New Roman"/>
        </w:rPr>
        <w:t xml:space="preserve">” </w:t>
      </w:r>
      <w:r w:rsidRPr="00251DC4">
        <w:rPr>
          <w:rFonts w:cs="Times New Roman"/>
          <w:szCs w:val="24"/>
        </w:rPr>
        <w:t>Microsoft Learn. Microsoft Learn Security Operations documentation</w:t>
      </w:r>
    </w:p>
    <w:p w14:paraId="56D1FAF9" w14:textId="2F9C7A6B" w:rsidR="003A5536" w:rsidRPr="00251DC4" w:rsidRDefault="003A5536" w:rsidP="003A5536">
      <w:pPr>
        <w:rPr>
          <w:rFonts w:cs="Times New Roman"/>
          <w:szCs w:val="24"/>
        </w:rPr>
      </w:pPr>
      <w:r w:rsidRPr="00251DC4">
        <w:rPr>
          <w:rFonts w:cs="Times New Roman"/>
          <w:szCs w:val="24"/>
        </w:rPr>
        <w:lastRenderedPageBreak/>
        <w:t>[26] National Institute of Standards and Technology, Artificial Intelligence Risk Management Framework (AI RMF 1.0), NIST AI 100-1, Gaithersburg, MD, USA: National Institute of Standards and Technology, 2023.</w:t>
      </w:r>
    </w:p>
    <w:p w14:paraId="2738C78C" w14:textId="6E69D079" w:rsidR="003A5536" w:rsidRPr="00251DC4" w:rsidRDefault="003A5536" w:rsidP="003A5536">
      <w:pPr>
        <w:rPr>
          <w:rFonts w:cs="Times New Roman"/>
          <w:szCs w:val="24"/>
        </w:rPr>
      </w:pPr>
      <w:r w:rsidRPr="00251DC4">
        <w:rPr>
          <w:rFonts w:cs="Times New Roman"/>
          <w:szCs w:val="24"/>
        </w:rPr>
        <w:t>[27] Health Service Executive (Ireland), Conti Cyber Attack on the HSE: Independent Post Incident Review, Dublin, Ireland, 2022.</w:t>
      </w:r>
    </w:p>
    <w:p w14:paraId="292CE170" w14:textId="13D3637D" w:rsidR="003A5536" w:rsidRPr="00251DC4" w:rsidRDefault="003A5536" w:rsidP="003A5536">
      <w:pPr>
        <w:rPr>
          <w:rFonts w:cs="Times New Roman"/>
          <w:szCs w:val="24"/>
        </w:rPr>
      </w:pPr>
      <w:r w:rsidRPr="00251DC4">
        <w:rPr>
          <w:rFonts w:cs="Times New Roman"/>
          <w:szCs w:val="24"/>
        </w:rPr>
        <w:t>[28] M. Bartock, J. Cichonski, M. Souppaya, M. Smith, G. Witte and K. Scarfone, Guide for Cybersecurity Event Recovery, NIST Special Publication 800-184, National Institute of Standards and Technology, Gaithersburg, MD, USA, 2016.</w:t>
      </w:r>
    </w:p>
    <w:p w14:paraId="2CA459BF" w14:textId="6C6FB082" w:rsidR="003A5536" w:rsidRPr="00251DC4" w:rsidRDefault="003A5536" w:rsidP="003A5536">
      <w:pPr>
        <w:rPr>
          <w:rFonts w:cs="Times New Roman"/>
          <w:szCs w:val="24"/>
        </w:rPr>
      </w:pPr>
      <w:r w:rsidRPr="00251DC4">
        <w:rPr>
          <w:rFonts w:cs="Times New Roman"/>
          <w:szCs w:val="24"/>
        </w:rPr>
        <w:t>[29] M. Segovia-Ferreira, J. Rubio-Hernan, A. R. Cavalli and J. Garcia-Alfaro,</w:t>
      </w:r>
      <w:r w:rsidRPr="00251DC4">
        <w:rPr>
          <w:rFonts w:cs="Times New Roman"/>
        </w:rPr>
        <w:t xml:space="preserve"> “</w:t>
      </w:r>
      <w:r w:rsidRPr="00251DC4">
        <w:rPr>
          <w:rFonts w:cs="Times New Roman"/>
          <w:szCs w:val="24"/>
        </w:rPr>
        <w:t>A Survey on Cyber-Resilience Approaches for Cyber-Physical Systems,</w:t>
      </w:r>
      <w:r w:rsidRPr="00251DC4">
        <w:rPr>
          <w:rFonts w:cs="Times New Roman"/>
        </w:rPr>
        <w:t xml:space="preserve">” </w:t>
      </w:r>
      <w:r w:rsidRPr="00251DC4">
        <w:rPr>
          <w:rFonts w:cs="Times New Roman"/>
          <w:szCs w:val="24"/>
        </w:rPr>
        <w:t>2023.</w:t>
      </w:r>
    </w:p>
    <w:p w14:paraId="3813CA68" w14:textId="77777777" w:rsidR="003A5536" w:rsidRPr="00251DC4" w:rsidRDefault="003A5536" w:rsidP="003A5536">
      <w:pPr>
        <w:rPr>
          <w:rFonts w:cs="Times New Roman"/>
          <w:szCs w:val="24"/>
        </w:rPr>
      </w:pPr>
      <w:r w:rsidRPr="00251DC4">
        <w:rPr>
          <w:rFonts w:cs="Times New Roman"/>
          <w:szCs w:val="24"/>
        </w:rPr>
        <w:t>[30] Microsoft, Azure Backup, Azure Site Recovery, Microsoft Sentinel and Microsoft Defender XDR documentation, Microsoft Learn.</w:t>
      </w:r>
    </w:p>
    <w:p w14:paraId="42A26EC0" w14:textId="6C7F8D7F" w:rsidR="00147269" w:rsidRPr="00251DC4" w:rsidRDefault="00147269">
      <w:pPr>
        <w:jc w:val="left"/>
        <w:rPr>
          <w:rFonts w:cs="Times New Roman"/>
          <w:szCs w:val="24"/>
        </w:rPr>
      </w:pPr>
      <w:r w:rsidRPr="00251DC4">
        <w:rPr>
          <w:rFonts w:cs="Times New Roman"/>
          <w:szCs w:val="24"/>
        </w:rPr>
        <w:br w:type="page"/>
      </w:r>
    </w:p>
    <w:p w14:paraId="1FD0F950" w14:textId="2979ABFE" w:rsidR="00444179" w:rsidRPr="00251DC4" w:rsidRDefault="00444179" w:rsidP="001C4AFE">
      <w:pPr>
        <w:rPr>
          <w:rFonts w:cs="Times New Roman"/>
          <w:b/>
          <w:bCs/>
          <w:sz w:val="28"/>
          <w:szCs w:val="26"/>
        </w:rPr>
      </w:pPr>
      <w:r w:rsidRPr="00251DC4">
        <w:rPr>
          <w:rFonts w:cs="Times New Roman"/>
          <w:b/>
          <w:bCs/>
          <w:sz w:val="28"/>
          <w:szCs w:val="26"/>
        </w:rPr>
        <w:lastRenderedPageBreak/>
        <w:t>Task 2</w:t>
      </w:r>
    </w:p>
    <w:sdt>
      <w:sdtPr>
        <w:rPr>
          <w:rFonts w:ascii="Times New Roman" w:eastAsiaTheme="minorEastAsia" w:hAnsi="Times New Roman" w:cs="Times New Roman"/>
          <w:b w:val="0"/>
          <w:bCs w:val="0"/>
          <w:color w:val="auto"/>
          <w:kern w:val="2"/>
          <w:sz w:val="24"/>
          <w:szCs w:val="24"/>
          <w:lang w:val="en-GB"/>
          <w14:ligatures w14:val="standardContextual"/>
        </w:rPr>
        <w:id w:val="-589781037"/>
        <w:docPartObj>
          <w:docPartGallery w:val="Table of Contents"/>
          <w:docPartUnique/>
        </w:docPartObj>
      </w:sdtPr>
      <w:sdtEndPr>
        <w:rPr>
          <w:kern w:val="0"/>
          <w:szCs w:val="22"/>
          <w14:ligatures w14:val="none"/>
        </w:rPr>
      </w:sdtEndPr>
      <w:sdtContent>
        <w:p w14:paraId="51D8F664" w14:textId="18C78788" w:rsidR="001B1CF2" w:rsidRPr="00251DC4" w:rsidRDefault="001B1CF2" w:rsidP="001B1CF2">
          <w:pPr>
            <w:pStyle w:val="TOCHeading"/>
            <w:rPr>
              <w:rFonts w:ascii="Times New Roman" w:hAnsi="Times New Roman" w:cs="Times New Roman"/>
            </w:rPr>
          </w:pPr>
          <w:r w:rsidRPr="00251DC4">
            <w:rPr>
              <w:rFonts w:ascii="Times New Roman" w:hAnsi="Times New Roman" w:cs="Times New Roman"/>
            </w:rPr>
            <w:t>Table of Contents</w:t>
          </w:r>
        </w:p>
        <w:p w14:paraId="0377A83E" w14:textId="71352AD3" w:rsidR="00251DC4" w:rsidRPr="00251DC4" w:rsidRDefault="001B1CF2">
          <w:pPr>
            <w:pStyle w:val="TOC1"/>
            <w:tabs>
              <w:tab w:val="right" w:leader="dot" w:pos="9016"/>
            </w:tabs>
            <w:rPr>
              <w:rFonts w:ascii="Times New Roman" w:eastAsiaTheme="minorEastAsia" w:hAnsi="Times New Roman" w:cs="Times New Roman"/>
              <w:b w:val="0"/>
              <w:bCs w:val="0"/>
              <w:caps w:val="0"/>
              <w:noProof/>
              <w:sz w:val="24"/>
              <w:szCs w:val="24"/>
              <w:u w:val="none"/>
              <w:lang w:eastAsia="en-GB"/>
            </w:rPr>
          </w:pPr>
          <w:r w:rsidRPr="00251DC4">
            <w:rPr>
              <w:rFonts w:ascii="Times New Roman" w:hAnsi="Times New Roman" w:cs="Times New Roman"/>
              <w:b w:val="0"/>
              <w:bCs w:val="0"/>
            </w:rPr>
            <w:fldChar w:fldCharType="begin"/>
          </w:r>
          <w:r w:rsidRPr="00251DC4">
            <w:rPr>
              <w:rFonts w:ascii="Times New Roman" w:hAnsi="Times New Roman" w:cs="Times New Roman"/>
            </w:rPr>
            <w:instrText xml:space="preserve"> TOC \o "1-3" \h \z \u </w:instrText>
          </w:r>
          <w:r w:rsidRPr="00251DC4">
            <w:rPr>
              <w:rFonts w:ascii="Times New Roman" w:hAnsi="Times New Roman" w:cs="Times New Roman"/>
              <w:b w:val="0"/>
              <w:bCs w:val="0"/>
            </w:rPr>
            <w:fldChar w:fldCharType="separate"/>
          </w:r>
          <w:hyperlink w:anchor="_Toc236102269" w:history="1">
            <w:r w:rsidR="00251DC4" w:rsidRPr="00251DC4">
              <w:rPr>
                <w:rStyle w:val="Hyperlink"/>
                <w:rFonts w:ascii="Times New Roman" w:hAnsi="Times New Roman" w:cs="Times New Roman"/>
                <w:noProof/>
              </w:rPr>
              <w:t>Workstream 1: Organisational Design &amp; Resourcing</w:t>
            </w:r>
            <w:r w:rsidR="00251DC4" w:rsidRPr="00251DC4">
              <w:rPr>
                <w:rFonts w:ascii="Times New Roman" w:hAnsi="Times New Roman" w:cs="Times New Roman"/>
                <w:noProof/>
                <w:webHidden/>
              </w:rPr>
              <w:tab/>
            </w:r>
            <w:r w:rsidR="00251DC4" w:rsidRPr="00251DC4">
              <w:rPr>
                <w:rFonts w:ascii="Times New Roman" w:hAnsi="Times New Roman" w:cs="Times New Roman"/>
                <w:noProof/>
                <w:webHidden/>
              </w:rPr>
              <w:fldChar w:fldCharType="begin"/>
            </w:r>
            <w:r w:rsidR="00251DC4" w:rsidRPr="00251DC4">
              <w:rPr>
                <w:rFonts w:ascii="Times New Roman" w:hAnsi="Times New Roman" w:cs="Times New Roman"/>
                <w:noProof/>
                <w:webHidden/>
              </w:rPr>
              <w:instrText xml:space="preserve"> PAGEREF _Toc236102269 \h </w:instrText>
            </w:r>
            <w:r w:rsidR="00251DC4" w:rsidRPr="00251DC4">
              <w:rPr>
                <w:rFonts w:ascii="Times New Roman" w:hAnsi="Times New Roman" w:cs="Times New Roman"/>
                <w:noProof/>
                <w:webHidden/>
              </w:rPr>
            </w:r>
            <w:r w:rsidR="00251DC4" w:rsidRPr="00251DC4">
              <w:rPr>
                <w:rFonts w:ascii="Times New Roman" w:hAnsi="Times New Roman" w:cs="Times New Roman"/>
                <w:noProof/>
                <w:webHidden/>
              </w:rPr>
              <w:fldChar w:fldCharType="separate"/>
            </w:r>
            <w:r w:rsidR="00251DC4" w:rsidRPr="00251DC4">
              <w:rPr>
                <w:rFonts w:ascii="Times New Roman" w:hAnsi="Times New Roman" w:cs="Times New Roman"/>
                <w:noProof/>
                <w:webHidden/>
              </w:rPr>
              <w:t>15</w:t>
            </w:r>
            <w:r w:rsidR="00251DC4" w:rsidRPr="00251DC4">
              <w:rPr>
                <w:rFonts w:ascii="Times New Roman" w:hAnsi="Times New Roman" w:cs="Times New Roman"/>
                <w:noProof/>
                <w:webHidden/>
              </w:rPr>
              <w:fldChar w:fldCharType="end"/>
            </w:r>
          </w:hyperlink>
        </w:p>
        <w:p w14:paraId="207E1224" w14:textId="11FBCA4B" w:rsidR="00251DC4" w:rsidRPr="00251DC4" w:rsidRDefault="00251DC4">
          <w:pPr>
            <w:pStyle w:val="TOC1"/>
            <w:tabs>
              <w:tab w:val="right" w:leader="dot" w:pos="9016"/>
            </w:tabs>
            <w:rPr>
              <w:rFonts w:ascii="Times New Roman" w:eastAsiaTheme="minorEastAsia" w:hAnsi="Times New Roman" w:cs="Times New Roman"/>
              <w:b w:val="0"/>
              <w:bCs w:val="0"/>
              <w:caps w:val="0"/>
              <w:noProof/>
              <w:sz w:val="24"/>
              <w:szCs w:val="24"/>
              <w:u w:val="none"/>
              <w:lang w:eastAsia="en-GB"/>
            </w:rPr>
          </w:pPr>
          <w:hyperlink w:anchor="_Toc236102270" w:history="1">
            <w:r w:rsidRPr="00251DC4">
              <w:rPr>
                <w:rStyle w:val="Hyperlink"/>
                <w:rFonts w:ascii="Times New Roman" w:hAnsi="Times New Roman" w:cs="Times New Roman"/>
                <w:noProof/>
              </w:rPr>
              <w:t>Workstream 2: Policy Framework Development</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_Toc236102270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16</w:t>
            </w:r>
            <w:r w:rsidRPr="00251DC4">
              <w:rPr>
                <w:rFonts w:ascii="Times New Roman" w:hAnsi="Times New Roman" w:cs="Times New Roman"/>
                <w:noProof/>
                <w:webHidden/>
              </w:rPr>
              <w:fldChar w:fldCharType="end"/>
            </w:r>
          </w:hyperlink>
        </w:p>
        <w:p w14:paraId="1F8AAAB9" w14:textId="392336D2" w:rsidR="00251DC4" w:rsidRPr="00251DC4" w:rsidRDefault="00251DC4">
          <w:pPr>
            <w:pStyle w:val="TOC2"/>
            <w:tabs>
              <w:tab w:val="right" w:leader="dot" w:pos="9016"/>
            </w:tabs>
            <w:rPr>
              <w:rFonts w:ascii="Times New Roman" w:eastAsiaTheme="minorEastAsia" w:hAnsi="Times New Roman" w:cs="Times New Roman"/>
              <w:b w:val="0"/>
              <w:bCs w:val="0"/>
              <w:smallCaps w:val="0"/>
              <w:noProof/>
              <w:sz w:val="24"/>
              <w:szCs w:val="24"/>
              <w:lang w:eastAsia="en-GB"/>
            </w:rPr>
          </w:pPr>
          <w:hyperlink w:anchor="_Toc236102271" w:history="1">
            <w:r w:rsidRPr="00251DC4">
              <w:rPr>
                <w:rStyle w:val="Hyperlink"/>
                <w:rFonts w:ascii="Times New Roman" w:hAnsi="Times New Roman" w:cs="Times New Roman"/>
                <w:noProof/>
              </w:rPr>
              <w:t>2.1 Acceptable Use Policy for AI &amp; Cloud Services</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_Toc236102271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16</w:t>
            </w:r>
            <w:r w:rsidRPr="00251DC4">
              <w:rPr>
                <w:rFonts w:ascii="Times New Roman" w:hAnsi="Times New Roman" w:cs="Times New Roman"/>
                <w:noProof/>
                <w:webHidden/>
              </w:rPr>
              <w:fldChar w:fldCharType="end"/>
            </w:r>
          </w:hyperlink>
        </w:p>
        <w:p w14:paraId="25C4452A" w14:textId="318DAE2C" w:rsidR="00251DC4" w:rsidRPr="00251DC4" w:rsidRDefault="00251DC4">
          <w:pPr>
            <w:pStyle w:val="TOC2"/>
            <w:tabs>
              <w:tab w:val="right" w:leader="dot" w:pos="9016"/>
            </w:tabs>
            <w:rPr>
              <w:rFonts w:ascii="Times New Roman" w:eastAsiaTheme="minorEastAsia" w:hAnsi="Times New Roman" w:cs="Times New Roman"/>
              <w:b w:val="0"/>
              <w:bCs w:val="0"/>
              <w:smallCaps w:val="0"/>
              <w:noProof/>
              <w:sz w:val="24"/>
              <w:szCs w:val="24"/>
              <w:lang w:eastAsia="en-GB"/>
            </w:rPr>
          </w:pPr>
          <w:hyperlink w:anchor="_Toc236102272" w:history="1">
            <w:r w:rsidRPr="00251DC4">
              <w:rPr>
                <w:rStyle w:val="Hyperlink"/>
                <w:rFonts w:ascii="Times New Roman" w:hAnsi="Times New Roman" w:cs="Times New Roman"/>
                <w:noProof/>
              </w:rPr>
              <w:t>2.2 Hybrid Work and Remote Access Security Policy</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_Toc236102272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17</w:t>
            </w:r>
            <w:r w:rsidRPr="00251DC4">
              <w:rPr>
                <w:rFonts w:ascii="Times New Roman" w:hAnsi="Times New Roman" w:cs="Times New Roman"/>
                <w:noProof/>
                <w:webHidden/>
              </w:rPr>
              <w:fldChar w:fldCharType="end"/>
            </w:r>
          </w:hyperlink>
        </w:p>
        <w:p w14:paraId="759E1A72" w14:textId="27C47AAE" w:rsidR="00251DC4" w:rsidRPr="00251DC4" w:rsidRDefault="00251DC4">
          <w:pPr>
            <w:pStyle w:val="TOC2"/>
            <w:tabs>
              <w:tab w:val="right" w:leader="dot" w:pos="9016"/>
            </w:tabs>
            <w:rPr>
              <w:rFonts w:ascii="Times New Roman" w:eastAsiaTheme="minorEastAsia" w:hAnsi="Times New Roman" w:cs="Times New Roman"/>
              <w:b w:val="0"/>
              <w:bCs w:val="0"/>
              <w:smallCaps w:val="0"/>
              <w:noProof/>
              <w:sz w:val="24"/>
              <w:szCs w:val="24"/>
              <w:lang w:eastAsia="en-GB"/>
            </w:rPr>
          </w:pPr>
          <w:hyperlink w:anchor="_Toc236102273" w:history="1">
            <w:r w:rsidRPr="00251DC4">
              <w:rPr>
                <w:rStyle w:val="Hyperlink"/>
                <w:rFonts w:ascii="Times New Roman" w:hAnsi="Times New Roman" w:cs="Times New Roman"/>
                <w:noProof/>
              </w:rPr>
              <w:t>2.3 Third-Party &amp; Cloud Vendor Risk Management Policy</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_Toc236102273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18</w:t>
            </w:r>
            <w:r w:rsidRPr="00251DC4">
              <w:rPr>
                <w:rFonts w:ascii="Times New Roman" w:hAnsi="Times New Roman" w:cs="Times New Roman"/>
                <w:noProof/>
                <w:webHidden/>
              </w:rPr>
              <w:fldChar w:fldCharType="end"/>
            </w:r>
          </w:hyperlink>
        </w:p>
        <w:p w14:paraId="4D697E7A" w14:textId="098EEBBD" w:rsidR="00251DC4" w:rsidRPr="00251DC4" w:rsidRDefault="00251DC4">
          <w:pPr>
            <w:pStyle w:val="TOC1"/>
            <w:tabs>
              <w:tab w:val="right" w:leader="dot" w:pos="9016"/>
            </w:tabs>
            <w:rPr>
              <w:rFonts w:ascii="Times New Roman" w:eastAsiaTheme="minorEastAsia" w:hAnsi="Times New Roman" w:cs="Times New Roman"/>
              <w:b w:val="0"/>
              <w:bCs w:val="0"/>
              <w:caps w:val="0"/>
              <w:noProof/>
              <w:sz w:val="24"/>
              <w:szCs w:val="24"/>
              <w:u w:val="none"/>
              <w:lang w:eastAsia="en-GB"/>
            </w:rPr>
          </w:pPr>
          <w:hyperlink w:anchor="_Toc236102274" w:history="1">
            <w:r w:rsidRPr="00251DC4">
              <w:rPr>
                <w:rStyle w:val="Hyperlink"/>
                <w:rFonts w:ascii="Times New Roman" w:hAnsi="Times New Roman" w:cs="Times New Roman"/>
                <w:noProof/>
              </w:rPr>
              <w:t>Workstream 3: Regulatory Compliance and Operational Resilience</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_Toc236102274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19</w:t>
            </w:r>
            <w:r w:rsidRPr="00251DC4">
              <w:rPr>
                <w:rFonts w:ascii="Times New Roman" w:hAnsi="Times New Roman" w:cs="Times New Roman"/>
                <w:noProof/>
                <w:webHidden/>
              </w:rPr>
              <w:fldChar w:fldCharType="end"/>
            </w:r>
          </w:hyperlink>
        </w:p>
        <w:p w14:paraId="6325D9EC" w14:textId="6A9295E0" w:rsidR="00251DC4" w:rsidRPr="00251DC4" w:rsidRDefault="00251DC4">
          <w:pPr>
            <w:pStyle w:val="TOC1"/>
            <w:tabs>
              <w:tab w:val="right" w:leader="dot" w:pos="9016"/>
            </w:tabs>
            <w:rPr>
              <w:rFonts w:ascii="Times New Roman" w:eastAsiaTheme="minorEastAsia" w:hAnsi="Times New Roman" w:cs="Times New Roman"/>
              <w:b w:val="0"/>
              <w:bCs w:val="0"/>
              <w:caps w:val="0"/>
              <w:noProof/>
              <w:sz w:val="24"/>
              <w:szCs w:val="24"/>
              <w:u w:val="none"/>
              <w:lang w:eastAsia="en-GB"/>
            </w:rPr>
          </w:pPr>
          <w:hyperlink w:anchor="_Toc236102275" w:history="1">
            <w:r w:rsidRPr="00251DC4">
              <w:rPr>
                <w:rStyle w:val="Hyperlink"/>
                <w:rFonts w:ascii="Times New Roman" w:hAnsi="Times New Roman" w:cs="Times New Roman"/>
                <w:noProof/>
                <w:lang w:eastAsia="en-GB"/>
              </w:rPr>
              <w:t>Workstream 4: Technical Standards and Architecture</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_Toc236102275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20</w:t>
            </w:r>
            <w:r w:rsidRPr="00251DC4">
              <w:rPr>
                <w:rFonts w:ascii="Times New Roman" w:hAnsi="Times New Roman" w:cs="Times New Roman"/>
                <w:noProof/>
                <w:webHidden/>
              </w:rPr>
              <w:fldChar w:fldCharType="end"/>
            </w:r>
          </w:hyperlink>
        </w:p>
        <w:p w14:paraId="3E261724" w14:textId="71616F54" w:rsidR="00251DC4" w:rsidRPr="00251DC4" w:rsidRDefault="00251DC4">
          <w:pPr>
            <w:pStyle w:val="TOC2"/>
            <w:tabs>
              <w:tab w:val="right" w:leader="dot" w:pos="9016"/>
            </w:tabs>
            <w:rPr>
              <w:rFonts w:ascii="Times New Roman" w:eastAsiaTheme="minorEastAsia" w:hAnsi="Times New Roman" w:cs="Times New Roman"/>
              <w:b w:val="0"/>
              <w:bCs w:val="0"/>
              <w:smallCaps w:val="0"/>
              <w:noProof/>
              <w:sz w:val="24"/>
              <w:szCs w:val="24"/>
              <w:lang w:eastAsia="en-GB"/>
            </w:rPr>
          </w:pPr>
          <w:hyperlink w:anchor="_Toc236102276" w:history="1">
            <w:r w:rsidRPr="00251DC4">
              <w:rPr>
                <w:rStyle w:val="Hyperlink"/>
                <w:rFonts w:ascii="Times New Roman" w:hAnsi="Times New Roman" w:cs="Times New Roman"/>
                <w:noProof/>
                <w:lang w:eastAsia="en-GB"/>
              </w:rPr>
              <w:t>4.1 Core security framework</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_Toc236102276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20</w:t>
            </w:r>
            <w:r w:rsidRPr="00251DC4">
              <w:rPr>
                <w:rFonts w:ascii="Times New Roman" w:hAnsi="Times New Roman" w:cs="Times New Roman"/>
                <w:noProof/>
                <w:webHidden/>
              </w:rPr>
              <w:fldChar w:fldCharType="end"/>
            </w:r>
          </w:hyperlink>
        </w:p>
        <w:p w14:paraId="565282D7" w14:textId="02148D16" w:rsidR="00251DC4" w:rsidRPr="00251DC4" w:rsidRDefault="00251DC4">
          <w:pPr>
            <w:pStyle w:val="TOC2"/>
            <w:tabs>
              <w:tab w:val="right" w:leader="dot" w:pos="9016"/>
            </w:tabs>
            <w:rPr>
              <w:rFonts w:ascii="Times New Roman" w:eastAsiaTheme="minorEastAsia" w:hAnsi="Times New Roman" w:cs="Times New Roman"/>
              <w:b w:val="0"/>
              <w:bCs w:val="0"/>
              <w:smallCaps w:val="0"/>
              <w:noProof/>
              <w:sz w:val="24"/>
              <w:szCs w:val="24"/>
              <w:lang w:eastAsia="en-GB"/>
            </w:rPr>
          </w:pPr>
          <w:hyperlink w:anchor="_Toc236102277" w:history="1">
            <w:r w:rsidRPr="00251DC4">
              <w:rPr>
                <w:rStyle w:val="Hyperlink"/>
                <w:rFonts w:ascii="Times New Roman" w:hAnsi="Times New Roman" w:cs="Times New Roman"/>
                <w:noProof/>
                <w:lang w:eastAsia="en-GB"/>
              </w:rPr>
              <w:t>4.2 Zero Trust Architecture</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_Toc236102277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21</w:t>
            </w:r>
            <w:r w:rsidRPr="00251DC4">
              <w:rPr>
                <w:rFonts w:ascii="Times New Roman" w:hAnsi="Times New Roman" w:cs="Times New Roman"/>
                <w:noProof/>
                <w:webHidden/>
              </w:rPr>
              <w:fldChar w:fldCharType="end"/>
            </w:r>
          </w:hyperlink>
        </w:p>
        <w:p w14:paraId="367245E0" w14:textId="4E4F646F" w:rsidR="00251DC4" w:rsidRPr="00251DC4" w:rsidRDefault="00251DC4">
          <w:pPr>
            <w:pStyle w:val="TOC1"/>
            <w:tabs>
              <w:tab w:val="right" w:leader="dot" w:pos="9016"/>
            </w:tabs>
            <w:rPr>
              <w:rFonts w:ascii="Times New Roman" w:eastAsiaTheme="minorEastAsia" w:hAnsi="Times New Roman" w:cs="Times New Roman"/>
              <w:b w:val="0"/>
              <w:bCs w:val="0"/>
              <w:caps w:val="0"/>
              <w:noProof/>
              <w:sz w:val="24"/>
              <w:szCs w:val="24"/>
              <w:u w:val="none"/>
              <w:lang w:eastAsia="en-GB"/>
            </w:rPr>
          </w:pPr>
          <w:hyperlink w:anchor="_Toc236102278" w:history="1">
            <w:r w:rsidRPr="00251DC4">
              <w:rPr>
                <w:rStyle w:val="Hyperlink"/>
                <w:rFonts w:ascii="Times New Roman" w:hAnsi="Times New Roman" w:cs="Times New Roman"/>
                <w:noProof/>
                <w:lang w:eastAsia="en-GB"/>
              </w:rPr>
              <w:t>Workstream 5: Strategic risk assessment</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_Toc236102278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22</w:t>
            </w:r>
            <w:r w:rsidRPr="00251DC4">
              <w:rPr>
                <w:rFonts w:ascii="Times New Roman" w:hAnsi="Times New Roman" w:cs="Times New Roman"/>
                <w:noProof/>
                <w:webHidden/>
              </w:rPr>
              <w:fldChar w:fldCharType="end"/>
            </w:r>
          </w:hyperlink>
        </w:p>
        <w:p w14:paraId="58EF7F0F" w14:textId="0D180D61" w:rsidR="00251DC4" w:rsidRPr="00251DC4" w:rsidRDefault="00251DC4">
          <w:pPr>
            <w:pStyle w:val="TOC1"/>
            <w:tabs>
              <w:tab w:val="right" w:leader="dot" w:pos="9016"/>
            </w:tabs>
            <w:rPr>
              <w:rFonts w:ascii="Times New Roman" w:eastAsiaTheme="minorEastAsia" w:hAnsi="Times New Roman" w:cs="Times New Roman"/>
              <w:b w:val="0"/>
              <w:bCs w:val="0"/>
              <w:caps w:val="0"/>
              <w:noProof/>
              <w:sz w:val="24"/>
              <w:szCs w:val="24"/>
              <w:u w:val="none"/>
              <w:lang w:eastAsia="en-GB"/>
            </w:rPr>
          </w:pPr>
          <w:hyperlink w:anchor="_Toc236102279" w:history="1">
            <w:r w:rsidRPr="00251DC4">
              <w:rPr>
                <w:rStyle w:val="Hyperlink"/>
                <w:rFonts w:ascii="Times New Roman" w:hAnsi="Times New Roman" w:cs="Times New Roman"/>
                <w:noProof/>
                <w:lang w:eastAsia="en-GB"/>
              </w:rPr>
              <w:t>Workstream 6: Incident response &amp; business continuity</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_Toc236102279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24</w:t>
            </w:r>
            <w:r w:rsidRPr="00251DC4">
              <w:rPr>
                <w:rFonts w:ascii="Times New Roman" w:hAnsi="Times New Roman" w:cs="Times New Roman"/>
                <w:noProof/>
                <w:webHidden/>
              </w:rPr>
              <w:fldChar w:fldCharType="end"/>
            </w:r>
          </w:hyperlink>
        </w:p>
        <w:p w14:paraId="76EA56BC" w14:textId="3A288DE5" w:rsidR="00251DC4" w:rsidRPr="00251DC4" w:rsidRDefault="00251DC4">
          <w:pPr>
            <w:pStyle w:val="TOC1"/>
            <w:tabs>
              <w:tab w:val="right" w:leader="dot" w:pos="9016"/>
            </w:tabs>
            <w:rPr>
              <w:rFonts w:ascii="Times New Roman" w:eastAsiaTheme="minorEastAsia" w:hAnsi="Times New Roman" w:cs="Times New Roman"/>
              <w:b w:val="0"/>
              <w:bCs w:val="0"/>
              <w:caps w:val="0"/>
              <w:noProof/>
              <w:sz w:val="24"/>
              <w:szCs w:val="24"/>
              <w:u w:val="none"/>
              <w:lang w:eastAsia="en-GB"/>
            </w:rPr>
          </w:pPr>
          <w:hyperlink w:anchor="_Toc236102280" w:history="1">
            <w:r w:rsidRPr="00251DC4">
              <w:rPr>
                <w:rStyle w:val="Hyperlink"/>
                <w:rFonts w:ascii="Times New Roman" w:hAnsi="Times New Roman" w:cs="Times New Roman"/>
                <w:noProof/>
                <w:lang w:eastAsia="en-GB"/>
              </w:rPr>
              <w:t>Workstream 7: Governance &amp; Strategic Roadmap</w:t>
            </w:r>
            <w:r w:rsidRPr="00251DC4">
              <w:rPr>
                <w:rFonts w:ascii="Times New Roman" w:hAnsi="Times New Roman" w:cs="Times New Roman"/>
                <w:noProof/>
                <w:webHidden/>
              </w:rPr>
              <w:tab/>
            </w:r>
            <w:r w:rsidRPr="00251DC4">
              <w:rPr>
                <w:rFonts w:ascii="Times New Roman" w:hAnsi="Times New Roman" w:cs="Times New Roman"/>
                <w:noProof/>
                <w:webHidden/>
              </w:rPr>
              <w:fldChar w:fldCharType="begin"/>
            </w:r>
            <w:r w:rsidRPr="00251DC4">
              <w:rPr>
                <w:rFonts w:ascii="Times New Roman" w:hAnsi="Times New Roman" w:cs="Times New Roman"/>
                <w:noProof/>
                <w:webHidden/>
              </w:rPr>
              <w:instrText xml:space="preserve"> PAGEREF _Toc236102280 \h </w:instrText>
            </w:r>
            <w:r w:rsidRPr="00251DC4">
              <w:rPr>
                <w:rFonts w:ascii="Times New Roman" w:hAnsi="Times New Roman" w:cs="Times New Roman"/>
                <w:noProof/>
                <w:webHidden/>
              </w:rPr>
            </w:r>
            <w:r w:rsidRPr="00251DC4">
              <w:rPr>
                <w:rFonts w:ascii="Times New Roman" w:hAnsi="Times New Roman" w:cs="Times New Roman"/>
                <w:noProof/>
                <w:webHidden/>
              </w:rPr>
              <w:fldChar w:fldCharType="separate"/>
            </w:r>
            <w:r w:rsidRPr="00251DC4">
              <w:rPr>
                <w:rFonts w:ascii="Times New Roman" w:hAnsi="Times New Roman" w:cs="Times New Roman"/>
                <w:noProof/>
                <w:webHidden/>
              </w:rPr>
              <w:t>25</w:t>
            </w:r>
            <w:r w:rsidRPr="00251DC4">
              <w:rPr>
                <w:rFonts w:ascii="Times New Roman" w:hAnsi="Times New Roman" w:cs="Times New Roman"/>
                <w:noProof/>
                <w:webHidden/>
              </w:rPr>
              <w:fldChar w:fldCharType="end"/>
            </w:r>
          </w:hyperlink>
        </w:p>
        <w:p w14:paraId="411FFB89" w14:textId="170E66E8" w:rsidR="001B1CF2" w:rsidRPr="00251DC4" w:rsidRDefault="001B1CF2" w:rsidP="001B1CF2">
          <w:pPr>
            <w:rPr>
              <w:rFonts w:cs="Times New Roman"/>
            </w:rPr>
          </w:pPr>
          <w:r w:rsidRPr="00251DC4">
            <w:rPr>
              <w:rFonts w:cs="Times New Roman"/>
              <w:b/>
              <w:bCs/>
              <w:noProof/>
            </w:rPr>
            <w:fldChar w:fldCharType="end"/>
          </w:r>
        </w:p>
      </w:sdtContent>
    </w:sdt>
    <w:p w14:paraId="03018BBE" w14:textId="77777777" w:rsidR="001B1CF2" w:rsidRPr="00251DC4" w:rsidRDefault="001B1CF2" w:rsidP="001B1CF2">
      <w:pPr>
        <w:rPr>
          <w:rFonts w:eastAsia="Times New Roman" w:cs="Times New Roman"/>
        </w:rPr>
      </w:pPr>
      <w:r w:rsidRPr="00251DC4">
        <w:rPr>
          <w:rFonts w:eastAsia="Times New Roman" w:cs="Times New Roman"/>
        </w:rPr>
        <w:br w:type="page"/>
      </w:r>
    </w:p>
    <w:p w14:paraId="6D5AAABF" w14:textId="77777777" w:rsidR="001B1CF2" w:rsidRPr="00251DC4" w:rsidRDefault="001B1CF2" w:rsidP="001B1CF2">
      <w:pPr>
        <w:rPr>
          <w:rFonts w:eastAsia="Times New Roman" w:cs="Times New Roman"/>
        </w:rPr>
      </w:pPr>
    </w:p>
    <w:p w14:paraId="4A556078" w14:textId="77777777" w:rsidR="001B1CF2" w:rsidRPr="00251DC4" w:rsidRDefault="001B1CF2" w:rsidP="001B1CF2">
      <w:pPr>
        <w:pStyle w:val="Heading1"/>
        <w:rPr>
          <w:rFonts w:ascii="Times New Roman" w:hAnsi="Times New Roman" w:cs="Times New Roman"/>
        </w:rPr>
      </w:pPr>
      <w:bookmarkStart w:id="0" w:name="_Toc236102269"/>
      <w:r w:rsidRPr="00251DC4">
        <w:rPr>
          <w:rFonts w:ascii="Times New Roman" w:hAnsi="Times New Roman" w:cs="Times New Roman"/>
        </w:rPr>
        <w:t>Workstream 1: Organisational Design &amp; Resourcing</w:t>
      </w:r>
      <w:bookmarkEnd w:id="0"/>
    </w:p>
    <w:p w14:paraId="4862A865" w14:textId="77777777" w:rsidR="001B1CF2" w:rsidRPr="00251DC4" w:rsidRDefault="001B1CF2" w:rsidP="001B1CF2">
      <w:pPr>
        <w:rPr>
          <w:rFonts w:cs="Times New Roman"/>
          <w:szCs w:val="24"/>
        </w:rPr>
      </w:pPr>
    </w:p>
    <w:p w14:paraId="0BE30B81" w14:textId="77777777" w:rsidR="001B1CF2" w:rsidRPr="00251DC4" w:rsidRDefault="001B1CF2" w:rsidP="001B1CF2">
      <w:pPr>
        <w:rPr>
          <w:rFonts w:cs="Times New Roman"/>
          <w:szCs w:val="24"/>
        </w:rPr>
      </w:pPr>
      <w:r w:rsidRPr="00251DC4">
        <w:rPr>
          <w:rFonts w:cs="Times New Roman"/>
          <w:szCs w:val="24"/>
        </w:rPr>
        <w:t xml:space="preserve">To support FinTech's Azure cloud security implementation and planned expansion into the European Union, a dedicated Information Security Unit will be established under the leadership of the Chief Information Security Officer (CISO). </w:t>
      </w:r>
    </w:p>
    <w:p w14:paraId="5E77FB7C" w14:textId="4834FFC0" w:rsidR="001B1CF2" w:rsidRPr="00251DC4" w:rsidRDefault="001B1CF2" w:rsidP="001B1CF2">
      <w:pPr>
        <w:rPr>
          <w:rFonts w:cs="Times New Roman"/>
          <w:szCs w:val="24"/>
        </w:rPr>
      </w:pPr>
      <w:r w:rsidRPr="00251DC4">
        <w:rPr>
          <w:rFonts w:cs="Times New Roman"/>
          <w:szCs w:val="24"/>
        </w:rPr>
        <w:t>Following the findings of Task 1, NIST CSF 2.0 has been adopted as the organisation's primary cybersecurity framework due to its practical, risk-based approach to implementing cloud security and improving cyber resilience. The proposed structure assigns ownership of the framework's core functions while remaining scalable for a growing fintech.</w:t>
      </w:r>
    </w:p>
    <w:p w14:paraId="3BF7B51D" w14:textId="77777777" w:rsidR="001B1CF2" w:rsidRPr="00251DC4" w:rsidRDefault="001B1CF2" w:rsidP="001B1CF2">
      <w:pPr>
        <w:rPr>
          <w:rFonts w:cs="Times New Roman"/>
          <w:szCs w:val="24"/>
        </w:rPr>
      </w:pPr>
    </w:p>
    <w:p w14:paraId="28EBF70C" w14:textId="77777777" w:rsidR="001B1CF2" w:rsidRPr="00251DC4" w:rsidRDefault="001B1CF2" w:rsidP="001B1CF2">
      <w:pPr>
        <w:rPr>
          <w:rFonts w:cs="Times New Roman"/>
          <w:szCs w:val="24"/>
        </w:rPr>
      </w:pPr>
      <w:r w:rsidRPr="00251DC4">
        <w:rPr>
          <w:rFonts w:cs="Times New Roman"/>
          <w:szCs w:val="24"/>
        </w:rPr>
        <w:drawing>
          <wp:inline distT="0" distB="0" distL="0" distR="0" wp14:anchorId="735E421B" wp14:editId="021B0A70">
            <wp:extent cx="5731510" cy="3820795"/>
            <wp:effectExtent l="0" t="0" r="0" b="1905"/>
            <wp:docPr id="167749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9665" name=""/>
                    <pic:cNvPicPr/>
                  </pic:nvPicPr>
                  <pic:blipFill>
                    <a:blip r:embed="rId5"/>
                    <a:stretch>
                      <a:fillRect/>
                    </a:stretch>
                  </pic:blipFill>
                  <pic:spPr>
                    <a:xfrm>
                      <a:off x="0" y="0"/>
                      <a:ext cx="5731510" cy="3820795"/>
                    </a:xfrm>
                    <a:prstGeom prst="rect">
                      <a:avLst/>
                    </a:prstGeom>
                  </pic:spPr>
                </pic:pic>
              </a:graphicData>
            </a:graphic>
          </wp:inline>
        </w:drawing>
      </w:r>
    </w:p>
    <w:p w14:paraId="7F715535" w14:textId="77777777" w:rsidR="001B1CF2" w:rsidRPr="00251DC4" w:rsidRDefault="001B1CF2" w:rsidP="001B1CF2">
      <w:pPr>
        <w:rPr>
          <w:rFonts w:cs="Times New Roman"/>
          <w:szCs w:val="24"/>
        </w:rPr>
      </w:pPr>
      <w:r w:rsidRPr="00251DC4">
        <w:rPr>
          <w:rFonts w:cs="Times New Roman"/>
          <w:szCs w:val="24"/>
        </w:rPr>
        <w:t>Figure 1. Proposed Information Security Unit</w:t>
      </w:r>
    </w:p>
    <w:p w14:paraId="39DEC7E4" w14:textId="77777777" w:rsidR="001B1CF2" w:rsidRPr="00251DC4" w:rsidRDefault="001B1CF2" w:rsidP="001B1CF2">
      <w:pPr>
        <w:rPr>
          <w:rFonts w:cs="Times New Roman"/>
          <w:szCs w:val="24"/>
        </w:rPr>
      </w:pPr>
    </w:p>
    <w:p w14:paraId="32A75669" w14:textId="77777777" w:rsidR="001B1CF2" w:rsidRPr="00251DC4" w:rsidRDefault="001B1CF2" w:rsidP="001B1CF2">
      <w:pPr>
        <w:rPr>
          <w:rFonts w:cs="Times New Roman"/>
          <w:szCs w:val="24"/>
        </w:rPr>
      </w:pPr>
      <w:r w:rsidRPr="00251DC4">
        <w:rPr>
          <w:rFonts w:cs="Times New Roman"/>
          <w:szCs w:val="24"/>
        </w:rPr>
        <w:t>Strategic governance is retained in-house, while 24/7 security monitoring is outsourced to a Managed Security Service Provider (MSSP), enabling enterprise-grade security capabilities without the overhead of a fully staffed internal Security Operations Centre. This approach supports secure Azure adoption, strengthens resilience against ransomware, and establishes the governance required for GDPR and DORA compliance.</w:t>
      </w:r>
    </w:p>
    <w:p w14:paraId="58AAD927" w14:textId="77777777" w:rsidR="001B1CF2" w:rsidRPr="00251DC4" w:rsidRDefault="001B1CF2" w:rsidP="001B1CF2">
      <w:pPr>
        <w:rPr>
          <w:rFonts w:cs="Times New Roman"/>
          <w:szCs w:val="24"/>
        </w:rPr>
      </w:pPr>
    </w:p>
    <w:p w14:paraId="2D59934C" w14:textId="77777777" w:rsidR="001B1CF2" w:rsidRPr="00251DC4" w:rsidRDefault="001B1CF2" w:rsidP="001B1CF2">
      <w:pPr>
        <w:spacing w:after="0"/>
        <w:rPr>
          <w:rFonts w:eastAsiaTheme="minorHAnsi" w:cs="Times New Roman"/>
          <w:kern w:val="2"/>
          <w:szCs w:val="24"/>
          <w14:ligatures w14:val="standardContextual"/>
        </w:rPr>
      </w:pPr>
      <w:r w:rsidRPr="00251DC4">
        <w:rPr>
          <w:rFonts w:cs="Times New Roman"/>
          <w:szCs w:val="24"/>
        </w:rPr>
        <w:lastRenderedPageBreak/>
        <w:t>Table 1. Security Roles Supporting NIST CSF 2.0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79"/>
        <w:gridCol w:w="4676"/>
        <w:gridCol w:w="2061"/>
      </w:tblGrid>
      <w:tr w:rsidR="001B1CF2" w:rsidRPr="00251DC4" w14:paraId="7C074DD8" w14:textId="77777777" w:rsidTr="00E15E49">
        <w:trPr>
          <w:tblHeader/>
          <w:tblCellSpacing w:w="15" w:type="dxa"/>
        </w:trPr>
        <w:tc>
          <w:tcPr>
            <w:tcW w:w="0" w:type="auto"/>
            <w:vAlign w:val="center"/>
            <w:hideMark/>
          </w:tcPr>
          <w:p w14:paraId="60749430"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Role</w:t>
            </w:r>
          </w:p>
        </w:tc>
        <w:tc>
          <w:tcPr>
            <w:tcW w:w="0" w:type="auto"/>
            <w:vAlign w:val="center"/>
            <w:hideMark/>
          </w:tcPr>
          <w:p w14:paraId="7365DD83"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Primary Business Responsibility</w:t>
            </w:r>
          </w:p>
        </w:tc>
        <w:tc>
          <w:tcPr>
            <w:tcW w:w="0" w:type="auto"/>
            <w:vAlign w:val="center"/>
            <w:hideMark/>
          </w:tcPr>
          <w:p w14:paraId="25EFCFE5"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NIST CSF 2.0 Function(s)</w:t>
            </w:r>
          </w:p>
        </w:tc>
      </w:tr>
      <w:tr w:rsidR="001B1CF2" w:rsidRPr="00251DC4" w14:paraId="46779387" w14:textId="77777777" w:rsidTr="00E15E49">
        <w:trPr>
          <w:tblCellSpacing w:w="15" w:type="dxa"/>
        </w:trPr>
        <w:tc>
          <w:tcPr>
            <w:tcW w:w="0" w:type="auto"/>
            <w:vAlign w:val="center"/>
            <w:hideMark/>
          </w:tcPr>
          <w:p w14:paraId="3F42468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Chief Information Security Officer (CISO)</w:t>
            </w:r>
          </w:p>
        </w:tc>
        <w:tc>
          <w:tcPr>
            <w:tcW w:w="0" w:type="auto"/>
            <w:vAlign w:val="center"/>
            <w:hideMark/>
          </w:tcPr>
          <w:p w14:paraId="6C97F0C5"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Defines security strategy, manages cyber risk, and reports to the Board.</w:t>
            </w:r>
          </w:p>
        </w:tc>
        <w:tc>
          <w:tcPr>
            <w:tcW w:w="0" w:type="auto"/>
            <w:vAlign w:val="center"/>
            <w:hideMark/>
          </w:tcPr>
          <w:p w14:paraId="1BFCA5F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Govern (GV)</w:t>
            </w:r>
          </w:p>
        </w:tc>
      </w:tr>
      <w:tr w:rsidR="001B1CF2" w:rsidRPr="00251DC4" w14:paraId="406CA2FF" w14:textId="77777777" w:rsidTr="00E15E49">
        <w:trPr>
          <w:tblCellSpacing w:w="15" w:type="dxa"/>
        </w:trPr>
        <w:tc>
          <w:tcPr>
            <w:tcW w:w="0" w:type="auto"/>
            <w:vAlign w:val="center"/>
            <w:hideMark/>
          </w:tcPr>
          <w:p w14:paraId="74636E9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Cloud Security Architect</w:t>
            </w:r>
          </w:p>
        </w:tc>
        <w:tc>
          <w:tcPr>
            <w:tcW w:w="0" w:type="auto"/>
            <w:vAlign w:val="center"/>
            <w:hideMark/>
          </w:tcPr>
          <w:p w14:paraId="259795A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Designs and secures the Azure environment, implementing Zero Trust and secure cloud configurations.</w:t>
            </w:r>
          </w:p>
        </w:tc>
        <w:tc>
          <w:tcPr>
            <w:tcW w:w="0" w:type="auto"/>
            <w:vAlign w:val="center"/>
            <w:hideMark/>
          </w:tcPr>
          <w:p w14:paraId="435574BF"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Identify (ID), Protect (PR)</w:t>
            </w:r>
          </w:p>
        </w:tc>
      </w:tr>
      <w:tr w:rsidR="001B1CF2" w:rsidRPr="00251DC4" w14:paraId="1EE3C877" w14:textId="77777777" w:rsidTr="00E15E49">
        <w:trPr>
          <w:tblCellSpacing w:w="15" w:type="dxa"/>
        </w:trPr>
        <w:tc>
          <w:tcPr>
            <w:tcW w:w="0" w:type="auto"/>
            <w:vAlign w:val="center"/>
            <w:hideMark/>
          </w:tcPr>
          <w:p w14:paraId="22B5E1C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Security Engineer (</w:t>
            </w:r>
            <w:proofErr w:type="spellStart"/>
            <w:r w:rsidRPr="00251DC4">
              <w:rPr>
                <w:rFonts w:eastAsia="Times New Roman" w:cs="Times New Roman"/>
                <w:szCs w:val="24"/>
                <w:lang w:eastAsia="en-GB"/>
              </w:rPr>
              <w:t>DevSecOps</w:t>
            </w:r>
            <w:proofErr w:type="spellEnd"/>
            <w:r w:rsidRPr="00251DC4">
              <w:rPr>
                <w:rFonts w:eastAsia="Times New Roman" w:cs="Times New Roman"/>
                <w:szCs w:val="24"/>
                <w:lang w:eastAsia="en-GB"/>
              </w:rPr>
              <w:t>)</w:t>
            </w:r>
          </w:p>
        </w:tc>
        <w:tc>
          <w:tcPr>
            <w:tcW w:w="0" w:type="auto"/>
            <w:vAlign w:val="center"/>
            <w:hideMark/>
          </w:tcPr>
          <w:p w14:paraId="36A3AAFF"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Integrates security into software development, CI/CD pipelines and Infrastructure as Code (</w:t>
            </w:r>
            <w:proofErr w:type="spellStart"/>
            <w:r w:rsidRPr="00251DC4">
              <w:rPr>
                <w:rFonts w:eastAsia="Times New Roman" w:cs="Times New Roman"/>
                <w:szCs w:val="24"/>
                <w:lang w:eastAsia="en-GB"/>
              </w:rPr>
              <w:t>IaC</w:t>
            </w:r>
            <w:proofErr w:type="spellEnd"/>
            <w:r w:rsidRPr="00251DC4">
              <w:rPr>
                <w:rFonts w:eastAsia="Times New Roman" w:cs="Times New Roman"/>
                <w:szCs w:val="24"/>
                <w:lang w:eastAsia="en-GB"/>
              </w:rPr>
              <w:t>).</w:t>
            </w:r>
          </w:p>
        </w:tc>
        <w:tc>
          <w:tcPr>
            <w:tcW w:w="0" w:type="auto"/>
            <w:vAlign w:val="center"/>
            <w:hideMark/>
          </w:tcPr>
          <w:p w14:paraId="3FE3BD5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Protect (PR)</w:t>
            </w:r>
          </w:p>
        </w:tc>
      </w:tr>
      <w:tr w:rsidR="001B1CF2" w:rsidRPr="00251DC4" w14:paraId="1A1DB456" w14:textId="77777777" w:rsidTr="00E15E49">
        <w:trPr>
          <w:tblCellSpacing w:w="15" w:type="dxa"/>
        </w:trPr>
        <w:tc>
          <w:tcPr>
            <w:tcW w:w="0" w:type="auto"/>
            <w:vAlign w:val="center"/>
            <w:hideMark/>
          </w:tcPr>
          <w:p w14:paraId="238E3B7F"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Governance &amp; Compliance Manager</w:t>
            </w:r>
          </w:p>
        </w:tc>
        <w:tc>
          <w:tcPr>
            <w:tcW w:w="0" w:type="auto"/>
            <w:vAlign w:val="center"/>
            <w:hideMark/>
          </w:tcPr>
          <w:p w14:paraId="228D4EC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Develops security policies, manages risk, and coordinates GDPR and DORA compliance.</w:t>
            </w:r>
          </w:p>
        </w:tc>
        <w:tc>
          <w:tcPr>
            <w:tcW w:w="0" w:type="auto"/>
            <w:vAlign w:val="center"/>
            <w:hideMark/>
          </w:tcPr>
          <w:p w14:paraId="2214FC3F"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Govern (GV), Identify (ID)</w:t>
            </w:r>
          </w:p>
        </w:tc>
      </w:tr>
      <w:tr w:rsidR="001B1CF2" w:rsidRPr="00251DC4" w14:paraId="35F357A5" w14:textId="77777777" w:rsidTr="00E15E49">
        <w:trPr>
          <w:tblCellSpacing w:w="15" w:type="dxa"/>
        </w:trPr>
        <w:tc>
          <w:tcPr>
            <w:tcW w:w="0" w:type="auto"/>
            <w:vAlign w:val="center"/>
            <w:hideMark/>
          </w:tcPr>
          <w:p w14:paraId="009C0A9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Data Protection Officer (DPO)</w:t>
            </w:r>
          </w:p>
        </w:tc>
        <w:tc>
          <w:tcPr>
            <w:tcW w:w="0" w:type="auto"/>
            <w:vAlign w:val="center"/>
            <w:hideMark/>
          </w:tcPr>
          <w:p w14:paraId="7D4F9B18"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Ensures compliance with GDPR and oversees data protection obligations for EU operations.</w:t>
            </w:r>
          </w:p>
        </w:tc>
        <w:tc>
          <w:tcPr>
            <w:tcW w:w="0" w:type="auto"/>
            <w:vAlign w:val="center"/>
            <w:hideMark/>
          </w:tcPr>
          <w:p w14:paraId="71FDF02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Govern (GV)</w:t>
            </w:r>
          </w:p>
        </w:tc>
      </w:tr>
      <w:tr w:rsidR="001B1CF2" w:rsidRPr="00251DC4" w14:paraId="7F82C1EE" w14:textId="77777777" w:rsidTr="00E15E49">
        <w:trPr>
          <w:tblCellSpacing w:w="15" w:type="dxa"/>
        </w:trPr>
        <w:tc>
          <w:tcPr>
            <w:tcW w:w="0" w:type="auto"/>
            <w:vAlign w:val="center"/>
            <w:hideMark/>
          </w:tcPr>
          <w:p w14:paraId="53762D6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Managed Security Operations Centre (MSSP)</w:t>
            </w:r>
          </w:p>
        </w:tc>
        <w:tc>
          <w:tcPr>
            <w:tcW w:w="0" w:type="auto"/>
            <w:vAlign w:val="center"/>
            <w:hideMark/>
          </w:tcPr>
          <w:p w14:paraId="77B9C2A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Provides continuous monitoring, threat detection, incident response and recovery support using Microsoft Defender and Sentinel.</w:t>
            </w:r>
          </w:p>
        </w:tc>
        <w:tc>
          <w:tcPr>
            <w:tcW w:w="0" w:type="auto"/>
            <w:vAlign w:val="center"/>
            <w:hideMark/>
          </w:tcPr>
          <w:p w14:paraId="2C6D7DE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Detect (DE), Respond (RS), Recover (RC)</w:t>
            </w:r>
          </w:p>
        </w:tc>
      </w:tr>
    </w:tbl>
    <w:p w14:paraId="5656B335" w14:textId="77777777" w:rsidR="001B1CF2" w:rsidRPr="00251DC4" w:rsidRDefault="001B1CF2" w:rsidP="001B1CF2">
      <w:pPr>
        <w:rPr>
          <w:rFonts w:cs="Times New Roman"/>
          <w:szCs w:val="24"/>
        </w:rPr>
      </w:pPr>
    </w:p>
    <w:p w14:paraId="5725D9BC" w14:textId="77777777" w:rsidR="001B1CF2" w:rsidRPr="00251DC4" w:rsidRDefault="001B1CF2" w:rsidP="001B1CF2">
      <w:pPr>
        <w:rPr>
          <w:rFonts w:cs="Times New Roman"/>
          <w:szCs w:val="24"/>
        </w:rPr>
      </w:pPr>
    </w:p>
    <w:p w14:paraId="621EE733" w14:textId="77777777" w:rsidR="001B1CF2" w:rsidRPr="00251DC4" w:rsidRDefault="001B1CF2" w:rsidP="001B1CF2">
      <w:pPr>
        <w:pStyle w:val="Heading1"/>
        <w:rPr>
          <w:rFonts w:ascii="Times New Roman" w:hAnsi="Times New Roman" w:cs="Times New Roman"/>
        </w:rPr>
      </w:pPr>
      <w:bookmarkStart w:id="1" w:name="_Toc236102270"/>
      <w:r w:rsidRPr="00251DC4">
        <w:rPr>
          <w:rFonts w:ascii="Times New Roman" w:hAnsi="Times New Roman" w:cs="Times New Roman"/>
        </w:rPr>
        <w:t>Workstream 2: Policy Framework Development</w:t>
      </w:r>
      <w:bookmarkEnd w:id="1"/>
    </w:p>
    <w:p w14:paraId="56986A90" w14:textId="77777777" w:rsidR="001B1CF2" w:rsidRPr="00251DC4" w:rsidRDefault="001B1CF2" w:rsidP="001B1CF2">
      <w:pPr>
        <w:rPr>
          <w:rFonts w:cs="Times New Roman"/>
          <w:szCs w:val="24"/>
        </w:rPr>
      </w:pPr>
    </w:p>
    <w:p w14:paraId="303D0AC1" w14:textId="77777777" w:rsidR="001B1CF2" w:rsidRPr="00251DC4" w:rsidRDefault="001B1CF2" w:rsidP="001B1CF2">
      <w:pPr>
        <w:rPr>
          <w:rFonts w:cs="Times New Roman"/>
          <w:szCs w:val="24"/>
        </w:rPr>
      </w:pPr>
      <w:r w:rsidRPr="00251DC4">
        <w:rPr>
          <w:rFonts w:cs="Times New Roman"/>
          <w:szCs w:val="24"/>
        </w:rPr>
        <w:t xml:space="preserve">Following the findings of Task 1, FinTech requires a formal policy framework to support the secure implementation of Microsoft Azure, AI-enabled security capabilities and compliance with the NIST Cybersecurity Framework (CSF) 2.0. </w:t>
      </w:r>
    </w:p>
    <w:p w14:paraId="30D24BEE" w14:textId="77777777" w:rsidR="001B1CF2" w:rsidRPr="00251DC4" w:rsidRDefault="001B1CF2" w:rsidP="001B1CF2">
      <w:pPr>
        <w:rPr>
          <w:rFonts w:cs="Times New Roman"/>
          <w:szCs w:val="24"/>
        </w:rPr>
      </w:pPr>
    </w:p>
    <w:p w14:paraId="0EB7BDAF" w14:textId="77777777" w:rsidR="001B1CF2" w:rsidRPr="00251DC4" w:rsidRDefault="001B1CF2" w:rsidP="001B1CF2">
      <w:pPr>
        <w:pStyle w:val="Heading2"/>
        <w:rPr>
          <w:rFonts w:ascii="Times New Roman" w:hAnsi="Times New Roman" w:cs="Times New Roman"/>
        </w:rPr>
      </w:pPr>
      <w:bookmarkStart w:id="2" w:name="_Toc236102271"/>
      <w:r w:rsidRPr="00251DC4">
        <w:rPr>
          <w:rFonts w:ascii="Times New Roman" w:hAnsi="Times New Roman" w:cs="Times New Roman"/>
        </w:rPr>
        <w:t>2.1 Acceptable Use Policy for AI &amp; Cloud Services</w:t>
      </w:r>
      <w:bookmarkEnd w:id="2"/>
    </w:p>
    <w:p w14:paraId="39F49C58" w14:textId="77777777" w:rsidR="001B1CF2" w:rsidRPr="00251DC4" w:rsidRDefault="001B1CF2" w:rsidP="001B1CF2">
      <w:pPr>
        <w:rPr>
          <w:rFonts w:cs="Times New Roman"/>
          <w:szCs w:val="24"/>
        </w:rPr>
      </w:pPr>
    </w:p>
    <w:p w14:paraId="4D73B4E5" w14:textId="34444F08" w:rsidR="001B1CF2" w:rsidRPr="00251DC4" w:rsidRDefault="001B1CF2" w:rsidP="001B1CF2">
      <w:pPr>
        <w:rPr>
          <w:rFonts w:cs="Times New Roman"/>
          <w:szCs w:val="24"/>
        </w:rPr>
      </w:pPr>
      <w:r w:rsidRPr="00251DC4">
        <w:rPr>
          <w:rFonts w:cs="Times New Roman"/>
          <w:szCs w:val="24"/>
        </w:rPr>
        <w:t>The policy applies to all authorised users of organisational AI platforms and cloud services, including Microsoft Azure, Microsoft 365 and Microsoft Security Copilot.</w:t>
      </w:r>
    </w:p>
    <w:p w14:paraId="064B952E" w14:textId="3B98AE10" w:rsidR="001B1CF2" w:rsidRPr="00251DC4" w:rsidRDefault="001B1CF2" w:rsidP="001B1CF2">
      <w:pPr>
        <w:rPr>
          <w:rFonts w:cs="Times New Roman"/>
          <w:szCs w:val="24"/>
        </w:rPr>
      </w:pPr>
      <w:r w:rsidRPr="00251DC4">
        <w:rPr>
          <w:rFonts w:cs="Times New Roman"/>
          <w:szCs w:val="24"/>
        </w:rPr>
        <w:t>As identified in Task 1, AI has become an increasingly important capability for enhancing cloud security by improving threat detection, investigation and incident response. However, the research also concluded that AI systems require appropriate governance, human oversight and accountability to ensure their outputs remain trustworthy and support effective decision-</w:t>
      </w:r>
      <w:r w:rsidRPr="00251DC4">
        <w:rPr>
          <w:rFonts w:cs="Times New Roman"/>
          <w:szCs w:val="24"/>
        </w:rPr>
        <w:lastRenderedPageBreak/>
        <w:t>making. Accordingly, this policy establishes controls for the secure and responsible use of approved AI tools and cloud services.</w:t>
      </w:r>
    </w:p>
    <w:p w14:paraId="457C9CB1" w14:textId="4A09428D" w:rsidR="001B1CF2" w:rsidRPr="00251DC4" w:rsidRDefault="001B1CF2" w:rsidP="001B1CF2">
      <w:pPr>
        <w:rPr>
          <w:rFonts w:cs="Times New Roman"/>
          <w:szCs w:val="24"/>
        </w:rPr>
      </w:pPr>
      <w:r w:rsidRPr="00251DC4">
        <w:rPr>
          <w:rFonts w:cs="Times New Roman"/>
          <w:szCs w:val="24"/>
        </w:rPr>
        <w:t>Key policy requirements include:</w:t>
      </w:r>
    </w:p>
    <w:p w14:paraId="58941461" w14:textId="77777777" w:rsidR="001B1CF2" w:rsidRPr="00251DC4" w:rsidRDefault="001B1CF2" w:rsidP="001B1CF2">
      <w:pPr>
        <w:pStyle w:val="ListParagraph"/>
        <w:numPr>
          <w:ilvl w:val="0"/>
          <w:numId w:val="8"/>
        </w:numPr>
        <w:spacing w:after="0" w:line="240" w:lineRule="auto"/>
        <w:jc w:val="left"/>
        <w:rPr>
          <w:rFonts w:cs="Times New Roman"/>
          <w:szCs w:val="24"/>
        </w:rPr>
      </w:pPr>
      <w:r w:rsidRPr="00251DC4">
        <w:rPr>
          <w:rFonts w:cs="Times New Roman"/>
          <w:szCs w:val="24"/>
        </w:rPr>
        <w:t>Use of organisation-approved AI and cloud services only.</w:t>
      </w:r>
    </w:p>
    <w:p w14:paraId="43DEC486" w14:textId="77777777" w:rsidR="001B1CF2" w:rsidRPr="00251DC4" w:rsidRDefault="001B1CF2" w:rsidP="001B1CF2">
      <w:pPr>
        <w:pStyle w:val="ListParagraph"/>
        <w:numPr>
          <w:ilvl w:val="0"/>
          <w:numId w:val="8"/>
        </w:numPr>
        <w:spacing w:after="0" w:line="240" w:lineRule="auto"/>
        <w:jc w:val="left"/>
        <w:rPr>
          <w:rFonts w:cs="Times New Roman"/>
          <w:szCs w:val="24"/>
        </w:rPr>
      </w:pPr>
      <w:r w:rsidRPr="00251DC4">
        <w:rPr>
          <w:rFonts w:cs="Times New Roman"/>
          <w:szCs w:val="24"/>
        </w:rPr>
        <w:t>AI-generated outputs must be reviewed and validated by authorised personnel before informing operational or security decisions.</w:t>
      </w:r>
    </w:p>
    <w:p w14:paraId="5426291D" w14:textId="77777777" w:rsidR="001B1CF2" w:rsidRPr="00251DC4" w:rsidRDefault="001B1CF2" w:rsidP="001B1CF2">
      <w:pPr>
        <w:pStyle w:val="ListParagraph"/>
        <w:numPr>
          <w:ilvl w:val="0"/>
          <w:numId w:val="8"/>
        </w:numPr>
        <w:spacing w:after="0" w:line="240" w:lineRule="auto"/>
        <w:jc w:val="left"/>
        <w:rPr>
          <w:rFonts w:cs="Times New Roman"/>
          <w:szCs w:val="24"/>
        </w:rPr>
      </w:pPr>
      <w:r w:rsidRPr="00251DC4">
        <w:rPr>
          <w:rFonts w:cs="Times New Roman"/>
          <w:szCs w:val="24"/>
        </w:rPr>
        <w:t>Compliance with Azure identity and access controls, including multi-factor authentication (MFA) and least-privilege access.</w:t>
      </w:r>
    </w:p>
    <w:p w14:paraId="57040E9B" w14:textId="77777777" w:rsidR="001B1CF2" w:rsidRPr="00251DC4" w:rsidRDefault="001B1CF2" w:rsidP="001B1CF2">
      <w:pPr>
        <w:pStyle w:val="ListParagraph"/>
        <w:numPr>
          <w:ilvl w:val="0"/>
          <w:numId w:val="8"/>
        </w:numPr>
        <w:spacing w:after="0" w:line="240" w:lineRule="auto"/>
        <w:jc w:val="left"/>
        <w:rPr>
          <w:rFonts w:cs="Times New Roman"/>
          <w:szCs w:val="24"/>
        </w:rPr>
      </w:pPr>
      <w:r w:rsidRPr="00251DC4">
        <w:rPr>
          <w:rFonts w:cs="Times New Roman"/>
          <w:szCs w:val="24"/>
        </w:rPr>
        <w:t>Monitoring and auditing of AI and cloud service activity using Microsoft security monitoring capabilities.</w:t>
      </w:r>
    </w:p>
    <w:p w14:paraId="51B13EAD" w14:textId="77777777" w:rsidR="001B1CF2" w:rsidRPr="00251DC4" w:rsidRDefault="001B1CF2" w:rsidP="001B1CF2">
      <w:pPr>
        <w:pStyle w:val="ListParagraph"/>
        <w:numPr>
          <w:ilvl w:val="0"/>
          <w:numId w:val="8"/>
        </w:numPr>
        <w:spacing w:after="0" w:line="240" w:lineRule="auto"/>
        <w:jc w:val="left"/>
        <w:rPr>
          <w:rFonts w:cs="Times New Roman"/>
          <w:szCs w:val="24"/>
        </w:rPr>
      </w:pPr>
      <w:r w:rsidRPr="00251DC4">
        <w:rPr>
          <w:rFonts w:cs="Times New Roman"/>
          <w:szCs w:val="24"/>
        </w:rPr>
        <w:t>Compliance with GDPR, organisational information governance requirements and relevant regulatory obligations.</w:t>
      </w:r>
    </w:p>
    <w:p w14:paraId="17BE620B" w14:textId="77777777" w:rsidR="001B1CF2" w:rsidRPr="00251DC4" w:rsidRDefault="001B1CF2" w:rsidP="001B1CF2">
      <w:pPr>
        <w:rPr>
          <w:rFonts w:cs="Times New Roman"/>
          <w:szCs w:val="24"/>
        </w:rPr>
      </w:pPr>
    </w:p>
    <w:p w14:paraId="7DC408BF" w14:textId="32564468" w:rsidR="001B1CF2" w:rsidRPr="00251DC4" w:rsidRDefault="001B1CF2" w:rsidP="001B1CF2">
      <w:pPr>
        <w:rPr>
          <w:rFonts w:cs="Times New Roman"/>
          <w:szCs w:val="24"/>
        </w:rPr>
      </w:pPr>
      <w:r w:rsidRPr="00251DC4">
        <w:rPr>
          <w:rFonts w:cs="Times New Roman"/>
          <w:szCs w:val="24"/>
        </w:rPr>
        <w:t>Implementation of this policy supports the NIST CSF 2.0 Govern (GV) and</w:t>
      </w:r>
      <w:r w:rsidR="00A87E13" w:rsidRPr="00251DC4">
        <w:rPr>
          <w:rFonts w:cs="Times New Roman"/>
          <w:szCs w:val="24"/>
        </w:rPr>
        <w:t xml:space="preserve"> </w:t>
      </w:r>
      <w:r w:rsidRPr="00251DC4">
        <w:rPr>
          <w:rFonts w:cs="Times New Roman"/>
          <w:szCs w:val="24"/>
        </w:rPr>
        <w:t>Protect (PR) functions by establishing governance over AI-enabled technologies while ensuring they enhance, rather than replace, human decision-making.</w:t>
      </w:r>
    </w:p>
    <w:p w14:paraId="649095E6" w14:textId="77777777" w:rsidR="001B1CF2" w:rsidRPr="00251DC4" w:rsidRDefault="001B1CF2" w:rsidP="001B1CF2">
      <w:pPr>
        <w:rPr>
          <w:rFonts w:cs="Times New Roman"/>
          <w:szCs w:val="24"/>
        </w:rPr>
      </w:pPr>
    </w:p>
    <w:p w14:paraId="19D384D4" w14:textId="77777777" w:rsidR="001B1CF2" w:rsidRPr="00251DC4" w:rsidRDefault="001B1CF2" w:rsidP="001B1CF2">
      <w:pPr>
        <w:pStyle w:val="Heading2"/>
        <w:rPr>
          <w:rFonts w:ascii="Times New Roman" w:hAnsi="Times New Roman" w:cs="Times New Roman"/>
        </w:rPr>
      </w:pPr>
      <w:bookmarkStart w:id="3" w:name="_Toc236102272"/>
      <w:r w:rsidRPr="00251DC4">
        <w:rPr>
          <w:rFonts w:ascii="Times New Roman" w:hAnsi="Times New Roman" w:cs="Times New Roman"/>
        </w:rPr>
        <w:t>2.2 Hybrid Work and Remote Access Security Policy</w:t>
      </w:r>
      <w:bookmarkEnd w:id="3"/>
    </w:p>
    <w:p w14:paraId="629B7E8C" w14:textId="77777777" w:rsidR="001B1CF2" w:rsidRPr="00251DC4" w:rsidRDefault="001B1CF2" w:rsidP="001B1CF2">
      <w:pPr>
        <w:rPr>
          <w:rFonts w:cs="Times New Roman"/>
          <w:szCs w:val="24"/>
        </w:rPr>
      </w:pPr>
    </w:p>
    <w:p w14:paraId="39417174" w14:textId="07EA7EA5" w:rsidR="001B1CF2" w:rsidRPr="00251DC4" w:rsidRDefault="001B1CF2" w:rsidP="001B1CF2">
      <w:pPr>
        <w:rPr>
          <w:rFonts w:cs="Times New Roman"/>
          <w:szCs w:val="24"/>
        </w:rPr>
      </w:pPr>
      <w:r w:rsidRPr="00251DC4">
        <w:rPr>
          <w:rFonts w:cs="Times New Roman"/>
          <w:szCs w:val="24"/>
        </w:rPr>
        <w:t>The policy establishes the security requirements for employees accessing FinTech systems from remote locations using corporate or authorised personal devices, and applies to all remote access to Microsoft Azure, Microsoft 365 and associated cloud services.</w:t>
      </w:r>
    </w:p>
    <w:p w14:paraId="06096A80" w14:textId="6B5A7294" w:rsidR="001B1CF2" w:rsidRPr="00251DC4" w:rsidRDefault="001B1CF2" w:rsidP="001B1CF2">
      <w:pPr>
        <w:rPr>
          <w:rFonts w:cs="Times New Roman"/>
          <w:szCs w:val="24"/>
        </w:rPr>
      </w:pPr>
      <w:r w:rsidRPr="00251DC4">
        <w:rPr>
          <w:rFonts w:cs="Times New Roman"/>
          <w:szCs w:val="24"/>
        </w:rPr>
        <w:t>Building on Task 1’s recommendation of adopting a Zero Trust security model for Azure, this policy ensures that every remote connection is authenticated, authorised and continuously validated before access to organisational resources is granted; thus strengthening security while enabling flexible hybrid working arrangements.</w:t>
      </w:r>
    </w:p>
    <w:p w14:paraId="7796E234" w14:textId="604B076B" w:rsidR="001B1CF2" w:rsidRPr="00251DC4" w:rsidRDefault="001B1CF2" w:rsidP="001B1CF2">
      <w:pPr>
        <w:rPr>
          <w:rFonts w:cs="Times New Roman"/>
          <w:szCs w:val="24"/>
        </w:rPr>
      </w:pPr>
      <w:r w:rsidRPr="00251DC4">
        <w:rPr>
          <w:rFonts w:cs="Times New Roman"/>
          <w:szCs w:val="24"/>
        </w:rPr>
        <w:t>Key policy requirements include:</w:t>
      </w:r>
    </w:p>
    <w:p w14:paraId="7270EE75" w14:textId="77777777" w:rsidR="001B1CF2" w:rsidRPr="00251DC4" w:rsidRDefault="001B1CF2" w:rsidP="001B1CF2">
      <w:pPr>
        <w:pStyle w:val="ListParagraph"/>
        <w:numPr>
          <w:ilvl w:val="0"/>
          <w:numId w:val="9"/>
        </w:numPr>
        <w:spacing w:after="0" w:line="240" w:lineRule="auto"/>
        <w:jc w:val="left"/>
        <w:rPr>
          <w:rFonts w:cs="Times New Roman"/>
          <w:szCs w:val="24"/>
        </w:rPr>
      </w:pPr>
      <w:r w:rsidRPr="00251DC4">
        <w:rPr>
          <w:rFonts w:cs="Times New Roman"/>
          <w:szCs w:val="24"/>
        </w:rPr>
        <w:t>Mandatory multi-factor authentication (MFA) for all remote access.</w:t>
      </w:r>
    </w:p>
    <w:p w14:paraId="7178EB39" w14:textId="77777777" w:rsidR="001B1CF2" w:rsidRPr="00251DC4" w:rsidRDefault="001B1CF2" w:rsidP="001B1CF2">
      <w:pPr>
        <w:pStyle w:val="ListParagraph"/>
        <w:numPr>
          <w:ilvl w:val="0"/>
          <w:numId w:val="9"/>
        </w:numPr>
        <w:spacing w:after="0" w:line="240" w:lineRule="auto"/>
        <w:jc w:val="left"/>
        <w:rPr>
          <w:rFonts w:cs="Times New Roman"/>
          <w:szCs w:val="24"/>
        </w:rPr>
      </w:pPr>
      <w:r w:rsidRPr="00251DC4">
        <w:rPr>
          <w:rFonts w:cs="Times New Roman"/>
          <w:szCs w:val="24"/>
        </w:rPr>
        <w:t>Conditional Access policies enforced through Microsoft Entra ID.</w:t>
      </w:r>
    </w:p>
    <w:p w14:paraId="46E4D920" w14:textId="77777777" w:rsidR="001B1CF2" w:rsidRPr="00251DC4" w:rsidRDefault="001B1CF2" w:rsidP="001B1CF2">
      <w:pPr>
        <w:pStyle w:val="ListParagraph"/>
        <w:numPr>
          <w:ilvl w:val="0"/>
          <w:numId w:val="9"/>
        </w:numPr>
        <w:spacing w:after="0" w:line="240" w:lineRule="auto"/>
        <w:jc w:val="left"/>
        <w:rPr>
          <w:rFonts w:cs="Times New Roman"/>
          <w:szCs w:val="24"/>
        </w:rPr>
      </w:pPr>
      <w:r w:rsidRPr="00251DC4">
        <w:rPr>
          <w:rFonts w:cs="Times New Roman"/>
          <w:szCs w:val="24"/>
        </w:rPr>
        <w:t>Device compliance verification using Microsoft Intune before access is granted.</w:t>
      </w:r>
    </w:p>
    <w:p w14:paraId="546A7E5C" w14:textId="77777777" w:rsidR="001B1CF2" w:rsidRPr="00251DC4" w:rsidRDefault="001B1CF2" w:rsidP="001B1CF2">
      <w:pPr>
        <w:pStyle w:val="ListParagraph"/>
        <w:numPr>
          <w:ilvl w:val="0"/>
          <w:numId w:val="9"/>
        </w:numPr>
        <w:spacing w:after="0" w:line="240" w:lineRule="auto"/>
        <w:jc w:val="left"/>
        <w:rPr>
          <w:rFonts w:cs="Times New Roman"/>
          <w:szCs w:val="24"/>
        </w:rPr>
      </w:pPr>
      <w:r w:rsidRPr="00251DC4">
        <w:rPr>
          <w:rFonts w:cs="Times New Roman"/>
          <w:szCs w:val="24"/>
        </w:rPr>
        <w:t>Endpoint protection through Microsoft Defender for Endpoint.</w:t>
      </w:r>
    </w:p>
    <w:p w14:paraId="147E722E" w14:textId="77777777" w:rsidR="001B1CF2" w:rsidRPr="00251DC4" w:rsidRDefault="001B1CF2" w:rsidP="001B1CF2">
      <w:pPr>
        <w:pStyle w:val="ListParagraph"/>
        <w:numPr>
          <w:ilvl w:val="0"/>
          <w:numId w:val="9"/>
        </w:numPr>
        <w:spacing w:after="0" w:line="240" w:lineRule="auto"/>
        <w:jc w:val="left"/>
        <w:rPr>
          <w:rFonts w:cs="Times New Roman"/>
          <w:szCs w:val="24"/>
        </w:rPr>
      </w:pPr>
      <w:r w:rsidRPr="00251DC4">
        <w:rPr>
          <w:rFonts w:cs="Times New Roman"/>
          <w:szCs w:val="24"/>
        </w:rPr>
        <w:t>Encryption of remote communications and secure access to organisational resources.</w:t>
      </w:r>
    </w:p>
    <w:p w14:paraId="51EF119F" w14:textId="77777777" w:rsidR="001B1CF2" w:rsidRPr="00251DC4" w:rsidRDefault="001B1CF2" w:rsidP="001B1CF2">
      <w:pPr>
        <w:pStyle w:val="ListParagraph"/>
        <w:numPr>
          <w:ilvl w:val="0"/>
          <w:numId w:val="9"/>
        </w:numPr>
        <w:spacing w:after="0" w:line="240" w:lineRule="auto"/>
        <w:jc w:val="left"/>
        <w:rPr>
          <w:rFonts w:cs="Times New Roman"/>
          <w:szCs w:val="24"/>
        </w:rPr>
      </w:pPr>
      <w:r w:rsidRPr="00251DC4">
        <w:rPr>
          <w:rFonts w:cs="Times New Roman"/>
          <w:szCs w:val="24"/>
        </w:rPr>
        <w:t>Immediate reporting of lost, stolen or compromised devices.</w:t>
      </w:r>
    </w:p>
    <w:p w14:paraId="5B83E278" w14:textId="77777777" w:rsidR="001B1CF2" w:rsidRPr="00251DC4" w:rsidRDefault="001B1CF2" w:rsidP="001B1CF2">
      <w:pPr>
        <w:rPr>
          <w:rFonts w:cs="Times New Roman"/>
          <w:szCs w:val="24"/>
        </w:rPr>
      </w:pPr>
    </w:p>
    <w:p w14:paraId="6D93EA09" w14:textId="77777777" w:rsidR="001B1CF2" w:rsidRPr="00251DC4" w:rsidRDefault="001B1CF2" w:rsidP="001B1CF2">
      <w:pPr>
        <w:rPr>
          <w:rFonts w:cs="Times New Roman"/>
          <w:szCs w:val="24"/>
        </w:rPr>
      </w:pPr>
      <w:r w:rsidRPr="00251DC4">
        <w:rPr>
          <w:rFonts w:cs="Times New Roman"/>
          <w:szCs w:val="24"/>
        </w:rPr>
        <w:t>The implementation supports the NIST CSF 2.0 Protect (PR) and Detect (DE) functions by strengthening identity management, endpoint security and continuous monitoring across hybrid working environments.</w:t>
      </w:r>
    </w:p>
    <w:p w14:paraId="5E86504E" w14:textId="77777777" w:rsidR="001B1CF2" w:rsidRPr="00251DC4" w:rsidRDefault="001B1CF2" w:rsidP="001B1CF2">
      <w:pPr>
        <w:rPr>
          <w:rFonts w:cs="Times New Roman"/>
          <w:szCs w:val="24"/>
        </w:rPr>
      </w:pPr>
    </w:p>
    <w:p w14:paraId="61C3B5E6" w14:textId="77777777" w:rsidR="001B1CF2" w:rsidRPr="00251DC4" w:rsidRDefault="001B1CF2" w:rsidP="001B1CF2">
      <w:pPr>
        <w:pStyle w:val="Heading2"/>
        <w:rPr>
          <w:rFonts w:ascii="Times New Roman" w:hAnsi="Times New Roman" w:cs="Times New Roman"/>
        </w:rPr>
      </w:pPr>
      <w:bookmarkStart w:id="4" w:name="_Toc236102273"/>
      <w:r w:rsidRPr="00251DC4">
        <w:rPr>
          <w:rFonts w:ascii="Times New Roman" w:hAnsi="Times New Roman" w:cs="Times New Roman"/>
        </w:rPr>
        <w:lastRenderedPageBreak/>
        <w:t>2.3 Third-Party &amp; Cloud Vendor Risk Management Policy</w:t>
      </w:r>
      <w:bookmarkEnd w:id="4"/>
    </w:p>
    <w:p w14:paraId="2C26122C" w14:textId="77777777" w:rsidR="001B1CF2" w:rsidRPr="00251DC4" w:rsidRDefault="001B1CF2" w:rsidP="001B1CF2">
      <w:pPr>
        <w:rPr>
          <w:rFonts w:cs="Times New Roman"/>
          <w:szCs w:val="24"/>
        </w:rPr>
      </w:pPr>
    </w:p>
    <w:p w14:paraId="02D55182" w14:textId="396878CD" w:rsidR="001B1CF2" w:rsidRPr="00251DC4" w:rsidRDefault="001B1CF2" w:rsidP="001B1CF2">
      <w:pPr>
        <w:rPr>
          <w:rFonts w:cs="Times New Roman"/>
          <w:szCs w:val="24"/>
        </w:rPr>
      </w:pPr>
      <w:r w:rsidRPr="00251DC4">
        <w:rPr>
          <w:rFonts w:cs="Times New Roman"/>
          <w:szCs w:val="24"/>
        </w:rPr>
        <w:t>As identified in Task 1, secure cloud adoption requires robust governance over external providers and shared responsibility for protecting organisational data and services. This policy introduces a formal supplier risk management process to ensure that third-party vendors meet FinTech's security, operational resilience and regulatory requirements before engagement and throughout the supplier lifecycle:</w:t>
      </w:r>
    </w:p>
    <w:p w14:paraId="4CA48EF7" w14:textId="77777777" w:rsidR="001B1CF2" w:rsidRPr="00251DC4" w:rsidRDefault="001B1CF2" w:rsidP="001B1CF2">
      <w:pPr>
        <w:pStyle w:val="ListParagraph"/>
        <w:numPr>
          <w:ilvl w:val="0"/>
          <w:numId w:val="7"/>
        </w:numPr>
        <w:spacing w:after="0" w:line="240" w:lineRule="auto"/>
        <w:jc w:val="left"/>
        <w:rPr>
          <w:rFonts w:cs="Times New Roman"/>
          <w:szCs w:val="24"/>
        </w:rPr>
      </w:pPr>
      <w:r w:rsidRPr="00251DC4">
        <w:rPr>
          <w:rFonts w:cs="Times New Roman"/>
          <w:szCs w:val="24"/>
        </w:rPr>
        <w:t>Security due diligence before onboarding all third-party suppliers.</w:t>
      </w:r>
    </w:p>
    <w:p w14:paraId="600D700C" w14:textId="77777777" w:rsidR="001B1CF2" w:rsidRPr="00251DC4" w:rsidRDefault="001B1CF2" w:rsidP="001B1CF2">
      <w:pPr>
        <w:pStyle w:val="ListParagraph"/>
        <w:numPr>
          <w:ilvl w:val="0"/>
          <w:numId w:val="7"/>
        </w:numPr>
        <w:spacing w:after="0" w:line="240" w:lineRule="auto"/>
        <w:jc w:val="left"/>
        <w:rPr>
          <w:rFonts w:cs="Times New Roman"/>
          <w:szCs w:val="24"/>
        </w:rPr>
      </w:pPr>
      <w:r w:rsidRPr="00251DC4">
        <w:rPr>
          <w:rFonts w:cs="Times New Roman"/>
          <w:szCs w:val="24"/>
        </w:rPr>
        <w:t>Assessment against recognised security standards, including ISO/IEC 27001 or equivalent certifications.</w:t>
      </w:r>
    </w:p>
    <w:p w14:paraId="7E9076CA" w14:textId="77777777" w:rsidR="001B1CF2" w:rsidRPr="00251DC4" w:rsidRDefault="001B1CF2" w:rsidP="001B1CF2">
      <w:pPr>
        <w:pStyle w:val="ListParagraph"/>
        <w:numPr>
          <w:ilvl w:val="0"/>
          <w:numId w:val="7"/>
        </w:numPr>
        <w:spacing w:after="0" w:line="240" w:lineRule="auto"/>
        <w:jc w:val="left"/>
        <w:rPr>
          <w:rFonts w:cs="Times New Roman"/>
          <w:szCs w:val="24"/>
        </w:rPr>
      </w:pPr>
      <w:r w:rsidRPr="00251DC4">
        <w:rPr>
          <w:rFonts w:cs="Times New Roman"/>
          <w:szCs w:val="24"/>
        </w:rPr>
        <w:t>Verification of compliance with GDPR, DORA and contractual security obligations.</w:t>
      </w:r>
    </w:p>
    <w:p w14:paraId="072A1BF2" w14:textId="77777777" w:rsidR="001B1CF2" w:rsidRPr="00251DC4" w:rsidRDefault="001B1CF2" w:rsidP="001B1CF2">
      <w:pPr>
        <w:pStyle w:val="ListParagraph"/>
        <w:numPr>
          <w:ilvl w:val="0"/>
          <w:numId w:val="7"/>
        </w:numPr>
        <w:spacing w:after="0" w:line="240" w:lineRule="auto"/>
        <w:jc w:val="left"/>
        <w:rPr>
          <w:rFonts w:cs="Times New Roman"/>
          <w:szCs w:val="24"/>
        </w:rPr>
      </w:pPr>
      <w:r w:rsidRPr="00251DC4">
        <w:rPr>
          <w:rFonts w:cs="Times New Roman"/>
          <w:szCs w:val="24"/>
        </w:rPr>
        <w:t>Risk classification of suppliers based on the sensitivity of the services and data provided.</w:t>
      </w:r>
    </w:p>
    <w:p w14:paraId="757ED06D" w14:textId="77777777" w:rsidR="001B1CF2" w:rsidRPr="00251DC4" w:rsidRDefault="001B1CF2" w:rsidP="001B1CF2">
      <w:pPr>
        <w:pStyle w:val="ListParagraph"/>
        <w:numPr>
          <w:ilvl w:val="0"/>
          <w:numId w:val="7"/>
        </w:numPr>
        <w:spacing w:after="0" w:line="240" w:lineRule="auto"/>
        <w:jc w:val="left"/>
        <w:rPr>
          <w:rFonts w:cs="Times New Roman"/>
          <w:szCs w:val="24"/>
        </w:rPr>
      </w:pPr>
      <w:r w:rsidRPr="00251DC4">
        <w:rPr>
          <w:rFonts w:cs="Times New Roman"/>
          <w:szCs w:val="24"/>
        </w:rPr>
        <w:t>Annual security reviews and continuous monitoring of critical vendors.</w:t>
      </w:r>
    </w:p>
    <w:p w14:paraId="1D0EEAAC" w14:textId="77777777" w:rsidR="001B1CF2" w:rsidRPr="00251DC4" w:rsidRDefault="001B1CF2" w:rsidP="001B1CF2">
      <w:pPr>
        <w:pStyle w:val="ListParagraph"/>
        <w:numPr>
          <w:ilvl w:val="0"/>
          <w:numId w:val="7"/>
        </w:numPr>
        <w:spacing w:after="0" w:line="240" w:lineRule="auto"/>
        <w:jc w:val="left"/>
        <w:rPr>
          <w:rFonts w:cs="Times New Roman"/>
          <w:szCs w:val="24"/>
        </w:rPr>
      </w:pPr>
      <w:r w:rsidRPr="00251DC4">
        <w:rPr>
          <w:rFonts w:cs="Times New Roman"/>
          <w:szCs w:val="24"/>
        </w:rPr>
        <w:t>Contractual requirements for incident reporting, breach notification and business continuity.</w:t>
      </w:r>
    </w:p>
    <w:p w14:paraId="604D92BD" w14:textId="77777777" w:rsidR="001B1CF2" w:rsidRPr="00251DC4" w:rsidRDefault="001B1CF2" w:rsidP="001B1CF2">
      <w:pPr>
        <w:rPr>
          <w:rFonts w:cs="Times New Roman"/>
          <w:szCs w:val="24"/>
        </w:rPr>
      </w:pPr>
    </w:p>
    <w:p w14:paraId="1B0336BA" w14:textId="77777777" w:rsidR="001B1CF2" w:rsidRPr="00251DC4" w:rsidRDefault="001B1CF2" w:rsidP="001B1CF2">
      <w:pPr>
        <w:spacing w:after="0"/>
        <w:rPr>
          <w:rFonts w:eastAsiaTheme="minorHAnsi" w:cs="Times New Roman"/>
          <w:kern w:val="2"/>
          <w:szCs w:val="24"/>
          <w14:ligatures w14:val="standardContextual"/>
        </w:rPr>
      </w:pPr>
      <w:r w:rsidRPr="00251DC4">
        <w:rPr>
          <w:rFonts w:cs="Times New Roman"/>
          <w:szCs w:val="24"/>
        </w:rPr>
        <w:t xml:space="preserve">Table 2. Policy summary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4"/>
        <w:gridCol w:w="2655"/>
        <w:gridCol w:w="3196"/>
        <w:gridCol w:w="1371"/>
      </w:tblGrid>
      <w:tr w:rsidR="001B1CF2" w:rsidRPr="00251DC4" w14:paraId="1F8E323A" w14:textId="77777777" w:rsidTr="00E15E49">
        <w:trPr>
          <w:tblHeader/>
          <w:tblCellSpacing w:w="15" w:type="dxa"/>
        </w:trPr>
        <w:tc>
          <w:tcPr>
            <w:tcW w:w="0" w:type="auto"/>
            <w:vAlign w:val="center"/>
            <w:hideMark/>
          </w:tcPr>
          <w:p w14:paraId="65573DC8"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Policy</w:t>
            </w:r>
          </w:p>
        </w:tc>
        <w:tc>
          <w:tcPr>
            <w:tcW w:w="0" w:type="auto"/>
            <w:vAlign w:val="center"/>
            <w:hideMark/>
          </w:tcPr>
          <w:p w14:paraId="5EEA150B"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Purpose</w:t>
            </w:r>
          </w:p>
        </w:tc>
        <w:tc>
          <w:tcPr>
            <w:tcW w:w="0" w:type="auto"/>
            <w:vAlign w:val="center"/>
            <w:hideMark/>
          </w:tcPr>
          <w:p w14:paraId="55363CB5"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Key Controls</w:t>
            </w:r>
          </w:p>
        </w:tc>
        <w:tc>
          <w:tcPr>
            <w:tcW w:w="0" w:type="auto"/>
            <w:vAlign w:val="center"/>
            <w:hideMark/>
          </w:tcPr>
          <w:p w14:paraId="1CC3D34F"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NIST CSF 2.0 Function(s)</w:t>
            </w:r>
          </w:p>
        </w:tc>
      </w:tr>
      <w:tr w:rsidR="001B1CF2" w:rsidRPr="00251DC4" w14:paraId="7D733E4D" w14:textId="77777777" w:rsidTr="00E15E49">
        <w:trPr>
          <w:tblCellSpacing w:w="15" w:type="dxa"/>
        </w:trPr>
        <w:tc>
          <w:tcPr>
            <w:tcW w:w="0" w:type="auto"/>
            <w:vAlign w:val="center"/>
            <w:hideMark/>
          </w:tcPr>
          <w:p w14:paraId="2D299B3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Acceptable Use Policy for AI &amp; Cloud Services</w:t>
            </w:r>
          </w:p>
        </w:tc>
        <w:tc>
          <w:tcPr>
            <w:tcW w:w="0" w:type="auto"/>
            <w:vAlign w:val="center"/>
            <w:hideMark/>
          </w:tcPr>
          <w:p w14:paraId="30342CAD"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Establishes secure and responsible use of approved AI and cloud services within FinTech.</w:t>
            </w:r>
          </w:p>
        </w:tc>
        <w:tc>
          <w:tcPr>
            <w:tcW w:w="0" w:type="auto"/>
            <w:vAlign w:val="center"/>
            <w:hideMark/>
          </w:tcPr>
          <w:p w14:paraId="5CA2BC51" w14:textId="77777777" w:rsidR="001B1CF2" w:rsidRPr="00251DC4" w:rsidRDefault="001B1CF2" w:rsidP="001B1CF2">
            <w:pPr>
              <w:pStyle w:val="ListParagraph"/>
              <w:numPr>
                <w:ilvl w:val="0"/>
                <w:numId w:val="10"/>
              </w:numPr>
              <w:spacing w:after="0" w:line="240" w:lineRule="auto"/>
              <w:jc w:val="left"/>
              <w:rPr>
                <w:rFonts w:eastAsia="Times New Roman" w:cs="Times New Roman"/>
                <w:szCs w:val="24"/>
                <w:lang w:eastAsia="en-GB"/>
              </w:rPr>
            </w:pPr>
            <w:r w:rsidRPr="00251DC4">
              <w:rPr>
                <w:rFonts w:eastAsia="Times New Roman" w:cs="Times New Roman"/>
                <w:szCs w:val="24"/>
                <w:lang w:eastAsia="en-GB"/>
              </w:rPr>
              <w:t>Use of organisation-approved AI and cloud services only</w:t>
            </w:r>
          </w:p>
          <w:p w14:paraId="6A1F569A" w14:textId="77777777" w:rsidR="001B1CF2" w:rsidRPr="00251DC4" w:rsidRDefault="001B1CF2" w:rsidP="001B1CF2">
            <w:pPr>
              <w:pStyle w:val="ListParagraph"/>
              <w:numPr>
                <w:ilvl w:val="0"/>
                <w:numId w:val="10"/>
              </w:numPr>
              <w:spacing w:after="0" w:line="240" w:lineRule="auto"/>
              <w:jc w:val="left"/>
              <w:rPr>
                <w:rFonts w:eastAsia="Times New Roman" w:cs="Times New Roman"/>
                <w:szCs w:val="24"/>
                <w:lang w:eastAsia="en-GB"/>
              </w:rPr>
            </w:pPr>
            <w:r w:rsidRPr="00251DC4">
              <w:rPr>
                <w:rFonts w:eastAsia="Times New Roman" w:cs="Times New Roman"/>
                <w:szCs w:val="24"/>
                <w:lang w:eastAsia="en-GB"/>
              </w:rPr>
              <w:t>Human oversight of AI-generated outputs</w:t>
            </w:r>
          </w:p>
          <w:p w14:paraId="4F4A305B" w14:textId="77777777" w:rsidR="001B1CF2" w:rsidRPr="00251DC4" w:rsidRDefault="001B1CF2" w:rsidP="001B1CF2">
            <w:pPr>
              <w:pStyle w:val="ListParagraph"/>
              <w:numPr>
                <w:ilvl w:val="0"/>
                <w:numId w:val="10"/>
              </w:numPr>
              <w:spacing w:after="0" w:line="240" w:lineRule="auto"/>
              <w:jc w:val="left"/>
              <w:rPr>
                <w:rFonts w:eastAsia="Times New Roman" w:cs="Times New Roman"/>
                <w:szCs w:val="24"/>
                <w:lang w:eastAsia="en-GB"/>
              </w:rPr>
            </w:pPr>
            <w:r w:rsidRPr="00251DC4">
              <w:rPr>
                <w:rFonts w:eastAsia="Times New Roman" w:cs="Times New Roman"/>
                <w:szCs w:val="24"/>
                <w:lang w:eastAsia="en-GB"/>
              </w:rPr>
              <w:t>MFA and least-privilege access to cloud resources</w:t>
            </w:r>
          </w:p>
          <w:p w14:paraId="6C2DE7CD" w14:textId="77777777" w:rsidR="001B1CF2" w:rsidRPr="00251DC4" w:rsidRDefault="001B1CF2" w:rsidP="001B1CF2">
            <w:pPr>
              <w:pStyle w:val="ListParagraph"/>
              <w:numPr>
                <w:ilvl w:val="0"/>
                <w:numId w:val="10"/>
              </w:numPr>
              <w:spacing w:after="0" w:line="240" w:lineRule="auto"/>
              <w:jc w:val="left"/>
              <w:rPr>
                <w:rFonts w:eastAsia="Times New Roman" w:cs="Times New Roman"/>
                <w:szCs w:val="24"/>
                <w:lang w:eastAsia="en-GB"/>
              </w:rPr>
            </w:pPr>
            <w:r w:rsidRPr="00251DC4">
              <w:rPr>
                <w:rFonts w:eastAsia="Times New Roman" w:cs="Times New Roman"/>
                <w:szCs w:val="24"/>
                <w:lang w:eastAsia="en-GB"/>
              </w:rPr>
              <w:t>Monitoring and auditing of AI and cloud service usage</w:t>
            </w:r>
          </w:p>
          <w:p w14:paraId="38228E06" w14:textId="77777777" w:rsidR="001B1CF2" w:rsidRPr="00251DC4" w:rsidRDefault="001B1CF2" w:rsidP="001B1CF2">
            <w:pPr>
              <w:pStyle w:val="ListParagraph"/>
              <w:numPr>
                <w:ilvl w:val="0"/>
                <w:numId w:val="10"/>
              </w:numPr>
              <w:spacing w:after="0" w:line="240" w:lineRule="auto"/>
              <w:jc w:val="left"/>
              <w:rPr>
                <w:rFonts w:eastAsia="Times New Roman" w:cs="Times New Roman"/>
                <w:szCs w:val="24"/>
                <w:lang w:eastAsia="en-GB"/>
              </w:rPr>
            </w:pPr>
            <w:r w:rsidRPr="00251DC4">
              <w:rPr>
                <w:rFonts w:eastAsia="Times New Roman" w:cs="Times New Roman"/>
                <w:szCs w:val="24"/>
                <w:lang w:eastAsia="en-GB"/>
              </w:rPr>
              <w:t>GDPR and information governance compliance</w:t>
            </w:r>
          </w:p>
        </w:tc>
        <w:tc>
          <w:tcPr>
            <w:tcW w:w="0" w:type="auto"/>
            <w:vAlign w:val="center"/>
            <w:hideMark/>
          </w:tcPr>
          <w:p w14:paraId="20AF3AE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Govern (GV), Protect (PR)</w:t>
            </w:r>
          </w:p>
        </w:tc>
      </w:tr>
      <w:tr w:rsidR="001B1CF2" w:rsidRPr="00251DC4" w14:paraId="580DC90B" w14:textId="77777777" w:rsidTr="00E15E49">
        <w:trPr>
          <w:tblCellSpacing w:w="15" w:type="dxa"/>
        </w:trPr>
        <w:tc>
          <w:tcPr>
            <w:tcW w:w="0" w:type="auto"/>
            <w:vAlign w:val="center"/>
            <w:hideMark/>
          </w:tcPr>
          <w:p w14:paraId="492A0B6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Hybrid Work &amp; Remote Access Security Policy</w:t>
            </w:r>
          </w:p>
        </w:tc>
        <w:tc>
          <w:tcPr>
            <w:tcW w:w="0" w:type="auto"/>
            <w:vAlign w:val="center"/>
            <w:hideMark/>
          </w:tcPr>
          <w:p w14:paraId="6D03685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Secures remote access to organisational systems and Azure services while enabling hybrid working.</w:t>
            </w:r>
          </w:p>
        </w:tc>
        <w:tc>
          <w:tcPr>
            <w:tcW w:w="0" w:type="auto"/>
            <w:vAlign w:val="center"/>
            <w:hideMark/>
          </w:tcPr>
          <w:p w14:paraId="36C7E013" w14:textId="77777777" w:rsidR="001B1CF2" w:rsidRPr="00251DC4" w:rsidRDefault="001B1CF2" w:rsidP="001B1CF2">
            <w:pPr>
              <w:pStyle w:val="ListParagraph"/>
              <w:numPr>
                <w:ilvl w:val="0"/>
                <w:numId w:val="11"/>
              </w:numPr>
              <w:spacing w:after="0" w:line="240" w:lineRule="auto"/>
              <w:jc w:val="left"/>
              <w:rPr>
                <w:rFonts w:eastAsia="Times New Roman" w:cs="Times New Roman"/>
                <w:szCs w:val="24"/>
                <w:lang w:eastAsia="en-GB"/>
              </w:rPr>
            </w:pPr>
            <w:r w:rsidRPr="00251DC4">
              <w:rPr>
                <w:rFonts w:eastAsia="Times New Roman" w:cs="Times New Roman"/>
                <w:szCs w:val="24"/>
                <w:lang w:eastAsia="en-GB"/>
              </w:rPr>
              <w:t>Multi-factor authentication (MFA) for all access• Conditional Access via Microsoft Entra ID</w:t>
            </w:r>
          </w:p>
          <w:p w14:paraId="2CEC1165" w14:textId="77777777" w:rsidR="001B1CF2" w:rsidRPr="00251DC4" w:rsidRDefault="001B1CF2" w:rsidP="001B1CF2">
            <w:pPr>
              <w:pStyle w:val="ListParagraph"/>
              <w:numPr>
                <w:ilvl w:val="0"/>
                <w:numId w:val="11"/>
              </w:numPr>
              <w:spacing w:after="0" w:line="240" w:lineRule="auto"/>
              <w:jc w:val="left"/>
              <w:rPr>
                <w:rFonts w:eastAsia="Times New Roman" w:cs="Times New Roman"/>
                <w:szCs w:val="24"/>
                <w:lang w:eastAsia="en-GB"/>
              </w:rPr>
            </w:pPr>
            <w:r w:rsidRPr="00251DC4">
              <w:rPr>
                <w:rFonts w:eastAsia="Times New Roman" w:cs="Times New Roman"/>
                <w:szCs w:val="24"/>
                <w:lang w:eastAsia="en-GB"/>
              </w:rPr>
              <w:t>Device compliance using Microsoft Intune</w:t>
            </w:r>
          </w:p>
          <w:p w14:paraId="77641705" w14:textId="77777777" w:rsidR="001B1CF2" w:rsidRPr="00251DC4" w:rsidRDefault="001B1CF2" w:rsidP="001B1CF2">
            <w:pPr>
              <w:pStyle w:val="ListParagraph"/>
              <w:numPr>
                <w:ilvl w:val="0"/>
                <w:numId w:val="11"/>
              </w:numPr>
              <w:spacing w:after="0" w:line="240" w:lineRule="auto"/>
              <w:jc w:val="left"/>
              <w:rPr>
                <w:rFonts w:eastAsia="Times New Roman" w:cs="Times New Roman"/>
                <w:szCs w:val="24"/>
                <w:lang w:eastAsia="en-GB"/>
              </w:rPr>
            </w:pPr>
            <w:r w:rsidRPr="00251DC4">
              <w:rPr>
                <w:rFonts w:eastAsia="Times New Roman" w:cs="Times New Roman"/>
                <w:szCs w:val="24"/>
                <w:lang w:eastAsia="en-GB"/>
              </w:rPr>
              <w:t>Endpoint protection with Microsoft Defender for Endpoint</w:t>
            </w:r>
          </w:p>
          <w:p w14:paraId="55D41805" w14:textId="77777777" w:rsidR="001B1CF2" w:rsidRPr="00251DC4" w:rsidRDefault="001B1CF2" w:rsidP="001B1CF2">
            <w:pPr>
              <w:pStyle w:val="ListParagraph"/>
              <w:numPr>
                <w:ilvl w:val="0"/>
                <w:numId w:val="11"/>
              </w:numPr>
              <w:spacing w:after="0" w:line="240" w:lineRule="auto"/>
              <w:jc w:val="left"/>
              <w:rPr>
                <w:rFonts w:eastAsia="Times New Roman" w:cs="Times New Roman"/>
                <w:szCs w:val="24"/>
                <w:lang w:eastAsia="en-GB"/>
              </w:rPr>
            </w:pPr>
            <w:r w:rsidRPr="00251DC4">
              <w:rPr>
                <w:rFonts w:eastAsia="Times New Roman" w:cs="Times New Roman"/>
                <w:szCs w:val="24"/>
                <w:lang w:eastAsia="en-GB"/>
              </w:rPr>
              <w:lastRenderedPageBreak/>
              <w:t>Encrypted communications and secure access</w:t>
            </w:r>
          </w:p>
        </w:tc>
        <w:tc>
          <w:tcPr>
            <w:tcW w:w="0" w:type="auto"/>
            <w:vAlign w:val="center"/>
            <w:hideMark/>
          </w:tcPr>
          <w:p w14:paraId="44AA65BC"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lastRenderedPageBreak/>
              <w:t>Protect (PR), Detect (DE)</w:t>
            </w:r>
          </w:p>
        </w:tc>
      </w:tr>
      <w:tr w:rsidR="001B1CF2" w:rsidRPr="00251DC4" w14:paraId="52CEBE97" w14:textId="77777777" w:rsidTr="00E15E49">
        <w:trPr>
          <w:tblCellSpacing w:w="15" w:type="dxa"/>
        </w:trPr>
        <w:tc>
          <w:tcPr>
            <w:tcW w:w="0" w:type="auto"/>
            <w:vAlign w:val="center"/>
            <w:hideMark/>
          </w:tcPr>
          <w:p w14:paraId="23E68C7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Third-Party &amp; Cloud Vendor Risk Management Policy</w:t>
            </w:r>
          </w:p>
        </w:tc>
        <w:tc>
          <w:tcPr>
            <w:tcW w:w="0" w:type="auto"/>
            <w:vAlign w:val="center"/>
            <w:hideMark/>
          </w:tcPr>
          <w:p w14:paraId="5EA80A3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Manages risks associated with cloud providers and third-party suppliers to ensure security, resilience and regulatory compliance.</w:t>
            </w:r>
          </w:p>
        </w:tc>
        <w:tc>
          <w:tcPr>
            <w:tcW w:w="0" w:type="auto"/>
            <w:vAlign w:val="center"/>
            <w:hideMark/>
          </w:tcPr>
          <w:p w14:paraId="6F9D07BE" w14:textId="77777777" w:rsidR="001B1CF2" w:rsidRPr="00251DC4" w:rsidRDefault="001B1CF2" w:rsidP="001B1CF2">
            <w:pPr>
              <w:pStyle w:val="ListParagraph"/>
              <w:numPr>
                <w:ilvl w:val="0"/>
                <w:numId w:val="12"/>
              </w:numPr>
              <w:spacing w:after="0" w:line="240" w:lineRule="auto"/>
              <w:jc w:val="left"/>
              <w:rPr>
                <w:rFonts w:eastAsia="Times New Roman" w:cs="Times New Roman"/>
                <w:szCs w:val="24"/>
                <w:lang w:eastAsia="en-GB"/>
              </w:rPr>
            </w:pPr>
            <w:r w:rsidRPr="00251DC4">
              <w:rPr>
                <w:rFonts w:eastAsia="Times New Roman" w:cs="Times New Roman"/>
                <w:szCs w:val="24"/>
                <w:lang w:eastAsia="en-GB"/>
              </w:rPr>
              <w:t>Security due diligence before onboarding</w:t>
            </w:r>
          </w:p>
          <w:p w14:paraId="763EF876" w14:textId="77777777" w:rsidR="001B1CF2" w:rsidRPr="00251DC4" w:rsidRDefault="001B1CF2" w:rsidP="001B1CF2">
            <w:pPr>
              <w:pStyle w:val="ListParagraph"/>
              <w:numPr>
                <w:ilvl w:val="0"/>
                <w:numId w:val="12"/>
              </w:numPr>
              <w:spacing w:after="0" w:line="240" w:lineRule="auto"/>
              <w:jc w:val="left"/>
              <w:rPr>
                <w:rFonts w:eastAsia="Times New Roman" w:cs="Times New Roman"/>
                <w:szCs w:val="24"/>
                <w:lang w:eastAsia="en-GB"/>
              </w:rPr>
            </w:pPr>
            <w:r w:rsidRPr="00251DC4">
              <w:rPr>
                <w:rFonts w:eastAsia="Times New Roman" w:cs="Times New Roman"/>
                <w:szCs w:val="24"/>
                <w:lang w:eastAsia="en-GB"/>
              </w:rPr>
              <w:t>Assessment against ISO/IEC 27001 or equivalent standards</w:t>
            </w:r>
          </w:p>
          <w:p w14:paraId="68CEAB0B" w14:textId="77777777" w:rsidR="001B1CF2" w:rsidRPr="00251DC4" w:rsidRDefault="001B1CF2" w:rsidP="001B1CF2">
            <w:pPr>
              <w:pStyle w:val="ListParagraph"/>
              <w:numPr>
                <w:ilvl w:val="0"/>
                <w:numId w:val="12"/>
              </w:numPr>
              <w:spacing w:after="0" w:line="240" w:lineRule="auto"/>
              <w:jc w:val="left"/>
              <w:rPr>
                <w:rFonts w:eastAsia="Times New Roman" w:cs="Times New Roman"/>
                <w:szCs w:val="24"/>
                <w:lang w:eastAsia="en-GB"/>
              </w:rPr>
            </w:pPr>
            <w:r w:rsidRPr="00251DC4">
              <w:rPr>
                <w:rFonts w:eastAsia="Times New Roman" w:cs="Times New Roman"/>
                <w:szCs w:val="24"/>
                <w:lang w:eastAsia="en-GB"/>
              </w:rPr>
              <w:t>GDPR and DORA compliance verification</w:t>
            </w:r>
          </w:p>
          <w:p w14:paraId="5B84BFA7" w14:textId="77777777" w:rsidR="001B1CF2" w:rsidRPr="00251DC4" w:rsidRDefault="001B1CF2" w:rsidP="001B1CF2">
            <w:pPr>
              <w:pStyle w:val="ListParagraph"/>
              <w:numPr>
                <w:ilvl w:val="0"/>
                <w:numId w:val="12"/>
              </w:numPr>
              <w:spacing w:after="0" w:line="240" w:lineRule="auto"/>
              <w:jc w:val="left"/>
              <w:rPr>
                <w:rFonts w:eastAsia="Times New Roman" w:cs="Times New Roman"/>
                <w:szCs w:val="24"/>
                <w:lang w:eastAsia="en-GB"/>
              </w:rPr>
            </w:pPr>
            <w:r w:rsidRPr="00251DC4">
              <w:rPr>
                <w:rFonts w:eastAsia="Times New Roman" w:cs="Times New Roman"/>
                <w:szCs w:val="24"/>
                <w:lang w:eastAsia="en-GB"/>
              </w:rPr>
              <w:t>Supplier risk classification and annual reviews</w:t>
            </w:r>
          </w:p>
          <w:p w14:paraId="0EB950C6" w14:textId="77777777" w:rsidR="001B1CF2" w:rsidRPr="00251DC4" w:rsidRDefault="001B1CF2" w:rsidP="001B1CF2">
            <w:pPr>
              <w:pStyle w:val="ListParagraph"/>
              <w:numPr>
                <w:ilvl w:val="0"/>
                <w:numId w:val="12"/>
              </w:numPr>
              <w:spacing w:after="0" w:line="240" w:lineRule="auto"/>
              <w:jc w:val="left"/>
              <w:rPr>
                <w:rFonts w:eastAsia="Times New Roman" w:cs="Times New Roman"/>
                <w:szCs w:val="24"/>
                <w:lang w:eastAsia="en-GB"/>
              </w:rPr>
            </w:pPr>
            <w:r w:rsidRPr="00251DC4">
              <w:rPr>
                <w:rFonts w:eastAsia="Times New Roman" w:cs="Times New Roman"/>
                <w:szCs w:val="24"/>
                <w:lang w:eastAsia="en-GB"/>
              </w:rPr>
              <w:t>Contractual breach notification and continuity requirements</w:t>
            </w:r>
          </w:p>
        </w:tc>
        <w:tc>
          <w:tcPr>
            <w:tcW w:w="0" w:type="auto"/>
            <w:vAlign w:val="center"/>
            <w:hideMark/>
          </w:tcPr>
          <w:p w14:paraId="765C6D0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Govern (GV), Identify (ID)</w:t>
            </w:r>
          </w:p>
        </w:tc>
      </w:tr>
    </w:tbl>
    <w:p w14:paraId="60729107" w14:textId="77777777" w:rsidR="001B1CF2" w:rsidRPr="00251DC4" w:rsidRDefault="001B1CF2" w:rsidP="001B1CF2">
      <w:pPr>
        <w:rPr>
          <w:rFonts w:cs="Times New Roman"/>
          <w:szCs w:val="24"/>
        </w:rPr>
      </w:pPr>
    </w:p>
    <w:p w14:paraId="2632A225" w14:textId="77777777" w:rsidR="001B1CF2" w:rsidRPr="00251DC4" w:rsidRDefault="001B1CF2" w:rsidP="001B1CF2">
      <w:pPr>
        <w:rPr>
          <w:rFonts w:cs="Times New Roman"/>
          <w:szCs w:val="24"/>
        </w:rPr>
      </w:pPr>
    </w:p>
    <w:p w14:paraId="7F832ECB" w14:textId="77777777" w:rsidR="001B1CF2" w:rsidRPr="00251DC4" w:rsidRDefault="001B1CF2" w:rsidP="001B1CF2">
      <w:pPr>
        <w:pStyle w:val="Heading1"/>
        <w:rPr>
          <w:rFonts w:ascii="Times New Roman" w:hAnsi="Times New Roman" w:cs="Times New Roman"/>
        </w:rPr>
      </w:pPr>
      <w:bookmarkStart w:id="5" w:name="_Toc236102274"/>
      <w:r w:rsidRPr="00251DC4">
        <w:rPr>
          <w:rFonts w:ascii="Times New Roman" w:hAnsi="Times New Roman" w:cs="Times New Roman"/>
        </w:rPr>
        <w:t>Workstream 3: Regulatory Compliance and Operational Resilience</w:t>
      </w:r>
      <w:bookmarkEnd w:id="5"/>
    </w:p>
    <w:p w14:paraId="66A71B47" w14:textId="77777777" w:rsidR="001B1CF2" w:rsidRPr="00251DC4" w:rsidRDefault="001B1CF2" w:rsidP="001B1CF2">
      <w:pPr>
        <w:rPr>
          <w:rFonts w:cs="Times New Roman"/>
          <w:szCs w:val="24"/>
        </w:rPr>
      </w:pPr>
    </w:p>
    <w:p w14:paraId="0FF0CB67" w14:textId="77EF1DA5" w:rsidR="001B1CF2" w:rsidRPr="00251DC4" w:rsidRDefault="001B1CF2" w:rsidP="001B1CF2">
      <w:pPr>
        <w:rPr>
          <w:rFonts w:cs="Times New Roman"/>
          <w:szCs w:val="24"/>
        </w:rPr>
      </w:pPr>
      <w:r w:rsidRPr="00251DC4">
        <w:rPr>
          <w:rFonts w:cs="Times New Roman"/>
          <w:szCs w:val="24"/>
        </w:rPr>
        <w:t xml:space="preserve">To support FinTech's EU expansion, a phased compliance programme will align GDPR and DORA requirements with the governance, identity management and cyber resilience capabilities in Task 1. Rather than implementing compliance as a standalone activity, regulatory obligations will be embedded within the organisation's NIST CSF 2.0 security programme. Please refer to Table 3 below: </w:t>
      </w:r>
    </w:p>
    <w:p w14:paraId="23B7DB4D" w14:textId="77777777" w:rsidR="001B1CF2" w:rsidRPr="00251DC4" w:rsidRDefault="001B1CF2" w:rsidP="001B1CF2">
      <w:pPr>
        <w:rPr>
          <w:rFonts w:cs="Times New Roman"/>
          <w:szCs w:val="24"/>
        </w:rPr>
      </w:pPr>
      <w:r w:rsidRPr="00251DC4">
        <w:rPr>
          <w:rFonts w:cs="Times New Roman"/>
          <w:szCs w:val="24"/>
        </w:rPr>
        <w:t>Table 3. GDPR &amp; DORA Compliance Roadmap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01"/>
        <w:gridCol w:w="3903"/>
        <w:gridCol w:w="4012"/>
      </w:tblGrid>
      <w:tr w:rsidR="001B1CF2" w:rsidRPr="00251DC4" w14:paraId="252CD52F" w14:textId="77777777" w:rsidTr="00E15E49">
        <w:trPr>
          <w:tblHeader/>
          <w:tblCellSpacing w:w="15" w:type="dxa"/>
        </w:trPr>
        <w:tc>
          <w:tcPr>
            <w:tcW w:w="0" w:type="auto"/>
            <w:vAlign w:val="center"/>
            <w:hideMark/>
          </w:tcPr>
          <w:p w14:paraId="5F64EB3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Timeline</w:t>
            </w:r>
          </w:p>
        </w:tc>
        <w:tc>
          <w:tcPr>
            <w:tcW w:w="0" w:type="auto"/>
            <w:vAlign w:val="center"/>
            <w:hideMark/>
          </w:tcPr>
          <w:p w14:paraId="3DA1944C"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GDPR Milestone</w:t>
            </w:r>
          </w:p>
        </w:tc>
        <w:tc>
          <w:tcPr>
            <w:tcW w:w="0" w:type="auto"/>
            <w:vAlign w:val="center"/>
            <w:hideMark/>
          </w:tcPr>
          <w:p w14:paraId="7AC2FB3A"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DORA Milestone</w:t>
            </w:r>
          </w:p>
        </w:tc>
      </w:tr>
      <w:tr w:rsidR="001B1CF2" w:rsidRPr="00251DC4" w14:paraId="72435F6F" w14:textId="77777777" w:rsidTr="00E15E49">
        <w:trPr>
          <w:tblCellSpacing w:w="15" w:type="dxa"/>
        </w:trPr>
        <w:tc>
          <w:tcPr>
            <w:tcW w:w="0" w:type="auto"/>
            <w:vAlign w:val="center"/>
            <w:hideMark/>
          </w:tcPr>
          <w:p w14:paraId="43FB425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Months 1–2</w:t>
            </w:r>
          </w:p>
        </w:tc>
        <w:tc>
          <w:tcPr>
            <w:tcW w:w="0" w:type="auto"/>
            <w:vAlign w:val="center"/>
            <w:hideMark/>
          </w:tcPr>
          <w:p w14:paraId="192BF9E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Appoint Data Protection Officer (Art. 37); establish Records of Processing Activities (Art. 30)</w:t>
            </w:r>
          </w:p>
        </w:tc>
        <w:tc>
          <w:tcPr>
            <w:tcW w:w="0" w:type="auto"/>
            <w:vAlign w:val="center"/>
            <w:hideMark/>
          </w:tcPr>
          <w:p w14:paraId="471E58D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Establish ICT governance and assign accountability</w:t>
            </w:r>
          </w:p>
        </w:tc>
      </w:tr>
      <w:tr w:rsidR="001B1CF2" w:rsidRPr="00251DC4" w14:paraId="42761D2F" w14:textId="77777777" w:rsidTr="00E15E49">
        <w:trPr>
          <w:tblCellSpacing w:w="15" w:type="dxa"/>
        </w:trPr>
        <w:tc>
          <w:tcPr>
            <w:tcW w:w="0" w:type="auto"/>
            <w:vAlign w:val="center"/>
            <w:hideMark/>
          </w:tcPr>
          <w:p w14:paraId="1DB1270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Months 3–4</w:t>
            </w:r>
          </w:p>
        </w:tc>
        <w:tc>
          <w:tcPr>
            <w:tcW w:w="0" w:type="auto"/>
            <w:vAlign w:val="center"/>
            <w:hideMark/>
          </w:tcPr>
          <w:p w14:paraId="3032FB3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Complete data mapping and Data Protection Impact Assessments (Art. 35); implement privacy-by-design (Art. 25)</w:t>
            </w:r>
          </w:p>
        </w:tc>
        <w:tc>
          <w:tcPr>
            <w:tcW w:w="0" w:type="auto"/>
            <w:vAlign w:val="center"/>
            <w:hideMark/>
          </w:tcPr>
          <w:p w14:paraId="2EDBD48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Complete ICT risk assessment and third-party ICT risk review</w:t>
            </w:r>
          </w:p>
        </w:tc>
      </w:tr>
      <w:tr w:rsidR="001B1CF2" w:rsidRPr="00251DC4" w14:paraId="2EDB2D19" w14:textId="77777777" w:rsidTr="00E15E49">
        <w:trPr>
          <w:tblCellSpacing w:w="15" w:type="dxa"/>
        </w:trPr>
        <w:tc>
          <w:tcPr>
            <w:tcW w:w="0" w:type="auto"/>
            <w:vAlign w:val="center"/>
            <w:hideMark/>
          </w:tcPr>
          <w:p w14:paraId="484A667F"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lastRenderedPageBreak/>
              <w:t>Months 5–6</w:t>
            </w:r>
          </w:p>
        </w:tc>
        <w:tc>
          <w:tcPr>
            <w:tcW w:w="0" w:type="auto"/>
            <w:vAlign w:val="center"/>
            <w:hideMark/>
          </w:tcPr>
          <w:p w14:paraId="694AE87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Implement access controls, MFA and encryption (Art. 32)</w:t>
            </w:r>
          </w:p>
        </w:tc>
        <w:tc>
          <w:tcPr>
            <w:tcW w:w="0" w:type="auto"/>
            <w:vAlign w:val="center"/>
            <w:hideMark/>
          </w:tcPr>
          <w:p w14:paraId="79C5A86C"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Deploy Microsoft Defender for Cloud and Microsoft Sentinel for continuous monitoring and incident management</w:t>
            </w:r>
          </w:p>
        </w:tc>
      </w:tr>
      <w:tr w:rsidR="001B1CF2" w:rsidRPr="00251DC4" w14:paraId="2B32D86B" w14:textId="77777777" w:rsidTr="00E15E49">
        <w:trPr>
          <w:tblCellSpacing w:w="15" w:type="dxa"/>
        </w:trPr>
        <w:tc>
          <w:tcPr>
            <w:tcW w:w="0" w:type="auto"/>
            <w:vAlign w:val="center"/>
            <w:hideMark/>
          </w:tcPr>
          <w:p w14:paraId="295DE748"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Months 7–9</w:t>
            </w:r>
          </w:p>
        </w:tc>
        <w:tc>
          <w:tcPr>
            <w:tcW w:w="0" w:type="auto"/>
            <w:vAlign w:val="center"/>
            <w:hideMark/>
          </w:tcPr>
          <w:p w14:paraId="127E8EC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Develop personal data breach notification procedures (Arts. 33–34)</w:t>
            </w:r>
          </w:p>
        </w:tc>
        <w:tc>
          <w:tcPr>
            <w:tcW w:w="0" w:type="auto"/>
            <w:vAlign w:val="center"/>
            <w:hideMark/>
          </w:tcPr>
          <w:p w14:paraId="1C37FEB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Conduct ICT resilience, backup and disaster recovery testing</w:t>
            </w:r>
          </w:p>
        </w:tc>
      </w:tr>
      <w:tr w:rsidR="001B1CF2" w:rsidRPr="00251DC4" w14:paraId="5B9AEEAF" w14:textId="77777777" w:rsidTr="00E15E49">
        <w:trPr>
          <w:tblCellSpacing w:w="15" w:type="dxa"/>
        </w:trPr>
        <w:tc>
          <w:tcPr>
            <w:tcW w:w="0" w:type="auto"/>
            <w:vAlign w:val="center"/>
            <w:hideMark/>
          </w:tcPr>
          <w:p w14:paraId="58A54DF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Months 10–12</w:t>
            </w:r>
          </w:p>
        </w:tc>
        <w:tc>
          <w:tcPr>
            <w:tcW w:w="0" w:type="auto"/>
            <w:vAlign w:val="center"/>
            <w:hideMark/>
          </w:tcPr>
          <w:p w14:paraId="58AD1FC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Internal GDPR compliance audit before EU launch</w:t>
            </w:r>
          </w:p>
        </w:tc>
        <w:tc>
          <w:tcPr>
            <w:tcW w:w="0" w:type="auto"/>
            <w:vAlign w:val="center"/>
            <w:hideMark/>
          </w:tcPr>
          <w:p w14:paraId="04A8D25D"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Perform DORA readiness assessment and operational resilience review</w:t>
            </w:r>
          </w:p>
        </w:tc>
      </w:tr>
    </w:tbl>
    <w:p w14:paraId="61C3928E" w14:textId="77777777" w:rsidR="001B1CF2" w:rsidRPr="00251DC4" w:rsidRDefault="001B1CF2" w:rsidP="001B1CF2">
      <w:pPr>
        <w:rPr>
          <w:rFonts w:cs="Times New Roman"/>
          <w:szCs w:val="24"/>
        </w:rPr>
      </w:pPr>
    </w:p>
    <w:p w14:paraId="26DA2967" w14:textId="77777777" w:rsidR="001B1CF2" w:rsidRPr="00251DC4" w:rsidRDefault="001B1CF2" w:rsidP="001B1CF2">
      <w:pPr>
        <w:pStyle w:val="Heading1"/>
        <w:rPr>
          <w:rFonts w:ascii="Times New Roman" w:hAnsi="Times New Roman" w:cs="Times New Roman"/>
          <w:lang w:eastAsia="en-GB"/>
        </w:rPr>
      </w:pPr>
      <w:bookmarkStart w:id="6" w:name="_Toc236102275"/>
      <w:r w:rsidRPr="00251DC4">
        <w:rPr>
          <w:rFonts w:ascii="Times New Roman" w:hAnsi="Times New Roman" w:cs="Times New Roman"/>
          <w:lang w:eastAsia="en-GB"/>
        </w:rPr>
        <w:t>Workstream 4: Technical Standards and Architecture</w:t>
      </w:r>
      <w:bookmarkEnd w:id="6"/>
    </w:p>
    <w:p w14:paraId="1A7329C4" w14:textId="77777777" w:rsidR="001B1CF2" w:rsidRPr="00251DC4" w:rsidRDefault="001B1CF2" w:rsidP="001B1CF2">
      <w:pPr>
        <w:rPr>
          <w:rFonts w:cs="Times New Roman"/>
          <w:szCs w:val="24"/>
          <w:lang w:eastAsia="en-GB"/>
        </w:rPr>
      </w:pPr>
    </w:p>
    <w:p w14:paraId="4F15F368" w14:textId="77777777" w:rsidR="001B1CF2" w:rsidRPr="00251DC4" w:rsidRDefault="001B1CF2" w:rsidP="00147269">
      <w:pPr>
        <w:pStyle w:val="Heading2"/>
        <w:rPr>
          <w:rFonts w:ascii="Times New Roman" w:hAnsi="Times New Roman" w:cs="Times New Roman"/>
          <w:lang w:eastAsia="en-GB"/>
        </w:rPr>
      </w:pPr>
      <w:bookmarkStart w:id="7" w:name="_Toc236102276"/>
      <w:r w:rsidRPr="00251DC4">
        <w:rPr>
          <w:rFonts w:ascii="Times New Roman" w:hAnsi="Times New Roman" w:cs="Times New Roman"/>
          <w:lang w:eastAsia="en-GB"/>
        </w:rPr>
        <w:t>4.1 Core security framework</w:t>
      </w:r>
      <w:bookmarkEnd w:id="7"/>
    </w:p>
    <w:p w14:paraId="1827C742" w14:textId="77777777" w:rsidR="001B1CF2" w:rsidRP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t>Task 1 used NIST CSF 2.0 to assess FinTech's governance, identity management, workload protection, threat detection and cyber-resilience requirements. Using the same framework during implementation therefore creates continuity between the original analysis and the proposed security programme.</w:t>
      </w:r>
    </w:p>
    <w:p w14:paraId="4913E6B9" w14:textId="77777777" w:rsidR="001B1CF2" w:rsidRP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t>NIST CSF 2.0 is particularly suitable because its six functions – Govern, Identify, Protect, Detect, Respond and Recover – provide a clear structure for assigning responsibilities, prioritising investment and measuring security maturity. The new Govern function is especially relevant to FinTech's Series B funding and EU expansion because it strengthens executive accountability, regulatory oversight and third-party risk management.</w:t>
      </w:r>
    </w:p>
    <w:p w14:paraId="765A63C7" w14:textId="77777777" w:rsidR="00147269" w:rsidRPr="00251DC4" w:rsidRDefault="00147269">
      <w:pPr>
        <w:jc w:val="left"/>
        <w:rPr>
          <w:rFonts w:cs="Times New Roman"/>
          <w:szCs w:val="24"/>
          <w:lang w:eastAsia="en-GB"/>
        </w:rPr>
      </w:pPr>
      <w:r w:rsidRPr="00251DC4">
        <w:rPr>
          <w:rFonts w:cs="Times New Roman"/>
          <w:szCs w:val="24"/>
          <w:lang w:eastAsia="en-GB"/>
        </w:rPr>
        <w:br w:type="page"/>
      </w:r>
    </w:p>
    <w:p w14:paraId="1B872672" w14:textId="68112F8F" w:rsidR="001B1CF2" w:rsidRPr="00251DC4" w:rsidRDefault="001B1CF2" w:rsidP="001B1CF2">
      <w:pPr>
        <w:rPr>
          <w:rFonts w:cs="Times New Roman"/>
          <w:szCs w:val="24"/>
          <w:lang w:eastAsia="en-GB"/>
        </w:rPr>
      </w:pPr>
      <w:r w:rsidRPr="00251DC4">
        <w:rPr>
          <w:rFonts w:cs="Times New Roman"/>
          <w:szCs w:val="24"/>
          <w:lang w:eastAsia="en-GB"/>
        </w:rPr>
        <w:lastRenderedPageBreak/>
        <w:t>Table 4.1: Justification for Selecting NIST CSF 2.0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23"/>
        <w:gridCol w:w="3330"/>
        <w:gridCol w:w="3763"/>
      </w:tblGrid>
      <w:tr w:rsidR="001B1CF2" w:rsidRPr="00251DC4" w14:paraId="1CAEB011" w14:textId="77777777" w:rsidTr="00E15E49">
        <w:trPr>
          <w:tblHeader/>
          <w:tblCellSpacing w:w="15" w:type="dxa"/>
        </w:trPr>
        <w:tc>
          <w:tcPr>
            <w:tcW w:w="0" w:type="auto"/>
            <w:vAlign w:val="center"/>
            <w:hideMark/>
          </w:tcPr>
          <w:p w14:paraId="2ADA91B9"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Evaluation Criteria</w:t>
            </w:r>
          </w:p>
        </w:tc>
        <w:tc>
          <w:tcPr>
            <w:tcW w:w="0" w:type="auto"/>
            <w:vAlign w:val="center"/>
            <w:hideMark/>
          </w:tcPr>
          <w:p w14:paraId="1E15236D"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NIST CSF 2.0</w:t>
            </w:r>
          </w:p>
        </w:tc>
        <w:tc>
          <w:tcPr>
            <w:tcW w:w="0" w:type="auto"/>
            <w:vAlign w:val="center"/>
            <w:hideMark/>
          </w:tcPr>
          <w:p w14:paraId="2BFCCF6F"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Benefit to FinTech</w:t>
            </w:r>
          </w:p>
        </w:tc>
      </w:tr>
      <w:tr w:rsidR="001B1CF2" w:rsidRPr="00251DC4" w14:paraId="0D382E5D" w14:textId="77777777" w:rsidTr="00E15E49">
        <w:trPr>
          <w:tblCellSpacing w:w="15" w:type="dxa"/>
        </w:trPr>
        <w:tc>
          <w:tcPr>
            <w:tcW w:w="0" w:type="auto"/>
            <w:vAlign w:val="center"/>
            <w:hideMark/>
          </w:tcPr>
          <w:p w14:paraId="74A52E6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Governance</w:t>
            </w:r>
          </w:p>
        </w:tc>
        <w:tc>
          <w:tcPr>
            <w:tcW w:w="0" w:type="auto"/>
            <w:vAlign w:val="center"/>
            <w:hideMark/>
          </w:tcPr>
          <w:p w14:paraId="7FF10D8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Introduces the Govern function</w:t>
            </w:r>
          </w:p>
        </w:tc>
        <w:tc>
          <w:tcPr>
            <w:tcW w:w="0" w:type="auto"/>
            <w:vAlign w:val="center"/>
            <w:hideMark/>
          </w:tcPr>
          <w:p w14:paraId="5DA139ED"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Strengthens executive oversight and accountability</w:t>
            </w:r>
          </w:p>
        </w:tc>
      </w:tr>
      <w:tr w:rsidR="001B1CF2" w:rsidRPr="00251DC4" w14:paraId="4AAE3DB0" w14:textId="77777777" w:rsidTr="00E15E49">
        <w:trPr>
          <w:tblCellSpacing w:w="15" w:type="dxa"/>
        </w:trPr>
        <w:tc>
          <w:tcPr>
            <w:tcW w:w="0" w:type="auto"/>
            <w:vAlign w:val="center"/>
            <w:hideMark/>
          </w:tcPr>
          <w:p w14:paraId="3F57638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Risk Management</w:t>
            </w:r>
          </w:p>
        </w:tc>
        <w:tc>
          <w:tcPr>
            <w:tcW w:w="0" w:type="auto"/>
            <w:vAlign w:val="center"/>
            <w:hideMark/>
          </w:tcPr>
          <w:p w14:paraId="1691FF4C"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Organised around six cybersecurity functions</w:t>
            </w:r>
          </w:p>
        </w:tc>
        <w:tc>
          <w:tcPr>
            <w:tcW w:w="0" w:type="auto"/>
            <w:vAlign w:val="center"/>
            <w:hideMark/>
          </w:tcPr>
          <w:p w14:paraId="79FBC47F"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Provides a structured implementation roadmap</w:t>
            </w:r>
          </w:p>
        </w:tc>
      </w:tr>
      <w:tr w:rsidR="001B1CF2" w:rsidRPr="00251DC4" w14:paraId="0BD60793" w14:textId="77777777" w:rsidTr="00E15E49">
        <w:trPr>
          <w:tblCellSpacing w:w="15" w:type="dxa"/>
        </w:trPr>
        <w:tc>
          <w:tcPr>
            <w:tcW w:w="0" w:type="auto"/>
            <w:vAlign w:val="center"/>
            <w:hideMark/>
          </w:tcPr>
          <w:p w14:paraId="1981650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Cloud Security</w:t>
            </w:r>
          </w:p>
        </w:tc>
        <w:tc>
          <w:tcPr>
            <w:tcW w:w="0" w:type="auto"/>
            <w:vAlign w:val="center"/>
            <w:hideMark/>
          </w:tcPr>
          <w:p w14:paraId="140D7A1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Technology-neutral and cloud compatible</w:t>
            </w:r>
          </w:p>
        </w:tc>
        <w:tc>
          <w:tcPr>
            <w:tcW w:w="0" w:type="auto"/>
            <w:vAlign w:val="center"/>
            <w:hideMark/>
          </w:tcPr>
          <w:p w14:paraId="64116ED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Aligns with Microsoft Azure and Zero Trust</w:t>
            </w:r>
          </w:p>
        </w:tc>
      </w:tr>
      <w:tr w:rsidR="001B1CF2" w:rsidRPr="00251DC4" w14:paraId="6D5EF46C" w14:textId="77777777" w:rsidTr="00E15E49">
        <w:trPr>
          <w:tblCellSpacing w:w="15" w:type="dxa"/>
        </w:trPr>
        <w:tc>
          <w:tcPr>
            <w:tcW w:w="0" w:type="auto"/>
            <w:vAlign w:val="center"/>
            <w:hideMark/>
          </w:tcPr>
          <w:p w14:paraId="2CED413C"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Regulatory Alignment</w:t>
            </w:r>
          </w:p>
        </w:tc>
        <w:tc>
          <w:tcPr>
            <w:tcW w:w="0" w:type="auto"/>
            <w:vAlign w:val="center"/>
            <w:hideMark/>
          </w:tcPr>
          <w:p w14:paraId="24EC626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Maps to ISO 27001, GDPR and DORA</w:t>
            </w:r>
          </w:p>
        </w:tc>
        <w:tc>
          <w:tcPr>
            <w:tcW w:w="0" w:type="auto"/>
            <w:vAlign w:val="center"/>
            <w:hideMark/>
          </w:tcPr>
          <w:p w14:paraId="1B88E25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Simplifies future compliance activities</w:t>
            </w:r>
          </w:p>
        </w:tc>
      </w:tr>
      <w:tr w:rsidR="001B1CF2" w:rsidRPr="00251DC4" w14:paraId="7BF4C063" w14:textId="77777777" w:rsidTr="00E15E49">
        <w:trPr>
          <w:tblCellSpacing w:w="15" w:type="dxa"/>
        </w:trPr>
        <w:tc>
          <w:tcPr>
            <w:tcW w:w="0" w:type="auto"/>
            <w:vAlign w:val="center"/>
            <w:hideMark/>
          </w:tcPr>
          <w:p w14:paraId="6ED3B982"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Scalability</w:t>
            </w:r>
          </w:p>
        </w:tc>
        <w:tc>
          <w:tcPr>
            <w:tcW w:w="0" w:type="auto"/>
            <w:vAlign w:val="center"/>
            <w:hideMark/>
          </w:tcPr>
          <w:p w14:paraId="4B80AE2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Suitable for organisations of all sizes</w:t>
            </w:r>
          </w:p>
        </w:tc>
        <w:tc>
          <w:tcPr>
            <w:tcW w:w="0" w:type="auto"/>
            <w:vAlign w:val="center"/>
            <w:hideMark/>
          </w:tcPr>
          <w:p w14:paraId="22A7019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Supports Series B growth and EU expansion</w:t>
            </w:r>
          </w:p>
        </w:tc>
      </w:tr>
    </w:tbl>
    <w:p w14:paraId="5BCDF412" w14:textId="77777777" w:rsidR="00147269" w:rsidRPr="00251DC4" w:rsidRDefault="00147269" w:rsidP="001B1CF2">
      <w:pPr>
        <w:rPr>
          <w:rFonts w:cs="Times New Roman"/>
          <w:szCs w:val="24"/>
          <w:lang w:eastAsia="en-GB"/>
        </w:rPr>
      </w:pPr>
    </w:p>
    <w:p w14:paraId="7785A18E" w14:textId="556D43C6" w:rsidR="001B1CF2" w:rsidRPr="00251DC4" w:rsidRDefault="001B1CF2" w:rsidP="00147269">
      <w:pPr>
        <w:pStyle w:val="Heading2"/>
        <w:rPr>
          <w:rFonts w:ascii="Times New Roman" w:hAnsi="Times New Roman" w:cs="Times New Roman"/>
          <w:lang w:eastAsia="en-GB"/>
        </w:rPr>
      </w:pPr>
      <w:bookmarkStart w:id="8" w:name="_Toc236102277"/>
      <w:r w:rsidRPr="00251DC4">
        <w:rPr>
          <w:rFonts w:ascii="Times New Roman" w:hAnsi="Times New Roman" w:cs="Times New Roman"/>
          <w:lang w:eastAsia="en-GB"/>
        </w:rPr>
        <w:t>4.2 Zero Trust Architecture</w:t>
      </w:r>
      <w:bookmarkEnd w:id="8"/>
    </w:p>
    <w:p w14:paraId="5C93ADB5" w14:textId="77777777" w:rsidR="001B1CF2" w:rsidRP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t xml:space="preserve">Task 1 concluded that traditional perimeter-based security is insufficient for a cloud-native financial platform. The proposed architecture is therefore based on Zero Trust principles: verify explicitly, apply least-privilege access and assume breach, as shown in Figure 2: </w:t>
      </w:r>
    </w:p>
    <w:p w14:paraId="287BF2F7" w14:textId="77777777" w:rsidR="001B1CF2" w:rsidRP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lastRenderedPageBreak/>
        <w:drawing>
          <wp:inline distT="0" distB="0" distL="0" distR="0" wp14:anchorId="626C0B21" wp14:editId="65F3E3C7">
            <wp:extent cx="5731510" cy="3820795"/>
            <wp:effectExtent l="0" t="0" r="0" b="1905"/>
            <wp:docPr id="1151291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91713" name=""/>
                    <pic:cNvPicPr/>
                  </pic:nvPicPr>
                  <pic:blipFill>
                    <a:blip r:embed="rId6"/>
                    <a:stretch>
                      <a:fillRect/>
                    </a:stretch>
                  </pic:blipFill>
                  <pic:spPr>
                    <a:xfrm>
                      <a:off x="0" y="0"/>
                      <a:ext cx="5731510" cy="3820795"/>
                    </a:xfrm>
                    <a:prstGeom prst="rect">
                      <a:avLst/>
                    </a:prstGeom>
                  </pic:spPr>
                </pic:pic>
              </a:graphicData>
            </a:graphic>
          </wp:inline>
        </w:drawing>
      </w:r>
      <w:r w:rsidRPr="00251DC4">
        <w:rPr>
          <w:rFonts w:cs="Times New Roman"/>
          <w:szCs w:val="24"/>
          <w:lang w:eastAsia="en-GB"/>
        </w:rPr>
        <w:t>Figure 2. Proposed Zero Trust Security Architecture</w:t>
      </w:r>
    </w:p>
    <w:p w14:paraId="3624AB06" w14:textId="77777777" w:rsidR="001B1CF2" w:rsidRPr="00251DC4" w:rsidRDefault="001B1CF2" w:rsidP="001B1CF2">
      <w:pPr>
        <w:pStyle w:val="Heading1"/>
        <w:rPr>
          <w:rFonts w:ascii="Times New Roman" w:hAnsi="Times New Roman" w:cs="Times New Roman"/>
          <w:lang w:eastAsia="en-GB"/>
        </w:rPr>
      </w:pPr>
      <w:bookmarkStart w:id="9" w:name="_Toc236102278"/>
      <w:r w:rsidRPr="00251DC4">
        <w:rPr>
          <w:rFonts w:ascii="Times New Roman" w:hAnsi="Times New Roman" w:cs="Times New Roman"/>
          <w:lang w:eastAsia="en-GB"/>
        </w:rPr>
        <w:t>Workstream 5: Strategic risk assessment</w:t>
      </w:r>
      <w:bookmarkEnd w:id="9"/>
    </w:p>
    <w:p w14:paraId="37C1CEFC" w14:textId="77777777" w:rsidR="001B1CF2" w:rsidRP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t>As FinTech migrates its services to Microsoft Azure and expands into the European market, the organisation faces several strategic cybersecurity risks that could impact operational resilience, regulatory compliance and customer trust. The following risk register identifies the three highest-priority threats, their potential business impact and the recommended mitigation strategies.</w:t>
      </w:r>
    </w:p>
    <w:p w14:paraId="212E702B" w14:textId="77777777" w:rsidR="001B1CF2" w:rsidRPr="00251DC4" w:rsidRDefault="001B1CF2" w:rsidP="001B1CF2">
      <w:pPr>
        <w:rPr>
          <w:rFonts w:cs="Times New Roman"/>
          <w:szCs w:val="24"/>
          <w:lang w:eastAsia="en-GB"/>
        </w:rPr>
      </w:pPr>
      <w:r w:rsidRPr="00251DC4">
        <w:rPr>
          <w:rFonts w:cs="Times New Roman"/>
          <w:szCs w:val="24"/>
          <w:lang w:eastAsia="en-GB"/>
        </w:rPr>
        <w:t>Table 5.1: Strategic risk register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40"/>
        <w:gridCol w:w="1773"/>
        <w:gridCol w:w="3046"/>
        <w:gridCol w:w="1134"/>
        <w:gridCol w:w="747"/>
        <w:gridCol w:w="1776"/>
      </w:tblGrid>
      <w:tr w:rsidR="001B1CF2" w:rsidRPr="00251DC4" w14:paraId="593925D5" w14:textId="77777777" w:rsidTr="00E15E49">
        <w:trPr>
          <w:tblHeader/>
          <w:tblCellSpacing w:w="15" w:type="dxa"/>
        </w:trPr>
        <w:tc>
          <w:tcPr>
            <w:tcW w:w="0" w:type="auto"/>
            <w:vAlign w:val="center"/>
            <w:hideMark/>
          </w:tcPr>
          <w:p w14:paraId="0D91D433"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Risk ID</w:t>
            </w:r>
          </w:p>
        </w:tc>
        <w:tc>
          <w:tcPr>
            <w:tcW w:w="0" w:type="auto"/>
            <w:vAlign w:val="center"/>
            <w:hideMark/>
          </w:tcPr>
          <w:p w14:paraId="2E86734F"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Strategic Threat</w:t>
            </w:r>
          </w:p>
        </w:tc>
        <w:tc>
          <w:tcPr>
            <w:tcW w:w="0" w:type="auto"/>
            <w:vAlign w:val="center"/>
            <w:hideMark/>
          </w:tcPr>
          <w:p w14:paraId="77025BD0"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Potential Business Impact</w:t>
            </w:r>
          </w:p>
        </w:tc>
        <w:tc>
          <w:tcPr>
            <w:tcW w:w="0" w:type="auto"/>
            <w:vAlign w:val="center"/>
            <w:hideMark/>
          </w:tcPr>
          <w:p w14:paraId="30892AA8"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Likelihood</w:t>
            </w:r>
          </w:p>
        </w:tc>
        <w:tc>
          <w:tcPr>
            <w:tcW w:w="0" w:type="auto"/>
            <w:vAlign w:val="center"/>
            <w:hideMark/>
          </w:tcPr>
          <w:p w14:paraId="19363EAF"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Impact</w:t>
            </w:r>
          </w:p>
        </w:tc>
        <w:tc>
          <w:tcPr>
            <w:tcW w:w="0" w:type="auto"/>
            <w:vAlign w:val="center"/>
            <w:hideMark/>
          </w:tcPr>
          <w:p w14:paraId="510F7645"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Recommended Mitigation Strategy</w:t>
            </w:r>
          </w:p>
        </w:tc>
      </w:tr>
      <w:tr w:rsidR="001B1CF2" w:rsidRPr="00251DC4" w14:paraId="17DCF036" w14:textId="77777777" w:rsidTr="00E15E49">
        <w:trPr>
          <w:tblCellSpacing w:w="15" w:type="dxa"/>
        </w:trPr>
        <w:tc>
          <w:tcPr>
            <w:tcW w:w="0" w:type="auto"/>
            <w:vAlign w:val="center"/>
            <w:hideMark/>
          </w:tcPr>
          <w:p w14:paraId="006D4462"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R1</w:t>
            </w:r>
          </w:p>
        </w:tc>
        <w:tc>
          <w:tcPr>
            <w:tcW w:w="0" w:type="auto"/>
            <w:vAlign w:val="center"/>
            <w:hideMark/>
          </w:tcPr>
          <w:p w14:paraId="7AE51B92"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Cloud Misconfiguration</w:t>
            </w:r>
          </w:p>
        </w:tc>
        <w:tc>
          <w:tcPr>
            <w:tcW w:w="0" w:type="auto"/>
            <w:vAlign w:val="center"/>
            <w:hideMark/>
          </w:tcPr>
          <w:p w14:paraId="425FA42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 xml:space="preserve">Misconfigured Azure resources may expose sensitive financial data, resulting in GDPR breaches, financial losses, reputational damage and increased susceptibility to ransomware attacks. Task 1 highlighted the Capital One breach as evidence of the </w:t>
            </w:r>
            <w:r w:rsidRPr="00251DC4">
              <w:rPr>
                <w:rFonts w:eastAsia="Times New Roman" w:cs="Times New Roman"/>
                <w:szCs w:val="24"/>
                <w:lang w:eastAsia="en-GB"/>
              </w:rPr>
              <w:lastRenderedPageBreak/>
              <w:t>significant consequences of cloud configuration failures.</w:t>
            </w:r>
          </w:p>
        </w:tc>
        <w:tc>
          <w:tcPr>
            <w:tcW w:w="0" w:type="auto"/>
            <w:vAlign w:val="center"/>
            <w:hideMark/>
          </w:tcPr>
          <w:p w14:paraId="6A2A4C8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lastRenderedPageBreak/>
              <w:t>High</w:t>
            </w:r>
          </w:p>
        </w:tc>
        <w:tc>
          <w:tcPr>
            <w:tcW w:w="0" w:type="auto"/>
            <w:vAlign w:val="center"/>
            <w:hideMark/>
          </w:tcPr>
          <w:p w14:paraId="73C7C73D"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High</w:t>
            </w:r>
          </w:p>
        </w:tc>
        <w:tc>
          <w:tcPr>
            <w:tcW w:w="0" w:type="auto"/>
            <w:vAlign w:val="center"/>
            <w:hideMark/>
          </w:tcPr>
          <w:p w14:paraId="52335F5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 xml:space="preserve">Implement Microsoft Defender for Cloud (CSPM), Azure Policy, secure configuration baselines, Infrastructure-as-Code validation </w:t>
            </w:r>
            <w:r w:rsidRPr="00251DC4">
              <w:rPr>
                <w:rFonts w:eastAsia="Times New Roman" w:cs="Times New Roman"/>
                <w:szCs w:val="24"/>
                <w:lang w:eastAsia="en-GB"/>
              </w:rPr>
              <w:lastRenderedPageBreak/>
              <w:t>and continuous compliance monitoring.</w:t>
            </w:r>
          </w:p>
        </w:tc>
      </w:tr>
      <w:tr w:rsidR="001B1CF2" w:rsidRPr="00251DC4" w14:paraId="6E16DA19" w14:textId="77777777" w:rsidTr="00E15E49">
        <w:trPr>
          <w:tblCellSpacing w:w="15" w:type="dxa"/>
        </w:trPr>
        <w:tc>
          <w:tcPr>
            <w:tcW w:w="0" w:type="auto"/>
            <w:vAlign w:val="center"/>
            <w:hideMark/>
          </w:tcPr>
          <w:p w14:paraId="11F8012A"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lastRenderedPageBreak/>
              <w:t>R2</w:t>
            </w:r>
          </w:p>
        </w:tc>
        <w:tc>
          <w:tcPr>
            <w:tcW w:w="0" w:type="auto"/>
            <w:vAlign w:val="center"/>
            <w:hideMark/>
          </w:tcPr>
          <w:p w14:paraId="72516EEA"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Identity Compromise</w:t>
            </w:r>
          </w:p>
        </w:tc>
        <w:tc>
          <w:tcPr>
            <w:tcW w:w="0" w:type="auto"/>
            <w:vAlign w:val="center"/>
            <w:hideMark/>
          </w:tcPr>
          <w:p w14:paraId="3918EBDD"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Compromised user or privileged accounts may enable unauthorised access to cloud resources, data theft, privilege escalation and ransomware deployment. As discussed in Task 1, identity-based attacks remain one of the primary threats to cloud environments, reinforcing the need for a Zero Trust security model.</w:t>
            </w:r>
          </w:p>
        </w:tc>
        <w:tc>
          <w:tcPr>
            <w:tcW w:w="0" w:type="auto"/>
            <w:vAlign w:val="center"/>
            <w:hideMark/>
          </w:tcPr>
          <w:p w14:paraId="0C1D437F"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High</w:t>
            </w:r>
          </w:p>
        </w:tc>
        <w:tc>
          <w:tcPr>
            <w:tcW w:w="0" w:type="auto"/>
            <w:vAlign w:val="center"/>
            <w:hideMark/>
          </w:tcPr>
          <w:p w14:paraId="59B31A2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High</w:t>
            </w:r>
          </w:p>
        </w:tc>
        <w:tc>
          <w:tcPr>
            <w:tcW w:w="0" w:type="auto"/>
            <w:vAlign w:val="center"/>
            <w:hideMark/>
          </w:tcPr>
          <w:p w14:paraId="470035A5"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Deploy Microsoft Entra ID, Multi-Factor Authentication (MFA), Conditional Access, Privileged Identity Management (PIM), least-privilege access controls and continuous identity monitoring.</w:t>
            </w:r>
          </w:p>
        </w:tc>
      </w:tr>
      <w:tr w:rsidR="001B1CF2" w:rsidRPr="00251DC4" w14:paraId="79D969A0" w14:textId="77777777" w:rsidTr="00E15E49">
        <w:trPr>
          <w:tblCellSpacing w:w="15" w:type="dxa"/>
        </w:trPr>
        <w:tc>
          <w:tcPr>
            <w:tcW w:w="0" w:type="auto"/>
            <w:vAlign w:val="center"/>
            <w:hideMark/>
          </w:tcPr>
          <w:p w14:paraId="7DB9E52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R3</w:t>
            </w:r>
          </w:p>
        </w:tc>
        <w:tc>
          <w:tcPr>
            <w:tcW w:w="0" w:type="auto"/>
            <w:vAlign w:val="center"/>
            <w:hideMark/>
          </w:tcPr>
          <w:p w14:paraId="5F98A43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Software Supply Chain Compromise</w:t>
            </w:r>
          </w:p>
        </w:tc>
        <w:tc>
          <w:tcPr>
            <w:tcW w:w="0" w:type="auto"/>
            <w:vAlign w:val="center"/>
            <w:hideMark/>
          </w:tcPr>
          <w:p w14:paraId="7DE0C1D8"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Vulnerabilities within third-party software or open-source dependencies may compromise critical applications, disrupt operations and facilitate ransomware attacks. Task 1 referenced the Log4Shellvulnerability as a major example of the widespread impact of software supply chain attacks.</w:t>
            </w:r>
          </w:p>
        </w:tc>
        <w:tc>
          <w:tcPr>
            <w:tcW w:w="0" w:type="auto"/>
            <w:vAlign w:val="center"/>
            <w:hideMark/>
          </w:tcPr>
          <w:p w14:paraId="327982F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Medium</w:t>
            </w:r>
          </w:p>
        </w:tc>
        <w:tc>
          <w:tcPr>
            <w:tcW w:w="0" w:type="auto"/>
            <w:vAlign w:val="center"/>
            <w:hideMark/>
          </w:tcPr>
          <w:p w14:paraId="7AA11A9C"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High</w:t>
            </w:r>
          </w:p>
        </w:tc>
        <w:tc>
          <w:tcPr>
            <w:tcW w:w="0" w:type="auto"/>
            <w:vAlign w:val="center"/>
            <w:hideMark/>
          </w:tcPr>
          <w:p w14:paraId="1186C25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 xml:space="preserve">Adopt Secure </w:t>
            </w:r>
            <w:proofErr w:type="spellStart"/>
            <w:r w:rsidRPr="00251DC4">
              <w:rPr>
                <w:rFonts w:eastAsia="Times New Roman" w:cs="Times New Roman"/>
                <w:szCs w:val="24"/>
                <w:lang w:eastAsia="en-GB"/>
              </w:rPr>
              <w:t>DevSecOps</w:t>
            </w:r>
            <w:proofErr w:type="spellEnd"/>
            <w:r w:rsidRPr="00251DC4">
              <w:rPr>
                <w:rFonts w:eastAsia="Times New Roman" w:cs="Times New Roman"/>
                <w:szCs w:val="24"/>
                <w:lang w:eastAsia="en-GB"/>
              </w:rPr>
              <w:t xml:space="preserve"> practices, Software Composition Analysis (SCA), dependency scanning, code signing and continuous vulnerability management.</w:t>
            </w:r>
          </w:p>
        </w:tc>
      </w:tr>
    </w:tbl>
    <w:p w14:paraId="24B614EA" w14:textId="77777777" w:rsidR="001B1CF2" w:rsidRPr="00251DC4" w:rsidRDefault="001B1CF2" w:rsidP="001B1CF2">
      <w:pPr>
        <w:rPr>
          <w:rFonts w:cs="Times New Roman"/>
          <w:lang w:eastAsia="en-GB"/>
        </w:rPr>
      </w:pPr>
    </w:p>
    <w:p w14:paraId="784D1D29" w14:textId="77777777" w:rsidR="001B1CF2" w:rsidRPr="00251DC4" w:rsidRDefault="001B1CF2" w:rsidP="00251DC4">
      <w:pPr>
        <w:pStyle w:val="Heading2"/>
        <w:rPr>
          <w:rFonts w:ascii="Times New Roman" w:hAnsi="Times New Roman" w:cs="Times New Roman"/>
          <w:lang w:eastAsia="en-GB"/>
        </w:rPr>
      </w:pPr>
      <w:r w:rsidRPr="00251DC4">
        <w:rPr>
          <w:rFonts w:ascii="Times New Roman" w:hAnsi="Times New Roman" w:cs="Times New Roman"/>
          <w:lang w:eastAsia="en-GB"/>
        </w:rPr>
        <w:t>Risk evaluation</w:t>
      </w:r>
    </w:p>
    <w:p w14:paraId="5F467F56" w14:textId="77777777" w:rsid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t xml:space="preserve">Cloud misconfiguration and identity compromise are the most significant strategic risks as demonstrated by the Capital One breach in Task 1; cloud configuration weaknesses can expose sensitive customer data and increase the likelihood of follow-on attacks, including ransomware. Similarly, as compromised identities remain one of the most common methods attackers use to </w:t>
      </w:r>
      <w:r w:rsidRPr="00251DC4">
        <w:rPr>
          <w:rFonts w:eastAsia="Times New Roman" w:cs="Times New Roman"/>
          <w:szCs w:val="24"/>
          <w:lang w:eastAsia="en-GB"/>
        </w:rPr>
        <w:lastRenderedPageBreak/>
        <w:t>gain unauthorised access to cloud environments, strong identity governance is fundamental to a Zero Trust architecture.</w:t>
      </w:r>
    </w:p>
    <w:p w14:paraId="4E01EC0E" w14:textId="7F1EE50F" w:rsidR="001B1CF2" w:rsidRP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t>Software supply chain compromise also presents a significant strategic risk because modern cloud-native applications rely heavily on third-party software components. The Log4Shell incident in Task 1 illustrated how a single vulnerable dependency could affect thousands of organisations worldwide, causing operational disruption and increasing exposure to cyberattacks.</w:t>
      </w:r>
    </w:p>
    <w:p w14:paraId="3AC9BDFC" w14:textId="77777777" w:rsidR="001B1CF2" w:rsidRP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t xml:space="preserve">Overall, the implementation of the NIST Cybersecurity Framework (CSF) 2.0, supported by Zero Trust principles, Microsoft Entra ID, Microsoft Defender for Cloud, Microsoft Sentinel and Secure </w:t>
      </w:r>
      <w:proofErr w:type="spellStart"/>
      <w:r w:rsidRPr="00251DC4">
        <w:rPr>
          <w:rFonts w:eastAsia="Times New Roman" w:cs="Times New Roman"/>
          <w:szCs w:val="24"/>
          <w:lang w:eastAsia="en-GB"/>
        </w:rPr>
        <w:t>DevSecOps</w:t>
      </w:r>
      <w:proofErr w:type="spellEnd"/>
      <w:r w:rsidRPr="00251DC4">
        <w:rPr>
          <w:rFonts w:eastAsia="Times New Roman" w:cs="Times New Roman"/>
          <w:szCs w:val="24"/>
          <w:lang w:eastAsia="en-GB"/>
        </w:rPr>
        <w:t> provides a layered security approach that reduces both the likelihood and impact of these strategic risks while supporting compliance with GDPR and DORA.</w:t>
      </w:r>
    </w:p>
    <w:p w14:paraId="688A51C6" w14:textId="77777777" w:rsidR="001B1CF2" w:rsidRPr="00251DC4" w:rsidRDefault="001B1CF2" w:rsidP="001B1CF2">
      <w:pPr>
        <w:pStyle w:val="Heading1"/>
        <w:rPr>
          <w:rFonts w:ascii="Times New Roman" w:hAnsi="Times New Roman" w:cs="Times New Roman"/>
          <w:lang w:eastAsia="en-GB"/>
        </w:rPr>
      </w:pPr>
      <w:bookmarkStart w:id="10" w:name="_Toc236102279"/>
      <w:r w:rsidRPr="00251DC4">
        <w:rPr>
          <w:rFonts w:ascii="Times New Roman" w:hAnsi="Times New Roman" w:cs="Times New Roman"/>
          <w:lang w:eastAsia="en-GB"/>
        </w:rPr>
        <w:t>Workstream 6: Incident response &amp; business continuity</w:t>
      </w:r>
      <w:bookmarkEnd w:id="10"/>
    </w:p>
    <w:p w14:paraId="1D7001FB" w14:textId="77777777" w:rsidR="001B1CF2" w:rsidRPr="00251DC4" w:rsidRDefault="001B1CF2" w:rsidP="001B1CF2">
      <w:pPr>
        <w:spacing w:before="100" w:beforeAutospacing="1" w:after="100" w:afterAutospacing="1"/>
        <w:rPr>
          <w:rFonts w:eastAsia="Times New Roman" w:cs="Times New Roman"/>
          <w:szCs w:val="24"/>
          <w:lang w:eastAsia="en-GB"/>
        </w:rPr>
      </w:pPr>
      <w:r w:rsidRPr="00251DC4">
        <w:rPr>
          <w:rFonts w:eastAsia="Times New Roman" w:cs="Times New Roman"/>
          <w:szCs w:val="24"/>
          <w:lang w:eastAsia="en-GB"/>
        </w:rPr>
        <w:t>As FinTech is already experiencing ransomware attacks, an effective incident response capability is essential to minimise operational disruption, support regulatory compliance and ensure rapid recovery. The following ransomware response playbook outlines the key response activities and supporting technologies, while the ensuing ransomware playbook complements the Zero Trust architecture and NIST CSF 2.0 implementation in previous workstreams by providing a structured process for detecting, containing and recovering from ransomware incidents while maintaining business continuity and supporting GDPR and DORA compliance.</w:t>
      </w:r>
    </w:p>
    <w:p w14:paraId="6D08C6FC" w14:textId="77777777" w:rsidR="001B1CF2" w:rsidRPr="00251DC4" w:rsidRDefault="001B1CF2" w:rsidP="001B1CF2">
      <w:pPr>
        <w:rPr>
          <w:rFonts w:cs="Times New Roman"/>
          <w:szCs w:val="24"/>
          <w:lang w:eastAsia="en-GB"/>
        </w:rPr>
      </w:pPr>
      <w:r w:rsidRPr="00251DC4">
        <w:rPr>
          <w:rFonts w:cs="Times New Roman"/>
          <w:szCs w:val="24"/>
          <w:lang w:eastAsia="en-GB"/>
        </w:rPr>
        <w:t>Table 6.1: Ransomware response playbook</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4"/>
        <w:gridCol w:w="4325"/>
        <w:gridCol w:w="3137"/>
      </w:tblGrid>
      <w:tr w:rsidR="001B1CF2" w:rsidRPr="00251DC4" w14:paraId="44456F64" w14:textId="77777777" w:rsidTr="00E15E49">
        <w:trPr>
          <w:tblHeader/>
          <w:tblCellSpacing w:w="15" w:type="dxa"/>
        </w:trPr>
        <w:tc>
          <w:tcPr>
            <w:tcW w:w="0" w:type="auto"/>
            <w:vAlign w:val="center"/>
            <w:hideMark/>
          </w:tcPr>
          <w:p w14:paraId="04C6925C"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Incident Phase</w:t>
            </w:r>
          </w:p>
        </w:tc>
        <w:tc>
          <w:tcPr>
            <w:tcW w:w="0" w:type="auto"/>
            <w:vAlign w:val="center"/>
            <w:hideMark/>
          </w:tcPr>
          <w:p w14:paraId="50E97A9C"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Key Actions</w:t>
            </w:r>
          </w:p>
        </w:tc>
        <w:tc>
          <w:tcPr>
            <w:tcW w:w="0" w:type="auto"/>
            <w:vAlign w:val="center"/>
            <w:hideMark/>
          </w:tcPr>
          <w:p w14:paraId="28118C70"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Supporting Technologies</w:t>
            </w:r>
          </w:p>
        </w:tc>
      </w:tr>
      <w:tr w:rsidR="001B1CF2" w:rsidRPr="00251DC4" w14:paraId="546EFB60" w14:textId="77777777" w:rsidTr="00E15E49">
        <w:trPr>
          <w:tblCellSpacing w:w="15" w:type="dxa"/>
        </w:trPr>
        <w:tc>
          <w:tcPr>
            <w:tcW w:w="0" w:type="auto"/>
            <w:vAlign w:val="center"/>
            <w:hideMark/>
          </w:tcPr>
          <w:p w14:paraId="36CF2CD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Preparation</w:t>
            </w:r>
          </w:p>
        </w:tc>
        <w:tc>
          <w:tcPr>
            <w:tcW w:w="0" w:type="auto"/>
            <w:vAlign w:val="center"/>
            <w:hideMark/>
          </w:tcPr>
          <w:p w14:paraId="44F801F5"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Maintain incident response plans, security awareness training, immutable backups and disaster recovery testing.</w:t>
            </w:r>
          </w:p>
        </w:tc>
        <w:tc>
          <w:tcPr>
            <w:tcW w:w="0" w:type="auto"/>
            <w:vAlign w:val="center"/>
            <w:hideMark/>
          </w:tcPr>
          <w:p w14:paraId="796FE34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Azure Backup, Azure Site Recovery, Microsoft Defender XDR, Microsoft Sentinel</w:t>
            </w:r>
          </w:p>
        </w:tc>
      </w:tr>
      <w:tr w:rsidR="001B1CF2" w:rsidRPr="00251DC4" w14:paraId="206F3C72" w14:textId="77777777" w:rsidTr="00E15E49">
        <w:trPr>
          <w:tblCellSpacing w:w="15" w:type="dxa"/>
        </w:trPr>
        <w:tc>
          <w:tcPr>
            <w:tcW w:w="0" w:type="auto"/>
            <w:vAlign w:val="center"/>
            <w:hideMark/>
          </w:tcPr>
          <w:p w14:paraId="40AE70F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Detection &amp; Analysis</w:t>
            </w:r>
          </w:p>
        </w:tc>
        <w:tc>
          <w:tcPr>
            <w:tcW w:w="0" w:type="auto"/>
            <w:vAlign w:val="center"/>
            <w:hideMark/>
          </w:tcPr>
          <w:p w14:paraId="7F30541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Detect ransomware activity, validate alerts and determine the scope of affected systems.</w:t>
            </w:r>
          </w:p>
        </w:tc>
        <w:tc>
          <w:tcPr>
            <w:tcW w:w="0" w:type="auto"/>
            <w:vAlign w:val="center"/>
            <w:hideMark/>
          </w:tcPr>
          <w:p w14:paraId="7C172EE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Microsoft Sentinel, Defender XDR, Defender for Cloud</w:t>
            </w:r>
          </w:p>
        </w:tc>
      </w:tr>
      <w:tr w:rsidR="001B1CF2" w:rsidRPr="00251DC4" w14:paraId="3632EC9C" w14:textId="77777777" w:rsidTr="00E15E49">
        <w:trPr>
          <w:tblCellSpacing w:w="15" w:type="dxa"/>
        </w:trPr>
        <w:tc>
          <w:tcPr>
            <w:tcW w:w="0" w:type="auto"/>
            <w:vAlign w:val="center"/>
            <w:hideMark/>
          </w:tcPr>
          <w:p w14:paraId="666EA3E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Containment</w:t>
            </w:r>
          </w:p>
        </w:tc>
        <w:tc>
          <w:tcPr>
            <w:tcW w:w="0" w:type="auto"/>
            <w:vAlign w:val="center"/>
            <w:hideMark/>
          </w:tcPr>
          <w:p w14:paraId="3D91A6A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Isolate compromised devices, disable affected accounts, revoke privileged access and prevent lateral movement.</w:t>
            </w:r>
          </w:p>
        </w:tc>
        <w:tc>
          <w:tcPr>
            <w:tcW w:w="0" w:type="auto"/>
            <w:vAlign w:val="center"/>
            <w:hideMark/>
          </w:tcPr>
          <w:p w14:paraId="17B2820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Microsoft Entra ID, MFA, Conditional Access, PIM</w:t>
            </w:r>
          </w:p>
        </w:tc>
      </w:tr>
      <w:tr w:rsidR="001B1CF2" w:rsidRPr="00251DC4" w14:paraId="7B33D8BA" w14:textId="77777777" w:rsidTr="00E15E49">
        <w:trPr>
          <w:tblCellSpacing w:w="15" w:type="dxa"/>
        </w:trPr>
        <w:tc>
          <w:tcPr>
            <w:tcW w:w="0" w:type="auto"/>
            <w:vAlign w:val="center"/>
            <w:hideMark/>
          </w:tcPr>
          <w:p w14:paraId="5AABDAA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Eradication</w:t>
            </w:r>
          </w:p>
        </w:tc>
        <w:tc>
          <w:tcPr>
            <w:tcW w:w="0" w:type="auto"/>
            <w:vAlign w:val="center"/>
            <w:hideMark/>
          </w:tcPr>
          <w:p w14:paraId="0DEF816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Remove malware, patch vulnerabilities, rotate credentials and verify system integrity.</w:t>
            </w:r>
          </w:p>
        </w:tc>
        <w:tc>
          <w:tcPr>
            <w:tcW w:w="0" w:type="auto"/>
            <w:vAlign w:val="center"/>
            <w:hideMark/>
          </w:tcPr>
          <w:p w14:paraId="3842F16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Defender XDR, Defender for Cloud</w:t>
            </w:r>
          </w:p>
        </w:tc>
      </w:tr>
      <w:tr w:rsidR="001B1CF2" w:rsidRPr="00251DC4" w14:paraId="731CF5A5" w14:textId="77777777" w:rsidTr="00E15E49">
        <w:trPr>
          <w:tblCellSpacing w:w="15" w:type="dxa"/>
        </w:trPr>
        <w:tc>
          <w:tcPr>
            <w:tcW w:w="0" w:type="auto"/>
            <w:vAlign w:val="center"/>
            <w:hideMark/>
          </w:tcPr>
          <w:p w14:paraId="0F0E4F62"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lastRenderedPageBreak/>
              <w:t>Recovery</w:t>
            </w:r>
          </w:p>
        </w:tc>
        <w:tc>
          <w:tcPr>
            <w:tcW w:w="0" w:type="auto"/>
            <w:vAlign w:val="center"/>
            <w:hideMark/>
          </w:tcPr>
          <w:p w14:paraId="3308272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Restore systems from verified immutable backups, validate services and monitor for reinfection before returning to production.</w:t>
            </w:r>
          </w:p>
        </w:tc>
        <w:tc>
          <w:tcPr>
            <w:tcW w:w="0" w:type="auto"/>
            <w:vAlign w:val="center"/>
            <w:hideMark/>
          </w:tcPr>
          <w:p w14:paraId="5AD3317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Azure Backup (Immutable Vault), Azure Site Recovery, Microsoft Sentinel</w:t>
            </w:r>
          </w:p>
        </w:tc>
      </w:tr>
      <w:tr w:rsidR="001B1CF2" w:rsidRPr="00251DC4" w14:paraId="406C936A" w14:textId="77777777" w:rsidTr="00E15E49">
        <w:trPr>
          <w:tblCellSpacing w:w="15" w:type="dxa"/>
        </w:trPr>
        <w:tc>
          <w:tcPr>
            <w:tcW w:w="0" w:type="auto"/>
            <w:vAlign w:val="center"/>
            <w:hideMark/>
          </w:tcPr>
          <w:p w14:paraId="3908B83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Post-Incident Review</w:t>
            </w:r>
          </w:p>
        </w:tc>
        <w:tc>
          <w:tcPr>
            <w:tcW w:w="0" w:type="auto"/>
            <w:vAlign w:val="center"/>
            <w:hideMark/>
          </w:tcPr>
          <w:p w14:paraId="1E90312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Review lessons learned, update controls and revise incident response procedures.</w:t>
            </w:r>
          </w:p>
        </w:tc>
        <w:tc>
          <w:tcPr>
            <w:tcW w:w="0" w:type="auto"/>
            <w:vAlign w:val="center"/>
            <w:hideMark/>
          </w:tcPr>
          <w:p w14:paraId="1CBAAC3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NIST CSF 2.0, Microsoft Sentinel</w:t>
            </w:r>
          </w:p>
        </w:tc>
      </w:tr>
    </w:tbl>
    <w:p w14:paraId="20602B84" w14:textId="77777777" w:rsidR="001B1CF2" w:rsidRPr="00251DC4" w:rsidRDefault="001B1CF2" w:rsidP="001B1CF2">
      <w:pPr>
        <w:rPr>
          <w:rFonts w:cs="Times New Roman"/>
          <w:lang w:eastAsia="en-GB"/>
        </w:rPr>
      </w:pPr>
    </w:p>
    <w:p w14:paraId="247230E9" w14:textId="77777777" w:rsidR="001B1CF2" w:rsidRPr="00251DC4" w:rsidRDefault="001B1CF2" w:rsidP="001B1CF2">
      <w:pPr>
        <w:rPr>
          <w:rFonts w:cs="Times New Roman"/>
          <w:szCs w:val="24"/>
          <w:lang w:eastAsia="en-GB"/>
        </w:rPr>
      </w:pPr>
      <w:r w:rsidRPr="00251DC4">
        <w:rPr>
          <w:rFonts w:cs="Times New Roman"/>
          <w:szCs w:val="24"/>
          <w:lang w:eastAsia="en-GB"/>
        </w:rPr>
        <w:t>Table 6.2: Incident Communication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15"/>
        <w:gridCol w:w="4656"/>
        <w:gridCol w:w="2545"/>
      </w:tblGrid>
      <w:tr w:rsidR="001B1CF2" w:rsidRPr="00251DC4" w14:paraId="635A8733" w14:textId="77777777" w:rsidTr="00E15E49">
        <w:trPr>
          <w:tblHeader/>
          <w:tblCellSpacing w:w="15" w:type="dxa"/>
        </w:trPr>
        <w:tc>
          <w:tcPr>
            <w:tcW w:w="0" w:type="auto"/>
            <w:vAlign w:val="center"/>
            <w:hideMark/>
          </w:tcPr>
          <w:p w14:paraId="4BCB18D6"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Stakeholder</w:t>
            </w:r>
          </w:p>
        </w:tc>
        <w:tc>
          <w:tcPr>
            <w:tcW w:w="0" w:type="auto"/>
            <w:vAlign w:val="center"/>
            <w:hideMark/>
          </w:tcPr>
          <w:p w14:paraId="49849A71"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Communication</w:t>
            </w:r>
          </w:p>
        </w:tc>
        <w:tc>
          <w:tcPr>
            <w:tcW w:w="0" w:type="auto"/>
            <w:vAlign w:val="center"/>
            <w:hideMark/>
          </w:tcPr>
          <w:p w14:paraId="7F25AC93"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Timing</w:t>
            </w:r>
          </w:p>
        </w:tc>
      </w:tr>
      <w:tr w:rsidR="001B1CF2" w:rsidRPr="00251DC4" w14:paraId="3281CF28" w14:textId="77777777" w:rsidTr="00E15E49">
        <w:trPr>
          <w:tblCellSpacing w:w="15" w:type="dxa"/>
        </w:trPr>
        <w:tc>
          <w:tcPr>
            <w:tcW w:w="0" w:type="auto"/>
            <w:vAlign w:val="center"/>
            <w:hideMark/>
          </w:tcPr>
          <w:p w14:paraId="23019CDA"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Executive Management</w:t>
            </w:r>
          </w:p>
        </w:tc>
        <w:tc>
          <w:tcPr>
            <w:tcW w:w="0" w:type="auto"/>
            <w:vAlign w:val="center"/>
            <w:hideMark/>
          </w:tcPr>
          <w:p w14:paraId="0FEB0B3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Incident status, business impact and recovery progress</w:t>
            </w:r>
          </w:p>
        </w:tc>
        <w:tc>
          <w:tcPr>
            <w:tcW w:w="0" w:type="auto"/>
            <w:vAlign w:val="center"/>
            <w:hideMark/>
          </w:tcPr>
          <w:p w14:paraId="4719594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Immediately and throughout the incident</w:t>
            </w:r>
          </w:p>
        </w:tc>
      </w:tr>
      <w:tr w:rsidR="001B1CF2" w:rsidRPr="00251DC4" w14:paraId="2B601420" w14:textId="77777777" w:rsidTr="00E15E49">
        <w:trPr>
          <w:tblCellSpacing w:w="15" w:type="dxa"/>
        </w:trPr>
        <w:tc>
          <w:tcPr>
            <w:tcW w:w="0" w:type="auto"/>
            <w:vAlign w:val="center"/>
            <w:hideMark/>
          </w:tcPr>
          <w:p w14:paraId="38F5026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IT &amp; Security Teams</w:t>
            </w:r>
          </w:p>
        </w:tc>
        <w:tc>
          <w:tcPr>
            <w:tcW w:w="0" w:type="auto"/>
            <w:vAlign w:val="center"/>
            <w:hideMark/>
          </w:tcPr>
          <w:p w14:paraId="2A691CB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Coordinate investigation, containment and recovery</w:t>
            </w:r>
          </w:p>
        </w:tc>
        <w:tc>
          <w:tcPr>
            <w:tcW w:w="0" w:type="auto"/>
            <w:vAlign w:val="center"/>
            <w:hideMark/>
          </w:tcPr>
          <w:p w14:paraId="1D7EFA9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Continuous</w:t>
            </w:r>
          </w:p>
        </w:tc>
      </w:tr>
      <w:tr w:rsidR="001B1CF2" w:rsidRPr="00251DC4" w14:paraId="5BB35E80" w14:textId="77777777" w:rsidTr="00E15E49">
        <w:trPr>
          <w:tblCellSpacing w:w="15" w:type="dxa"/>
        </w:trPr>
        <w:tc>
          <w:tcPr>
            <w:tcW w:w="0" w:type="auto"/>
            <w:vAlign w:val="center"/>
            <w:hideMark/>
          </w:tcPr>
          <w:p w14:paraId="1FF0DBF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Employees</w:t>
            </w:r>
          </w:p>
        </w:tc>
        <w:tc>
          <w:tcPr>
            <w:tcW w:w="0" w:type="auto"/>
            <w:vAlign w:val="center"/>
            <w:hideMark/>
          </w:tcPr>
          <w:p w14:paraId="7633E32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Guidance on affected systems, password resets and business continuity arrangements</w:t>
            </w:r>
          </w:p>
        </w:tc>
        <w:tc>
          <w:tcPr>
            <w:tcW w:w="0" w:type="auto"/>
            <w:vAlign w:val="center"/>
            <w:hideMark/>
          </w:tcPr>
          <w:p w14:paraId="3F9F41FD"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Following containment</w:t>
            </w:r>
          </w:p>
        </w:tc>
      </w:tr>
      <w:tr w:rsidR="001B1CF2" w:rsidRPr="00251DC4" w14:paraId="5ADA4E60" w14:textId="77777777" w:rsidTr="00E15E49">
        <w:trPr>
          <w:tblCellSpacing w:w="15" w:type="dxa"/>
        </w:trPr>
        <w:tc>
          <w:tcPr>
            <w:tcW w:w="0" w:type="auto"/>
            <w:vAlign w:val="center"/>
            <w:hideMark/>
          </w:tcPr>
          <w:p w14:paraId="0B3D3B4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Customers</w:t>
            </w:r>
          </w:p>
        </w:tc>
        <w:tc>
          <w:tcPr>
            <w:tcW w:w="0" w:type="auto"/>
            <w:vAlign w:val="center"/>
            <w:hideMark/>
          </w:tcPr>
          <w:p w14:paraId="4718DAE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Service updates and recovery information where appropriate</w:t>
            </w:r>
          </w:p>
        </w:tc>
        <w:tc>
          <w:tcPr>
            <w:tcW w:w="0" w:type="auto"/>
            <w:vAlign w:val="center"/>
            <w:hideMark/>
          </w:tcPr>
          <w:p w14:paraId="1F92B945"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During recovery</w:t>
            </w:r>
          </w:p>
        </w:tc>
      </w:tr>
      <w:tr w:rsidR="001B1CF2" w:rsidRPr="00251DC4" w14:paraId="7B59AF3C" w14:textId="77777777" w:rsidTr="00E15E49">
        <w:trPr>
          <w:tblCellSpacing w:w="15" w:type="dxa"/>
        </w:trPr>
        <w:tc>
          <w:tcPr>
            <w:tcW w:w="0" w:type="auto"/>
            <w:vAlign w:val="center"/>
            <w:hideMark/>
          </w:tcPr>
          <w:p w14:paraId="03FDAF9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Regulators</w:t>
            </w:r>
          </w:p>
        </w:tc>
        <w:tc>
          <w:tcPr>
            <w:tcW w:w="0" w:type="auto"/>
            <w:vAlign w:val="center"/>
            <w:hideMark/>
          </w:tcPr>
          <w:p w14:paraId="3644F65D"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Notify reportable incidents in accordance with GDPR and DORA</w:t>
            </w:r>
          </w:p>
        </w:tc>
        <w:tc>
          <w:tcPr>
            <w:tcW w:w="0" w:type="auto"/>
            <w:vAlign w:val="center"/>
            <w:hideMark/>
          </w:tcPr>
          <w:p w14:paraId="0EAC197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Within applicable regulatory timeframes</w:t>
            </w:r>
          </w:p>
        </w:tc>
      </w:tr>
    </w:tbl>
    <w:p w14:paraId="3AA49C2A" w14:textId="77777777" w:rsidR="001B1CF2" w:rsidRPr="00251DC4" w:rsidRDefault="001B1CF2" w:rsidP="001B1CF2">
      <w:pPr>
        <w:rPr>
          <w:rFonts w:cs="Times New Roman"/>
          <w:lang w:eastAsia="en-GB"/>
        </w:rPr>
      </w:pPr>
    </w:p>
    <w:p w14:paraId="5807CB67" w14:textId="77777777" w:rsidR="001B1CF2" w:rsidRPr="00251DC4" w:rsidRDefault="001B1CF2" w:rsidP="001B1CF2">
      <w:pPr>
        <w:pStyle w:val="Heading1"/>
        <w:rPr>
          <w:rFonts w:ascii="Times New Roman" w:hAnsi="Times New Roman" w:cs="Times New Roman"/>
          <w:lang w:eastAsia="en-GB"/>
        </w:rPr>
      </w:pPr>
      <w:bookmarkStart w:id="11" w:name="_Toc236102280"/>
      <w:r w:rsidRPr="00251DC4">
        <w:rPr>
          <w:rFonts w:ascii="Times New Roman" w:hAnsi="Times New Roman" w:cs="Times New Roman"/>
          <w:lang w:eastAsia="en-GB"/>
        </w:rPr>
        <w:t>Workstream 7: Governance &amp; Strategic Roadmap</w:t>
      </w:r>
      <w:bookmarkEnd w:id="11"/>
    </w:p>
    <w:p w14:paraId="7B16BECF" w14:textId="2E8FEF11" w:rsidR="001B1CF2" w:rsidRPr="00251DC4" w:rsidRDefault="001B1CF2" w:rsidP="001B1CF2">
      <w:pPr>
        <w:rPr>
          <w:rFonts w:eastAsia="Times New Roman" w:cs="Times New Roman"/>
          <w:szCs w:val="24"/>
          <w:lang w:eastAsia="en-GB"/>
        </w:rPr>
      </w:pPr>
      <w:r w:rsidRPr="00251DC4">
        <w:rPr>
          <w:rFonts w:cs="Times New Roman"/>
          <w:szCs w:val="24"/>
          <w:lang w:eastAsia="en-GB"/>
        </w:rPr>
        <w:t>Effective cybersecurity</w:t>
      </w:r>
      <w:r w:rsidRPr="00251DC4">
        <w:rPr>
          <w:rFonts w:eastAsia="Times New Roman" w:cs="Times New Roman"/>
          <w:szCs w:val="24"/>
          <w:lang w:eastAsia="en-GB"/>
        </w:rPr>
        <w:t xml:space="preserve"> governance requires executive oversight to ensure that security initiatives support business objectives, regulatory compliance and operational resilience. The proposed Cyber Security Steering Committee will provide strategic direction, monitor implementation progress and oversee cybersecurity risk throughout FinTech's Azure migration and EU expansion.</w:t>
      </w:r>
    </w:p>
    <w:p w14:paraId="32A309AE" w14:textId="77777777" w:rsidR="001B1CF2" w:rsidRPr="00251DC4" w:rsidRDefault="001B1CF2" w:rsidP="001B1CF2">
      <w:pPr>
        <w:rPr>
          <w:rFonts w:cs="Times New Roman"/>
          <w:szCs w:val="24"/>
          <w:lang w:eastAsia="en-GB"/>
        </w:rPr>
      </w:pPr>
      <w:r w:rsidRPr="00251DC4">
        <w:rPr>
          <w:rFonts w:cs="Times New Roman"/>
          <w:szCs w:val="24"/>
          <w:lang w:eastAsia="en-GB"/>
        </w:rPr>
        <w:t>Table 7.1: Proposed Cyber Security Steering Committee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157"/>
        <w:gridCol w:w="4859"/>
      </w:tblGrid>
      <w:tr w:rsidR="001B1CF2" w:rsidRPr="00251DC4" w14:paraId="224EB7F3" w14:textId="77777777" w:rsidTr="00E15E49">
        <w:trPr>
          <w:tblHeader/>
          <w:tblCellSpacing w:w="15" w:type="dxa"/>
        </w:trPr>
        <w:tc>
          <w:tcPr>
            <w:tcW w:w="0" w:type="auto"/>
            <w:vAlign w:val="center"/>
            <w:hideMark/>
          </w:tcPr>
          <w:p w14:paraId="33B72311"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Role</w:t>
            </w:r>
          </w:p>
        </w:tc>
        <w:tc>
          <w:tcPr>
            <w:tcW w:w="0" w:type="auto"/>
            <w:vAlign w:val="center"/>
            <w:hideMark/>
          </w:tcPr>
          <w:p w14:paraId="13C90843"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Primary Responsibility</w:t>
            </w:r>
          </w:p>
        </w:tc>
      </w:tr>
      <w:tr w:rsidR="001B1CF2" w:rsidRPr="00251DC4" w14:paraId="08A891C1" w14:textId="77777777" w:rsidTr="00E15E49">
        <w:trPr>
          <w:tblCellSpacing w:w="15" w:type="dxa"/>
        </w:trPr>
        <w:tc>
          <w:tcPr>
            <w:tcW w:w="0" w:type="auto"/>
            <w:vAlign w:val="center"/>
            <w:hideMark/>
          </w:tcPr>
          <w:p w14:paraId="40F3B54D"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Chief Executive Officer (CEO)</w:t>
            </w:r>
          </w:p>
        </w:tc>
        <w:tc>
          <w:tcPr>
            <w:tcW w:w="0" w:type="auto"/>
            <w:vAlign w:val="center"/>
            <w:hideMark/>
          </w:tcPr>
          <w:p w14:paraId="607F248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Executive sponsor, strategic oversight and business alignment.</w:t>
            </w:r>
          </w:p>
        </w:tc>
      </w:tr>
      <w:tr w:rsidR="001B1CF2" w:rsidRPr="00251DC4" w14:paraId="776DAF08" w14:textId="77777777" w:rsidTr="00E15E49">
        <w:trPr>
          <w:tblCellSpacing w:w="15" w:type="dxa"/>
        </w:trPr>
        <w:tc>
          <w:tcPr>
            <w:tcW w:w="0" w:type="auto"/>
            <w:vAlign w:val="center"/>
            <w:hideMark/>
          </w:tcPr>
          <w:p w14:paraId="45EC5CA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Chief Financial Officer (CFO)</w:t>
            </w:r>
          </w:p>
        </w:tc>
        <w:tc>
          <w:tcPr>
            <w:tcW w:w="0" w:type="auto"/>
            <w:vAlign w:val="center"/>
            <w:hideMark/>
          </w:tcPr>
          <w:p w14:paraId="17AA32D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Budget approval, investment decisions and financial risk oversight.</w:t>
            </w:r>
          </w:p>
        </w:tc>
      </w:tr>
      <w:tr w:rsidR="001B1CF2" w:rsidRPr="00251DC4" w14:paraId="0C7BAEC8" w14:textId="77777777" w:rsidTr="00E15E49">
        <w:trPr>
          <w:tblCellSpacing w:w="15" w:type="dxa"/>
        </w:trPr>
        <w:tc>
          <w:tcPr>
            <w:tcW w:w="0" w:type="auto"/>
            <w:vAlign w:val="center"/>
            <w:hideMark/>
          </w:tcPr>
          <w:p w14:paraId="45E0BDF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lastRenderedPageBreak/>
              <w:t>Chief Information Officer (CIO)</w:t>
            </w:r>
          </w:p>
        </w:tc>
        <w:tc>
          <w:tcPr>
            <w:tcW w:w="0" w:type="auto"/>
            <w:vAlign w:val="center"/>
            <w:hideMark/>
          </w:tcPr>
          <w:p w14:paraId="59E39FF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Delivery of cloud migration and technology strategy.</w:t>
            </w:r>
          </w:p>
        </w:tc>
      </w:tr>
      <w:tr w:rsidR="001B1CF2" w:rsidRPr="00251DC4" w14:paraId="0F6D7021" w14:textId="77777777" w:rsidTr="00E15E49">
        <w:trPr>
          <w:tblCellSpacing w:w="15" w:type="dxa"/>
        </w:trPr>
        <w:tc>
          <w:tcPr>
            <w:tcW w:w="0" w:type="auto"/>
            <w:vAlign w:val="center"/>
            <w:hideMark/>
          </w:tcPr>
          <w:p w14:paraId="7FECD40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Chief Information Security Officer (CISO)/Head of Cyber Security</w:t>
            </w:r>
          </w:p>
        </w:tc>
        <w:tc>
          <w:tcPr>
            <w:tcW w:w="0" w:type="auto"/>
            <w:vAlign w:val="center"/>
            <w:hideMark/>
          </w:tcPr>
          <w:p w14:paraId="3B8F9C5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Lead cybersecurity strategy, risk management and NIST CSF implementation.</w:t>
            </w:r>
          </w:p>
        </w:tc>
      </w:tr>
      <w:tr w:rsidR="001B1CF2" w:rsidRPr="00251DC4" w14:paraId="6BBD2425" w14:textId="77777777" w:rsidTr="00E15E49">
        <w:trPr>
          <w:tblCellSpacing w:w="15" w:type="dxa"/>
        </w:trPr>
        <w:tc>
          <w:tcPr>
            <w:tcW w:w="0" w:type="auto"/>
            <w:vAlign w:val="center"/>
            <w:hideMark/>
          </w:tcPr>
          <w:p w14:paraId="7473502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Head of Legal &amp; Compliance</w:t>
            </w:r>
          </w:p>
        </w:tc>
        <w:tc>
          <w:tcPr>
            <w:tcW w:w="0" w:type="auto"/>
            <w:vAlign w:val="center"/>
            <w:hideMark/>
          </w:tcPr>
          <w:p w14:paraId="06D67117"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Ensure compliance with GDPR, DORA and regulatory obligations.</w:t>
            </w:r>
          </w:p>
        </w:tc>
      </w:tr>
      <w:tr w:rsidR="001B1CF2" w:rsidRPr="00251DC4" w14:paraId="1BB73A05" w14:textId="77777777" w:rsidTr="00E15E49">
        <w:trPr>
          <w:tblCellSpacing w:w="15" w:type="dxa"/>
        </w:trPr>
        <w:tc>
          <w:tcPr>
            <w:tcW w:w="0" w:type="auto"/>
            <w:vAlign w:val="center"/>
            <w:hideMark/>
          </w:tcPr>
          <w:p w14:paraId="52208066"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Data Protection Officer (DPO)</w:t>
            </w:r>
          </w:p>
        </w:tc>
        <w:tc>
          <w:tcPr>
            <w:tcW w:w="0" w:type="auto"/>
            <w:vAlign w:val="center"/>
            <w:hideMark/>
          </w:tcPr>
          <w:p w14:paraId="43EAA48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Oversee data protection, privacy governance and breach reporting.</w:t>
            </w:r>
          </w:p>
        </w:tc>
      </w:tr>
      <w:tr w:rsidR="001B1CF2" w:rsidRPr="00251DC4" w14:paraId="535FF0C6" w14:textId="77777777" w:rsidTr="00E15E49">
        <w:trPr>
          <w:tblCellSpacing w:w="15" w:type="dxa"/>
        </w:trPr>
        <w:tc>
          <w:tcPr>
            <w:tcW w:w="0" w:type="auto"/>
            <w:vAlign w:val="center"/>
            <w:hideMark/>
          </w:tcPr>
          <w:p w14:paraId="5F399D45"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IT Operations Manager</w:t>
            </w:r>
          </w:p>
        </w:tc>
        <w:tc>
          <w:tcPr>
            <w:tcW w:w="0" w:type="auto"/>
            <w:vAlign w:val="center"/>
            <w:hideMark/>
          </w:tcPr>
          <w:p w14:paraId="40533689"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Manage operational security, infrastructure resilience and disaster recovery.</w:t>
            </w:r>
          </w:p>
        </w:tc>
      </w:tr>
      <w:tr w:rsidR="001B1CF2" w:rsidRPr="00251DC4" w14:paraId="674D117F" w14:textId="77777777" w:rsidTr="00E15E49">
        <w:trPr>
          <w:tblCellSpacing w:w="15" w:type="dxa"/>
        </w:trPr>
        <w:tc>
          <w:tcPr>
            <w:tcW w:w="0" w:type="auto"/>
            <w:vAlign w:val="center"/>
            <w:hideMark/>
          </w:tcPr>
          <w:p w14:paraId="22A4AEF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Application Development Manager</w:t>
            </w:r>
          </w:p>
        </w:tc>
        <w:tc>
          <w:tcPr>
            <w:tcW w:w="0" w:type="auto"/>
            <w:vAlign w:val="center"/>
            <w:hideMark/>
          </w:tcPr>
          <w:p w14:paraId="22D88402"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 xml:space="preserve">Implement Secure </w:t>
            </w:r>
            <w:proofErr w:type="spellStart"/>
            <w:r w:rsidRPr="00251DC4">
              <w:rPr>
                <w:rFonts w:eastAsia="Times New Roman" w:cs="Times New Roman"/>
                <w:szCs w:val="24"/>
                <w:lang w:eastAsia="en-GB"/>
              </w:rPr>
              <w:t>DevSecOps</w:t>
            </w:r>
            <w:proofErr w:type="spellEnd"/>
            <w:r w:rsidRPr="00251DC4">
              <w:rPr>
                <w:rFonts w:eastAsia="Times New Roman" w:cs="Times New Roman"/>
                <w:szCs w:val="24"/>
                <w:lang w:eastAsia="en-GB"/>
              </w:rPr>
              <w:t xml:space="preserve"> and secure software development practices.</w:t>
            </w:r>
          </w:p>
        </w:tc>
      </w:tr>
    </w:tbl>
    <w:p w14:paraId="12A52E00" w14:textId="77777777" w:rsidR="001B1CF2" w:rsidRPr="00251DC4" w:rsidRDefault="001B1CF2" w:rsidP="001B1CF2">
      <w:pPr>
        <w:rPr>
          <w:rFonts w:eastAsia="Times New Roman" w:cs="Times New Roman"/>
          <w:szCs w:val="24"/>
          <w:lang w:eastAsia="en-GB"/>
        </w:rPr>
      </w:pPr>
    </w:p>
    <w:p w14:paraId="65E268F3" w14:textId="77777777" w:rsidR="001B1CF2" w:rsidRPr="00251DC4" w:rsidRDefault="001B1CF2" w:rsidP="001B1CF2">
      <w:pPr>
        <w:rPr>
          <w:rFonts w:cs="Times New Roman"/>
          <w:szCs w:val="24"/>
          <w:lang w:eastAsia="en-GB"/>
        </w:rPr>
      </w:pPr>
      <w:r w:rsidRPr="00251DC4">
        <w:rPr>
          <w:rFonts w:cs="Times New Roman"/>
          <w:szCs w:val="24"/>
          <w:lang w:eastAsia="en-GB"/>
        </w:rPr>
        <w:t>Table 7.2: 12-Month strategic roadmap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28"/>
        <w:gridCol w:w="2005"/>
        <w:gridCol w:w="3024"/>
        <w:gridCol w:w="2959"/>
      </w:tblGrid>
      <w:tr w:rsidR="001B1CF2" w:rsidRPr="00251DC4" w14:paraId="258D5E9B" w14:textId="77777777" w:rsidTr="00E15E49">
        <w:trPr>
          <w:tblHeader/>
          <w:tblCellSpacing w:w="15" w:type="dxa"/>
        </w:trPr>
        <w:tc>
          <w:tcPr>
            <w:tcW w:w="0" w:type="auto"/>
            <w:vAlign w:val="center"/>
            <w:hideMark/>
          </w:tcPr>
          <w:p w14:paraId="39E11FE6"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Timeline</w:t>
            </w:r>
          </w:p>
        </w:tc>
        <w:tc>
          <w:tcPr>
            <w:tcW w:w="0" w:type="auto"/>
            <w:vAlign w:val="center"/>
            <w:hideMark/>
          </w:tcPr>
          <w:p w14:paraId="0C918A6F"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Priority Initiative</w:t>
            </w:r>
          </w:p>
        </w:tc>
        <w:tc>
          <w:tcPr>
            <w:tcW w:w="0" w:type="auto"/>
            <w:vAlign w:val="center"/>
            <w:hideMark/>
          </w:tcPr>
          <w:p w14:paraId="46786990"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Key Deliverables</w:t>
            </w:r>
          </w:p>
        </w:tc>
        <w:tc>
          <w:tcPr>
            <w:tcW w:w="0" w:type="auto"/>
            <w:vAlign w:val="center"/>
            <w:hideMark/>
          </w:tcPr>
          <w:p w14:paraId="14769DB8" w14:textId="77777777" w:rsidR="001B1CF2" w:rsidRPr="00251DC4" w:rsidRDefault="001B1CF2" w:rsidP="00E15E49">
            <w:pPr>
              <w:jc w:val="center"/>
              <w:rPr>
                <w:rFonts w:eastAsia="Times New Roman" w:cs="Times New Roman"/>
                <w:szCs w:val="24"/>
                <w:lang w:eastAsia="en-GB"/>
              </w:rPr>
            </w:pPr>
            <w:r w:rsidRPr="00251DC4">
              <w:rPr>
                <w:rFonts w:eastAsia="Times New Roman" w:cs="Times New Roman"/>
                <w:szCs w:val="24"/>
                <w:lang w:eastAsia="en-GB"/>
              </w:rPr>
              <w:t>Success KPI</w:t>
            </w:r>
          </w:p>
        </w:tc>
      </w:tr>
      <w:tr w:rsidR="001B1CF2" w:rsidRPr="00251DC4" w14:paraId="54A7ECD5" w14:textId="77777777" w:rsidTr="00E15E49">
        <w:trPr>
          <w:tblCellSpacing w:w="15" w:type="dxa"/>
        </w:trPr>
        <w:tc>
          <w:tcPr>
            <w:tcW w:w="0" w:type="auto"/>
            <w:vAlign w:val="center"/>
            <w:hideMark/>
          </w:tcPr>
          <w:p w14:paraId="3B73341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Months 1–3</w:t>
            </w:r>
          </w:p>
        </w:tc>
        <w:tc>
          <w:tcPr>
            <w:tcW w:w="0" w:type="auto"/>
            <w:vAlign w:val="center"/>
            <w:hideMark/>
          </w:tcPr>
          <w:p w14:paraId="4DA1BFF4"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Strengthen governance, identity security and cloud security posture</w:t>
            </w:r>
          </w:p>
        </w:tc>
        <w:tc>
          <w:tcPr>
            <w:tcW w:w="0" w:type="auto"/>
            <w:vAlign w:val="center"/>
            <w:hideMark/>
          </w:tcPr>
          <w:p w14:paraId="514DC19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Establish Steering Committee, implement NIST CSF governance, deploy Microsoft Entra ID, MFA, Conditional Access and Defender for Cloud</w:t>
            </w:r>
          </w:p>
        </w:tc>
        <w:tc>
          <w:tcPr>
            <w:tcW w:w="0" w:type="auto"/>
            <w:vAlign w:val="center"/>
            <w:hideMark/>
          </w:tcPr>
          <w:p w14:paraId="2F07ADE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100% MFA coverage, governance framework approved, critical cloud misconfigurations reduced</w:t>
            </w:r>
          </w:p>
        </w:tc>
      </w:tr>
      <w:tr w:rsidR="001B1CF2" w:rsidRPr="00251DC4" w14:paraId="597E96B9" w14:textId="77777777" w:rsidTr="00E15E49">
        <w:trPr>
          <w:tblCellSpacing w:w="15" w:type="dxa"/>
        </w:trPr>
        <w:tc>
          <w:tcPr>
            <w:tcW w:w="0" w:type="auto"/>
            <w:vAlign w:val="center"/>
            <w:hideMark/>
          </w:tcPr>
          <w:p w14:paraId="493586C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Months 4–6</w:t>
            </w:r>
          </w:p>
        </w:tc>
        <w:tc>
          <w:tcPr>
            <w:tcW w:w="0" w:type="auto"/>
            <w:vAlign w:val="center"/>
            <w:hideMark/>
          </w:tcPr>
          <w:p w14:paraId="257FC97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Secure applications and improve threat detection</w:t>
            </w:r>
          </w:p>
        </w:tc>
        <w:tc>
          <w:tcPr>
            <w:tcW w:w="0" w:type="auto"/>
            <w:vAlign w:val="center"/>
            <w:hideMark/>
          </w:tcPr>
          <w:p w14:paraId="325FF5C1"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 xml:space="preserve">Implement Secure </w:t>
            </w:r>
            <w:proofErr w:type="spellStart"/>
            <w:r w:rsidRPr="00251DC4">
              <w:rPr>
                <w:rFonts w:eastAsia="Times New Roman" w:cs="Times New Roman"/>
                <w:szCs w:val="24"/>
                <w:lang w:eastAsia="en-GB"/>
              </w:rPr>
              <w:t>DevSecOps</w:t>
            </w:r>
            <w:proofErr w:type="spellEnd"/>
            <w:r w:rsidRPr="00251DC4">
              <w:rPr>
                <w:rFonts w:eastAsia="Times New Roman" w:cs="Times New Roman"/>
                <w:szCs w:val="24"/>
                <w:lang w:eastAsia="en-GB"/>
              </w:rPr>
              <w:t>, vulnerability management, Microsoft Sentinel and Defender XDR</w:t>
            </w:r>
          </w:p>
        </w:tc>
        <w:tc>
          <w:tcPr>
            <w:tcW w:w="0" w:type="auto"/>
            <w:vAlign w:val="center"/>
            <w:hideMark/>
          </w:tcPr>
          <w:p w14:paraId="2663B0B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Reduction in critical vulnerabilities, improved incident detection and response times</w:t>
            </w:r>
          </w:p>
        </w:tc>
      </w:tr>
      <w:tr w:rsidR="001B1CF2" w:rsidRPr="00251DC4" w14:paraId="7EE8C832" w14:textId="77777777" w:rsidTr="00E15E49">
        <w:trPr>
          <w:tblCellSpacing w:w="15" w:type="dxa"/>
        </w:trPr>
        <w:tc>
          <w:tcPr>
            <w:tcW w:w="0" w:type="auto"/>
            <w:vAlign w:val="center"/>
            <w:hideMark/>
          </w:tcPr>
          <w:p w14:paraId="68690CEC"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Months 7–9</w:t>
            </w:r>
          </w:p>
        </w:tc>
        <w:tc>
          <w:tcPr>
            <w:tcW w:w="0" w:type="auto"/>
            <w:vAlign w:val="center"/>
            <w:hideMark/>
          </w:tcPr>
          <w:p w14:paraId="2121B225"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Enhance cyber resilience and regulatory compliance</w:t>
            </w:r>
          </w:p>
        </w:tc>
        <w:tc>
          <w:tcPr>
            <w:tcW w:w="0" w:type="auto"/>
            <w:vAlign w:val="center"/>
            <w:hideMark/>
          </w:tcPr>
          <w:p w14:paraId="24BC0B5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Deploy immutable Azure Backups, Azure Site Recovery, disaster recovery testing and GDPR/DORA readiness reviews</w:t>
            </w:r>
          </w:p>
        </w:tc>
        <w:tc>
          <w:tcPr>
            <w:tcW w:w="0" w:type="auto"/>
            <w:vAlign w:val="center"/>
            <w:hideMark/>
          </w:tcPr>
          <w:p w14:paraId="5D0AB5A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Successful disaster recovery exercise, compliance milestones achieved</w:t>
            </w:r>
          </w:p>
        </w:tc>
      </w:tr>
      <w:tr w:rsidR="001B1CF2" w:rsidRPr="00251DC4" w14:paraId="0B222998" w14:textId="77777777" w:rsidTr="00E15E49">
        <w:trPr>
          <w:tblCellSpacing w:w="15" w:type="dxa"/>
        </w:trPr>
        <w:tc>
          <w:tcPr>
            <w:tcW w:w="0" w:type="auto"/>
            <w:vAlign w:val="center"/>
            <w:hideMark/>
          </w:tcPr>
          <w:p w14:paraId="43552D43"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Months 10–12</w:t>
            </w:r>
          </w:p>
        </w:tc>
        <w:tc>
          <w:tcPr>
            <w:tcW w:w="0" w:type="auto"/>
            <w:vAlign w:val="center"/>
            <w:hideMark/>
          </w:tcPr>
          <w:p w14:paraId="35B62A00"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Optimise security operations and continuous improvement</w:t>
            </w:r>
          </w:p>
        </w:tc>
        <w:tc>
          <w:tcPr>
            <w:tcW w:w="0" w:type="auto"/>
            <w:vAlign w:val="center"/>
            <w:hideMark/>
          </w:tcPr>
          <w:p w14:paraId="2876007E"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Conduct security audits, tabletop exercises, policy reviews and performance reporting</w:t>
            </w:r>
          </w:p>
        </w:tc>
        <w:tc>
          <w:tcPr>
            <w:tcW w:w="0" w:type="auto"/>
            <w:vAlign w:val="center"/>
            <w:hideMark/>
          </w:tcPr>
          <w:p w14:paraId="51FDA7FB" w14:textId="77777777" w:rsidR="001B1CF2" w:rsidRPr="00251DC4" w:rsidRDefault="001B1CF2" w:rsidP="00E15E49">
            <w:pPr>
              <w:rPr>
                <w:rFonts w:eastAsia="Times New Roman" w:cs="Times New Roman"/>
                <w:szCs w:val="24"/>
                <w:lang w:eastAsia="en-GB"/>
              </w:rPr>
            </w:pPr>
            <w:r w:rsidRPr="00251DC4">
              <w:rPr>
                <w:rFonts w:eastAsia="Times New Roman" w:cs="Times New Roman"/>
                <w:szCs w:val="24"/>
                <w:lang w:eastAsia="en-GB"/>
              </w:rPr>
              <w:t xml:space="preserve">Improved compliance scores, reduced security incidents and Steering Committee </w:t>
            </w:r>
            <w:r w:rsidRPr="00251DC4">
              <w:rPr>
                <w:rFonts w:eastAsia="Times New Roman" w:cs="Times New Roman"/>
                <w:szCs w:val="24"/>
                <w:lang w:eastAsia="en-GB"/>
              </w:rPr>
              <w:lastRenderedPageBreak/>
              <w:t>performance review completed</w:t>
            </w:r>
          </w:p>
        </w:tc>
      </w:tr>
    </w:tbl>
    <w:p w14:paraId="38A264CA" w14:textId="62D33D6F" w:rsidR="001B1CF2" w:rsidRPr="00251DC4" w:rsidRDefault="001B1CF2" w:rsidP="001B1CF2">
      <w:pPr>
        <w:spacing w:before="100" w:beforeAutospacing="1" w:after="100" w:afterAutospacing="1"/>
        <w:rPr>
          <w:rFonts w:eastAsia="Times New Roman" w:cs="Times New Roman"/>
          <w:lang w:eastAsia="en-GB"/>
        </w:rPr>
      </w:pPr>
      <w:r w:rsidRPr="00251DC4">
        <w:rPr>
          <w:rFonts w:eastAsia="Times New Roman" w:cs="Times New Roman"/>
          <w:szCs w:val="24"/>
          <w:lang w:eastAsia="en-GB"/>
        </w:rPr>
        <w:lastRenderedPageBreak/>
        <w:t>The roadmap is directly informed by the findings of Task 1 and prioritises the highest-risk areas during the first quarter. Governance, cloud security posture management and identity protection are implemented first to address the greatest strategic risks identified in the research, followed by application security, advanced threat detection and cyber resilience to establish a mature, risk-based cybersecurity capability that supports FinTech's Azure migration and EU expansion.</w:t>
      </w:r>
    </w:p>
    <w:p w14:paraId="4901788B" w14:textId="77777777" w:rsidR="001B1CF2" w:rsidRPr="00251DC4" w:rsidRDefault="001B1CF2" w:rsidP="001B1CF2">
      <w:pPr>
        <w:rPr>
          <w:rFonts w:cs="Times New Roman"/>
        </w:rPr>
      </w:pPr>
    </w:p>
    <w:p w14:paraId="587A3A32" w14:textId="77777777" w:rsidR="001B1CF2" w:rsidRPr="00251DC4" w:rsidRDefault="001B1CF2" w:rsidP="001B1CF2">
      <w:pPr>
        <w:rPr>
          <w:rFonts w:cs="Times New Roman"/>
        </w:rPr>
      </w:pPr>
    </w:p>
    <w:p w14:paraId="641777DD" w14:textId="77777777" w:rsidR="001B1CF2" w:rsidRPr="00251DC4" w:rsidRDefault="001B1CF2" w:rsidP="001B1CF2">
      <w:pPr>
        <w:rPr>
          <w:rFonts w:cs="Times New Roman"/>
        </w:rPr>
      </w:pPr>
    </w:p>
    <w:p w14:paraId="01C2581F" w14:textId="77777777" w:rsidR="00402C89" w:rsidRPr="00251DC4" w:rsidRDefault="00402C89" w:rsidP="001C4AFE">
      <w:pPr>
        <w:rPr>
          <w:rFonts w:cs="Times New Roman"/>
          <w:b/>
          <w:bCs/>
          <w:sz w:val="28"/>
          <w:szCs w:val="26"/>
        </w:rPr>
      </w:pPr>
    </w:p>
    <w:p w14:paraId="2A8EA95D" w14:textId="08AC987E" w:rsidR="00444179" w:rsidRPr="00251DC4" w:rsidRDefault="00444179" w:rsidP="00402C89">
      <w:pPr>
        <w:jc w:val="left"/>
        <w:rPr>
          <w:rFonts w:cs="Times New Roman"/>
          <w:b/>
          <w:bCs/>
          <w:sz w:val="28"/>
          <w:szCs w:val="26"/>
        </w:rPr>
      </w:pPr>
    </w:p>
    <w:p w14:paraId="3D085524" w14:textId="77777777" w:rsidR="00444179" w:rsidRPr="00251DC4" w:rsidRDefault="00444179" w:rsidP="001C4AFE">
      <w:pPr>
        <w:rPr>
          <w:rFonts w:cs="Times New Roman"/>
        </w:rPr>
      </w:pPr>
    </w:p>
    <w:p w14:paraId="2136C43B" w14:textId="77777777" w:rsidR="00444179" w:rsidRPr="00251DC4" w:rsidRDefault="00444179" w:rsidP="001C4AFE">
      <w:pPr>
        <w:rPr>
          <w:rFonts w:cs="Times New Roman"/>
        </w:rPr>
      </w:pPr>
    </w:p>
    <w:p w14:paraId="63A2DD45" w14:textId="77777777" w:rsidR="00444179" w:rsidRPr="00251DC4" w:rsidRDefault="00444179" w:rsidP="001C4AFE">
      <w:pPr>
        <w:rPr>
          <w:rFonts w:cs="Times New Roman"/>
        </w:rPr>
      </w:pPr>
    </w:p>
    <w:p w14:paraId="435C360F" w14:textId="77777777" w:rsidR="00444179" w:rsidRPr="00251DC4" w:rsidRDefault="00444179" w:rsidP="001C4AFE">
      <w:pPr>
        <w:rPr>
          <w:rFonts w:cs="Times New Roman"/>
        </w:rPr>
      </w:pPr>
    </w:p>
    <w:p w14:paraId="6EDEDFEE" w14:textId="77777777" w:rsidR="00444179" w:rsidRPr="00251DC4" w:rsidRDefault="00444179" w:rsidP="001C4AFE">
      <w:pPr>
        <w:rPr>
          <w:rFonts w:cs="Times New Roman"/>
        </w:rPr>
      </w:pPr>
    </w:p>
    <w:p w14:paraId="2D9365CD" w14:textId="77777777" w:rsidR="00444179" w:rsidRPr="00251DC4" w:rsidRDefault="00444179" w:rsidP="001C4AFE">
      <w:pPr>
        <w:rPr>
          <w:rFonts w:cs="Times New Roman"/>
        </w:rPr>
      </w:pPr>
    </w:p>
    <w:p w14:paraId="628E97A7" w14:textId="77777777" w:rsidR="00444179" w:rsidRPr="00251DC4" w:rsidRDefault="00444179" w:rsidP="001C4AFE">
      <w:pPr>
        <w:rPr>
          <w:rFonts w:cs="Times New Roman"/>
        </w:rPr>
      </w:pPr>
    </w:p>
    <w:p w14:paraId="6A2D1DE4" w14:textId="77777777" w:rsidR="00444179" w:rsidRPr="00251DC4" w:rsidRDefault="00444179" w:rsidP="001C4AFE">
      <w:pPr>
        <w:rPr>
          <w:rFonts w:cs="Times New Roman"/>
        </w:rPr>
      </w:pPr>
    </w:p>
    <w:p w14:paraId="4AC9242E" w14:textId="77777777" w:rsidR="00444179" w:rsidRPr="00251DC4" w:rsidRDefault="00444179" w:rsidP="001C4AFE">
      <w:pPr>
        <w:rPr>
          <w:rFonts w:cs="Times New Roman"/>
        </w:rPr>
      </w:pPr>
    </w:p>
    <w:p w14:paraId="74F1A6A6" w14:textId="77777777" w:rsidR="00444179" w:rsidRPr="00251DC4" w:rsidRDefault="00444179" w:rsidP="001C4AFE">
      <w:pPr>
        <w:rPr>
          <w:rFonts w:cs="Times New Roman"/>
        </w:rPr>
      </w:pPr>
    </w:p>
    <w:p w14:paraId="279D634E" w14:textId="77777777" w:rsidR="00444179" w:rsidRPr="00251DC4" w:rsidRDefault="00444179" w:rsidP="001C4AFE">
      <w:pPr>
        <w:rPr>
          <w:rFonts w:cs="Times New Roman"/>
        </w:rPr>
      </w:pPr>
    </w:p>
    <w:p w14:paraId="414BAB36" w14:textId="77777777" w:rsidR="00444179" w:rsidRPr="00251DC4" w:rsidRDefault="00444179" w:rsidP="001C4AFE">
      <w:pPr>
        <w:rPr>
          <w:rFonts w:cs="Times New Roman"/>
        </w:rPr>
      </w:pPr>
    </w:p>
    <w:p w14:paraId="41314C51" w14:textId="77777777" w:rsidR="00444179" w:rsidRPr="00251DC4" w:rsidRDefault="00444179" w:rsidP="001C4AFE">
      <w:pPr>
        <w:rPr>
          <w:rFonts w:cs="Times New Roman"/>
        </w:rPr>
      </w:pPr>
    </w:p>
    <w:p w14:paraId="7389405A" w14:textId="77777777" w:rsidR="00444179" w:rsidRPr="00251DC4" w:rsidRDefault="00444179" w:rsidP="001C4AFE">
      <w:pPr>
        <w:rPr>
          <w:rFonts w:cs="Times New Roman"/>
        </w:rPr>
      </w:pPr>
    </w:p>
    <w:p w14:paraId="2C761E19" w14:textId="77777777" w:rsidR="00444179" w:rsidRPr="00251DC4" w:rsidRDefault="00444179" w:rsidP="001C4AFE">
      <w:pPr>
        <w:rPr>
          <w:rFonts w:cs="Times New Roman"/>
        </w:rPr>
      </w:pPr>
    </w:p>
    <w:p w14:paraId="62A89810" w14:textId="77777777" w:rsidR="00444179" w:rsidRPr="00251DC4" w:rsidRDefault="00444179" w:rsidP="001C4AFE">
      <w:pPr>
        <w:rPr>
          <w:rFonts w:cs="Times New Roman"/>
        </w:rPr>
      </w:pPr>
    </w:p>
    <w:sectPr w:rsidR="00444179" w:rsidRPr="00251DC4" w:rsidSect="00444179">
      <w:type w:val="continuous"/>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AF3018"/>
    <w:multiLevelType w:val="hybridMultilevel"/>
    <w:tmpl w:val="9FD08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F1AFF"/>
    <w:multiLevelType w:val="hybridMultilevel"/>
    <w:tmpl w:val="C7767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F64F5"/>
    <w:multiLevelType w:val="multilevel"/>
    <w:tmpl w:val="B276D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CE18F9"/>
    <w:multiLevelType w:val="hybridMultilevel"/>
    <w:tmpl w:val="7E085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6D4EF6"/>
    <w:multiLevelType w:val="hybridMultilevel"/>
    <w:tmpl w:val="EF3C7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CF21F1"/>
    <w:multiLevelType w:val="hybridMultilevel"/>
    <w:tmpl w:val="B930F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4E1C56"/>
    <w:multiLevelType w:val="hybridMultilevel"/>
    <w:tmpl w:val="9D929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60311F"/>
    <w:multiLevelType w:val="multilevel"/>
    <w:tmpl w:val="7B68A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250090">
    <w:abstractNumId w:val="6"/>
  </w:num>
  <w:num w:numId="2" w16cid:durableId="727726044">
    <w:abstractNumId w:val="8"/>
  </w:num>
  <w:num w:numId="3" w16cid:durableId="2069302122">
    <w:abstractNumId w:val="9"/>
  </w:num>
  <w:num w:numId="4" w16cid:durableId="1551065031">
    <w:abstractNumId w:val="11"/>
  </w:num>
  <w:num w:numId="5" w16cid:durableId="290597920">
    <w:abstractNumId w:val="2"/>
  </w:num>
  <w:num w:numId="6" w16cid:durableId="1958414274">
    <w:abstractNumId w:val="10"/>
  </w:num>
  <w:num w:numId="7" w16cid:durableId="1030565244">
    <w:abstractNumId w:val="4"/>
  </w:num>
  <w:num w:numId="8" w16cid:durableId="2110657117">
    <w:abstractNumId w:val="5"/>
  </w:num>
  <w:num w:numId="9" w16cid:durableId="1017536812">
    <w:abstractNumId w:val="1"/>
  </w:num>
  <w:num w:numId="10" w16cid:durableId="1289312819">
    <w:abstractNumId w:val="0"/>
  </w:num>
  <w:num w:numId="11" w16cid:durableId="459878744">
    <w:abstractNumId w:val="7"/>
  </w:num>
  <w:num w:numId="12" w16cid:durableId="620038311">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9"/>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605AC"/>
    <w:rsid w:val="00091347"/>
    <w:rsid w:val="00145087"/>
    <w:rsid w:val="00147269"/>
    <w:rsid w:val="001B1CF2"/>
    <w:rsid w:val="001C4AFE"/>
    <w:rsid w:val="00251DC4"/>
    <w:rsid w:val="0027310D"/>
    <w:rsid w:val="0037348F"/>
    <w:rsid w:val="003A5536"/>
    <w:rsid w:val="00402C89"/>
    <w:rsid w:val="004110C9"/>
    <w:rsid w:val="00444179"/>
    <w:rsid w:val="005111D8"/>
    <w:rsid w:val="00545BB5"/>
    <w:rsid w:val="00574A9B"/>
    <w:rsid w:val="005C760E"/>
    <w:rsid w:val="00660510"/>
    <w:rsid w:val="006A24E4"/>
    <w:rsid w:val="007E6721"/>
    <w:rsid w:val="009C07A5"/>
    <w:rsid w:val="00A0736B"/>
    <w:rsid w:val="00A52B06"/>
    <w:rsid w:val="00A87E13"/>
    <w:rsid w:val="00AB5D44"/>
    <w:rsid w:val="00CE7337"/>
    <w:rsid w:val="00D86293"/>
    <w:rsid w:val="00DD068B"/>
    <w:rsid w:val="00E552E2"/>
    <w:rsid w:val="00F14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1B1CF2"/>
    <w:pPr>
      <w:keepNext/>
      <w:keepLines/>
      <w:spacing w:before="360" w:after="80" w:line="240" w:lineRule="auto"/>
      <w:jc w:val="left"/>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1B1CF2"/>
    <w:pPr>
      <w:keepNext/>
      <w:keepLines/>
      <w:spacing w:before="160" w:after="80" w:line="240" w:lineRule="auto"/>
      <w:jc w:val="left"/>
      <w:outlineLvl w:val="1"/>
    </w:pPr>
    <w:rPr>
      <w:rFonts w:asciiTheme="majorHAnsi" w:eastAsiaTheme="majorEastAsia" w:hAnsiTheme="majorHAnsi" w:cstheme="majorBidi"/>
      <w:color w:val="2F5496" w:themeColor="accent1" w:themeShade="BF"/>
      <w:kern w:val="2"/>
      <w:sz w:val="32"/>
      <w:szCs w:val="3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character" w:customStyle="1" w:styleId="Heading1Char">
    <w:name w:val="Heading 1 Char"/>
    <w:basedOn w:val="DefaultParagraphFont"/>
    <w:link w:val="Heading1"/>
    <w:uiPriority w:val="9"/>
    <w:rsid w:val="001B1CF2"/>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rsid w:val="001B1CF2"/>
    <w:rPr>
      <w:rFonts w:asciiTheme="majorHAnsi" w:eastAsiaTheme="majorEastAsia" w:hAnsiTheme="majorHAnsi" w:cstheme="majorBidi"/>
      <w:color w:val="2F5496" w:themeColor="accent1" w:themeShade="BF"/>
      <w:kern w:val="2"/>
      <w:sz w:val="32"/>
      <w:szCs w:val="32"/>
      <w14:ligatures w14:val="standardContextual"/>
    </w:rPr>
  </w:style>
  <w:style w:type="paragraph" w:styleId="TOCHeading">
    <w:name w:val="TOC Heading"/>
    <w:basedOn w:val="Heading1"/>
    <w:next w:val="Normal"/>
    <w:uiPriority w:val="39"/>
    <w:unhideWhenUsed/>
    <w:qFormat/>
    <w:rsid w:val="001B1CF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B1CF2"/>
    <w:pPr>
      <w:spacing w:before="360" w:after="360" w:line="240" w:lineRule="auto"/>
      <w:jc w:val="left"/>
    </w:pPr>
    <w:rPr>
      <w:rFonts w:asciiTheme="minorHAnsi" w:eastAsiaTheme="minorHAnsi" w:hAnsiTheme="minorHAnsi"/>
      <w:b/>
      <w:bCs/>
      <w:caps/>
      <w:kern w:val="2"/>
      <w:sz w:val="22"/>
      <w:u w:val="single"/>
      <w14:ligatures w14:val="standardContextual"/>
    </w:rPr>
  </w:style>
  <w:style w:type="paragraph" w:styleId="TOC2">
    <w:name w:val="toc 2"/>
    <w:basedOn w:val="Normal"/>
    <w:next w:val="Normal"/>
    <w:autoRedefine/>
    <w:uiPriority w:val="39"/>
    <w:unhideWhenUsed/>
    <w:rsid w:val="001B1CF2"/>
    <w:pPr>
      <w:spacing w:after="0" w:line="240" w:lineRule="auto"/>
      <w:jc w:val="left"/>
    </w:pPr>
    <w:rPr>
      <w:rFonts w:asciiTheme="minorHAnsi" w:eastAsiaTheme="minorHAnsi" w:hAnsiTheme="minorHAnsi"/>
      <w:b/>
      <w:bCs/>
      <w:smallCaps/>
      <w:kern w:val="2"/>
      <w:sz w:val="22"/>
      <w14:ligatures w14:val="standardContextual"/>
    </w:rPr>
  </w:style>
  <w:style w:type="paragraph" w:styleId="Revision">
    <w:name w:val="Revision"/>
    <w:hidden/>
    <w:uiPriority w:val="99"/>
    <w:semiHidden/>
    <w:rsid w:val="001B1CF2"/>
    <w:pPr>
      <w:spacing w:after="0" w:line="240" w:lineRule="auto"/>
    </w:pPr>
    <w:rPr>
      <w:rFonts w:ascii="Times New Roman" w:eastAsiaTheme="minorEastAsia" w:hAnsi="Times New Roman"/>
      <w:sz w:val="24"/>
    </w:rPr>
  </w:style>
  <w:style w:type="character" w:styleId="Strong">
    <w:name w:val="Strong"/>
    <w:basedOn w:val="DefaultParagraphFont"/>
    <w:uiPriority w:val="22"/>
    <w:qFormat/>
    <w:rsid w:val="00CE7337"/>
    <w:rPr>
      <w:b/>
      <w:bCs/>
    </w:rPr>
  </w:style>
  <w:style w:type="character" w:customStyle="1" w:styleId="apple-converted-space">
    <w:name w:val="apple-converted-space"/>
    <w:basedOn w:val="DefaultParagraphFont"/>
    <w:rsid w:val="00CE7337"/>
  </w:style>
  <w:style w:type="character" w:styleId="Emphasis">
    <w:name w:val="Emphasis"/>
    <w:basedOn w:val="DefaultParagraphFont"/>
    <w:uiPriority w:val="20"/>
    <w:qFormat/>
    <w:rsid w:val="00CE73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27</Pages>
  <Words>7003</Words>
  <Characters>49657</Characters>
  <Application>Microsoft Office Word</Application>
  <DocSecurity>0</DocSecurity>
  <Lines>814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Judit Varga</cp:lastModifiedBy>
  <cp:revision>6</cp:revision>
  <dcterms:created xsi:type="dcterms:W3CDTF">2026-07-28T02:19:00Z</dcterms:created>
  <dcterms:modified xsi:type="dcterms:W3CDTF">2026-07-28T02:39:00Z</dcterms:modified>
</cp:coreProperties>
</file>