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DFA57" w14:textId="4D20EB48" w:rsidR="004854FB" w:rsidRDefault="00C47D51" w:rsidP="00C47D51">
      <w:pPr>
        <w:jc w:val="center"/>
      </w:pPr>
      <w:r>
        <w:rPr>
          <w:noProof/>
        </w:rPr>
        <w:drawing>
          <wp:inline distT="0" distB="0" distL="0" distR="0" wp14:anchorId="6697919E" wp14:editId="5FBA46E5">
            <wp:extent cx="1429385" cy="1429385"/>
            <wp:effectExtent l="0" t="0" r="5715" b="5715"/>
            <wp:docPr id="1113578079" name="Picture 3"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Birmingham |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9385" cy="1429385"/>
                    </a:xfrm>
                    <a:prstGeom prst="rect">
                      <a:avLst/>
                    </a:prstGeom>
                    <a:noFill/>
                    <a:ln>
                      <a:noFill/>
                    </a:ln>
                  </pic:spPr>
                </pic:pic>
              </a:graphicData>
            </a:graphic>
          </wp:inline>
        </w:drawing>
      </w:r>
    </w:p>
    <w:p w14:paraId="08FB054B" w14:textId="465398AA" w:rsidR="004854FB" w:rsidRDefault="004854FB" w:rsidP="004854FB">
      <w:pPr>
        <w:jc w:val="center"/>
        <w:rPr>
          <w:rFonts w:ascii="Arial" w:hAnsi="Arial" w:cs="Arial"/>
          <w:color w:val="222222"/>
          <w:shd w:val="clear" w:color="auto" w:fill="FFFFFF"/>
        </w:rPr>
      </w:pPr>
      <w:r>
        <w:t xml:space="preserve">Submitted </w:t>
      </w:r>
      <w:r w:rsidR="00C47D51">
        <w:t xml:space="preserve">by </w:t>
      </w:r>
      <w:r w:rsidR="00C47D51">
        <w:rPr>
          <w:rFonts w:ascii="Arial" w:hAnsi="Arial" w:cs="Arial"/>
          <w:color w:val="222222"/>
          <w:shd w:val="clear" w:color="auto" w:fill="FFFFFF"/>
        </w:rPr>
        <w:t>Lucretia</w:t>
      </w:r>
      <w:r>
        <w:rPr>
          <w:rFonts w:ascii="Arial" w:hAnsi="Arial" w:cs="Arial"/>
          <w:color w:val="222222"/>
          <w:shd w:val="clear" w:color="auto" w:fill="FFFFFF"/>
        </w:rPr>
        <w:t xml:space="preserve"> Diaconu</w:t>
      </w:r>
    </w:p>
    <w:p w14:paraId="59E86714" w14:textId="163CC776" w:rsidR="001B0DD5" w:rsidRDefault="009A5C2F" w:rsidP="004854FB">
      <w:pPr>
        <w:jc w:val="center"/>
      </w:pPr>
      <w:r>
        <w:t>Student ID:</w:t>
      </w:r>
      <w:r w:rsidR="00C47D51">
        <w:t>2126928</w:t>
      </w:r>
    </w:p>
    <w:p w14:paraId="48870F70" w14:textId="3E93C542" w:rsidR="009A5C2F" w:rsidRDefault="00C47D51" w:rsidP="004854FB">
      <w:pPr>
        <w:jc w:val="center"/>
      </w:pPr>
      <w:r>
        <w:t xml:space="preserve">    </w:t>
      </w:r>
    </w:p>
    <w:p w14:paraId="3FD8EDA4" w14:textId="0021903D" w:rsidR="009A5C2F" w:rsidRDefault="009A5C2F" w:rsidP="004854FB">
      <w:pPr>
        <w:jc w:val="center"/>
      </w:pPr>
      <w:r>
        <w:br w:type="page"/>
      </w:r>
    </w:p>
    <w:sdt>
      <w:sdtPr>
        <w:rPr>
          <w:rFonts w:ascii="Times New Roman" w:eastAsiaTheme="minorHAnsi" w:hAnsi="Times New Roman" w:cstheme="minorBidi"/>
          <w:color w:val="auto"/>
          <w:kern w:val="2"/>
          <w:sz w:val="24"/>
          <w:szCs w:val="22"/>
        </w:rPr>
        <w:id w:val="449434282"/>
        <w:docPartObj>
          <w:docPartGallery w:val="Table of Contents"/>
          <w:docPartUnique/>
        </w:docPartObj>
      </w:sdtPr>
      <w:sdtEndPr>
        <w:rPr>
          <w:b/>
          <w:bCs/>
          <w:noProof/>
        </w:rPr>
      </w:sdtEndPr>
      <w:sdtContent>
        <w:p w14:paraId="5C670404" w14:textId="04D57E8D" w:rsidR="00C31F7E" w:rsidRPr="00C31F7E" w:rsidRDefault="00C31F7E">
          <w:pPr>
            <w:pStyle w:val="TOCHeading"/>
            <w:rPr>
              <w:rFonts w:ascii="Times New Roman" w:hAnsi="Times New Roman" w:cs="Times New Roman"/>
              <w:b/>
              <w:bCs/>
              <w:color w:val="000000" w:themeColor="text1"/>
              <w:sz w:val="28"/>
              <w:szCs w:val="28"/>
            </w:rPr>
          </w:pPr>
          <w:r w:rsidRPr="00C31F7E">
            <w:rPr>
              <w:rFonts w:ascii="Times New Roman" w:hAnsi="Times New Roman" w:cs="Times New Roman"/>
              <w:b/>
              <w:bCs/>
              <w:color w:val="000000" w:themeColor="text1"/>
              <w:sz w:val="28"/>
              <w:szCs w:val="28"/>
            </w:rPr>
            <w:t>Table of Contents</w:t>
          </w:r>
        </w:p>
        <w:p w14:paraId="2F9F98E7" w14:textId="41D38DEF" w:rsidR="00BB6DA1" w:rsidRDefault="00C31F7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0532009" w:history="1">
            <w:r w:rsidR="00BB6DA1" w:rsidRPr="002913CC">
              <w:rPr>
                <w:rStyle w:val="Hyperlink"/>
                <w:noProof/>
              </w:rPr>
              <w:t>Introduction</w:t>
            </w:r>
            <w:r w:rsidR="00BB6DA1">
              <w:rPr>
                <w:noProof/>
                <w:webHidden/>
              </w:rPr>
              <w:tab/>
            </w:r>
            <w:r w:rsidR="00BB6DA1">
              <w:rPr>
                <w:noProof/>
                <w:webHidden/>
              </w:rPr>
              <w:fldChar w:fldCharType="begin"/>
            </w:r>
            <w:r w:rsidR="00BB6DA1">
              <w:rPr>
                <w:noProof/>
                <w:webHidden/>
              </w:rPr>
              <w:instrText xml:space="preserve"> PAGEREF _Toc150532009 \h </w:instrText>
            </w:r>
            <w:r w:rsidR="00BB6DA1">
              <w:rPr>
                <w:noProof/>
                <w:webHidden/>
              </w:rPr>
            </w:r>
            <w:r w:rsidR="00BB6DA1">
              <w:rPr>
                <w:noProof/>
                <w:webHidden/>
              </w:rPr>
              <w:fldChar w:fldCharType="separate"/>
            </w:r>
            <w:r w:rsidR="00BB6DA1">
              <w:rPr>
                <w:noProof/>
                <w:webHidden/>
              </w:rPr>
              <w:t>4</w:t>
            </w:r>
            <w:r w:rsidR="00BB6DA1">
              <w:rPr>
                <w:noProof/>
                <w:webHidden/>
              </w:rPr>
              <w:fldChar w:fldCharType="end"/>
            </w:r>
          </w:hyperlink>
        </w:p>
        <w:p w14:paraId="18B99BA4" w14:textId="026F2211" w:rsidR="00BB6DA1" w:rsidRDefault="00000000">
          <w:pPr>
            <w:pStyle w:val="TOC1"/>
            <w:tabs>
              <w:tab w:val="right" w:leader="dot" w:pos="9350"/>
            </w:tabs>
            <w:rPr>
              <w:rFonts w:asciiTheme="minorHAnsi" w:eastAsiaTheme="minorEastAsia" w:hAnsiTheme="minorHAnsi"/>
              <w:noProof/>
              <w:sz w:val="22"/>
            </w:rPr>
          </w:pPr>
          <w:hyperlink w:anchor="_Toc150532010" w:history="1">
            <w:r w:rsidR="00BB6DA1" w:rsidRPr="002913CC">
              <w:rPr>
                <w:rStyle w:val="Hyperlink"/>
                <w:noProof/>
              </w:rPr>
              <w:t>Dataset</w:t>
            </w:r>
            <w:r w:rsidR="00BB6DA1">
              <w:rPr>
                <w:noProof/>
                <w:webHidden/>
              </w:rPr>
              <w:tab/>
            </w:r>
            <w:r w:rsidR="00BB6DA1">
              <w:rPr>
                <w:noProof/>
                <w:webHidden/>
              </w:rPr>
              <w:fldChar w:fldCharType="begin"/>
            </w:r>
            <w:r w:rsidR="00BB6DA1">
              <w:rPr>
                <w:noProof/>
                <w:webHidden/>
              </w:rPr>
              <w:instrText xml:space="preserve"> PAGEREF _Toc150532010 \h </w:instrText>
            </w:r>
            <w:r w:rsidR="00BB6DA1">
              <w:rPr>
                <w:noProof/>
                <w:webHidden/>
              </w:rPr>
            </w:r>
            <w:r w:rsidR="00BB6DA1">
              <w:rPr>
                <w:noProof/>
                <w:webHidden/>
              </w:rPr>
              <w:fldChar w:fldCharType="separate"/>
            </w:r>
            <w:r w:rsidR="00BB6DA1">
              <w:rPr>
                <w:noProof/>
                <w:webHidden/>
              </w:rPr>
              <w:t>4</w:t>
            </w:r>
            <w:r w:rsidR="00BB6DA1">
              <w:rPr>
                <w:noProof/>
                <w:webHidden/>
              </w:rPr>
              <w:fldChar w:fldCharType="end"/>
            </w:r>
          </w:hyperlink>
        </w:p>
        <w:p w14:paraId="2394A9E0" w14:textId="2D4152FC" w:rsidR="00BB6DA1" w:rsidRDefault="00000000">
          <w:pPr>
            <w:pStyle w:val="TOC1"/>
            <w:tabs>
              <w:tab w:val="right" w:leader="dot" w:pos="9350"/>
            </w:tabs>
            <w:rPr>
              <w:rFonts w:asciiTheme="minorHAnsi" w:eastAsiaTheme="minorEastAsia" w:hAnsiTheme="minorHAnsi"/>
              <w:noProof/>
              <w:sz w:val="22"/>
            </w:rPr>
          </w:pPr>
          <w:hyperlink w:anchor="_Toc150532011" w:history="1">
            <w:r w:rsidR="00BB6DA1" w:rsidRPr="002913CC">
              <w:rPr>
                <w:rStyle w:val="Hyperlink"/>
                <w:noProof/>
              </w:rPr>
              <w:t>Part 1</w:t>
            </w:r>
            <w:r w:rsidR="00BB6DA1">
              <w:rPr>
                <w:noProof/>
                <w:webHidden/>
              </w:rPr>
              <w:tab/>
            </w:r>
            <w:r w:rsidR="00BB6DA1">
              <w:rPr>
                <w:noProof/>
                <w:webHidden/>
              </w:rPr>
              <w:fldChar w:fldCharType="begin"/>
            </w:r>
            <w:r w:rsidR="00BB6DA1">
              <w:rPr>
                <w:noProof/>
                <w:webHidden/>
              </w:rPr>
              <w:instrText xml:space="preserve"> PAGEREF _Toc150532011 \h </w:instrText>
            </w:r>
            <w:r w:rsidR="00BB6DA1">
              <w:rPr>
                <w:noProof/>
                <w:webHidden/>
              </w:rPr>
            </w:r>
            <w:r w:rsidR="00BB6DA1">
              <w:rPr>
                <w:noProof/>
                <w:webHidden/>
              </w:rPr>
              <w:fldChar w:fldCharType="separate"/>
            </w:r>
            <w:r w:rsidR="00BB6DA1">
              <w:rPr>
                <w:noProof/>
                <w:webHidden/>
              </w:rPr>
              <w:t>4</w:t>
            </w:r>
            <w:r w:rsidR="00BB6DA1">
              <w:rPr>
                <w:noProof/>
                <w:webHidden/>
              </w:rPr>
              <w:fldChar w:fldCharType="end"/>
            </w:r>
          </w:hyperlink>
        </w:p>
        <w:p w14:paraId="1945B68E" w14:textId="7CB166B6" w:rsidR="00BB6DA1" w:rsidRDefault="00000000">
          <w:pPr>
            <w:pStyle w:val="TOC1"/>
            <w:tabs>
              <w:tab w:val="right" w:leader="dot" w:pos="9350"/>
            </w:tabs>
            <w:rPr>
              <w:rFonts w:asciiTheme="minorHAnsi" w:eastAsiaTheme="minorEastAsia" w:hAnsiTheme="minorHAnsi"/>
              <w:noProof/>
              <w:sz w:val="22"/>
            </w:rPr>
          </w:pPr>
          <w:hyperlink w:anchor="_Toc150532012" w:history="1">
            <w:r w:rsidR="00BB6DA1" w:rsidRPr="002913CC">
              <w:rPr>
                <w:rStyle w:val="Hyperlink"/>
                <w:noProof/>
              </w:rPr>
              <w:t>Part 2</w:t>
            </w:r>
            <w:r w:rsidR="00BB6DA1">
              <w:rPr>
                <w:noProof/>
                <w:webHidden/>
              </w:rPr>
              <w:tab/>
            </w:r>
            <w:r w:rsidR="00BB6DA1">
              <w:rPr>
                <w:noProof/>
                <w:webHidden/>
              </w:rPr>
              <w:fldChar w:fldCharType="begin"/>
            </w:r>
            <w:r w:rsidR="00BB6DA1">
              <w:rPr>
                <w:noProof/>
                <w:webHidden/>
              </w:rPr>
              <w:instrText xml:space="preserve"> PAGEREF _Toc150532012 \h </w:instrText>
            </w:r>
            <w:r w:rsidR="00BB6DA1">
              <w:rPr>
                <w:noProof/>
                <w:webHidden/>
              </w:rPr>
            </w:r>
            <w:r w:rsidR="00BB6DA1">
              <w:rPr>
                <w:noProof/>
                <w:webHidden/>
              </w:rPr>
              <w:fldChar w:fldCharType="separate"/>
            </w:r>
            <w:r w:rsidR="00BB6DA1">
              <w:rPr>
                <w:noProof/>
                <w:webHidden/>
              </w:rPr>
              <w:t>11</w:t>
            </w:r>
            <w:r w:rsidR="00BB6DA1">
              <w:rPr>
                <w:noProof/>
                <w:webHidden/>
              </w:rPr>
              <w:fldChar w:fldCharType="end"/>
            </w:r>
          </w:hyperlink>
        </w:p>
        <w:p w14:paraId="22791BF3" w14:textId="22B3FCA0" w:rsidR="00BB6DA1" w:rsidRDefault="00000000">
          <w:pPr>
            <w:pStyle w:val="TOC1"/>
            <w:tabs>
              <w:tab w:val="right" w:leader="dot" w:pos="9350"/>
            </w:tabs>
            <w:rPr>
              <w:rFonts w:asciiTheme="minorHAnsi" w:eastAsiaTheme="minorEastAsia" w:hAnsiTheme="minorHAnsi"/>
              <w:noProof/>
              <w:sz w:val="22"/>
            </w:rPr>
          </w:pPr>
          <w:hyperlink w:anchor="_Toc150532013" w:history="1">
            <w:r w:rsidR="00BB6DA1" w:rsidRPr="002913CC">
              <w:rPr>
                <w:rStyle w:val="Hyperlink"/>
                <w:noProof/>
              </w:rPr>
              <w:t>Conclusion</w:t>
            </w:r>
            <w:r w:rsidR="00BB6DA1">
              <w:rPr>
                <w:noProof/>
                <w:webHidden/>
              </w:rPr>
              <w:tab/>
            </w:r>
            <w:r w:rsidR="00BB6DA1">
              <w:rPr>
                <w:noProof/>
                <w:webHidden/>
              </w:rPr>
              <w:fldChar w:fldCharType="begin"/>
            </w:r>
            <w:r w:rsidR="00BB6DA1">
              <w:rPr>
                <w:noProof/>
                <w:webHidden/>
              </w:rPr>
              <w:instrText xml:space="preserve"> PAGEREF _Toc150532013 \h </w:instrText>
            </w:r>
            <w:r w:rsidR="00BB6DA1">
              <w:rPr>
                <w:noProof/>
                <w:webHidden/>
              </w:rPr>
            </w:r>
            <w:r w:rsidR="00BB6DA1">
              <w:rPr>
                <w:noProof/>
                <w:webHidden/>
              </w:rPr>
              <w:fldChar w:fldCharType="separate"/>
            </w:r>
            <w:r w:rsidR="00BB6DA1">
              <w:rPr>
                <w:noProof/>
                <w:webHidden/>
              </w:rPr>
              <w:t>14</w:t>
            </w:r>
            <w:r w:rsidR="00BB6DA1">
              <w:rPr>
                <w:noProof/>
                <w:webHidden/>
              </w:rPr>
              <w:fldChar w:fldCharType="end"/>
            </w:r>
          </w:hyperlink>
        </w:p>
        <w:p w14:paraId="1B31F782" w14:textId="247C1731" w:rsidR="00BB6DA1" w:rsidRDefault="00000000">
          <w:pPr>
            <w:pStyle w:val="TOC1"/>
            <w:tabs>
              <w:tab w:val="right" w:leader="dot" w:pos="9350"/>
            </w:tabs>
            <w:rPr>
              <w:rFonts w:asciiTheme="minorHAnsi" w:eastAsiaTheme="minorEastAsia" w:hAnsiTheme="minorHAnsi"/>
              <w:noProof/>
              <w:sz w:val="22"/>
            </w:rPr>
          </w:pPr>
          <w:hyperlink w:anchor="_Toc150532014" w:history="1">
            <w:r w:rsidR="00BB6DA1" w:rsidRPr="002913CC">
              <w:rPr>
                <w:rStyle w:val="Hyperlink"/>
                <w:noProof/>
              </w:rPr>
              <w:t>References</w:t>
            </w:r>
            <w:r w:rsidR="00BB6DA1">
              <w:rPr>
                <w:noProof/>
                <w:webHidden/>
              </w:rPr>
              <w:tab/>
            </w:r>
            <w:r w:rsidR="00BB6DA1">
              <w:rPr>
                <w:noProof/>
                <w:webHidden/>
              </w:rPr>
              <w:fldChar w:fldCharType="begin"/>
            </w:r>
            <w:r w:rsidR="00BB6DA1">
              <w:rPr>
                <w:noProof/>
                <w:webHidden/>
              </w:rPr>
              <w:instrText xml:space="preserve"> PAGEREF _Toc150532014 \h </w:instrText>
            </w:r>
            <w:r w:rsidR="00BB6DA1">
              <w:rPr>
                <w:noProof/>
                <w:webHidden/>
              </w:rPr>
            </w:r>
            <w:r w:rsidR="00BB6DA1">
              <w:rPr>
                <w:noProof/>
                <w:webHidden/>
              </w:rPr>
              <w:fldChar w:fldCharType="separate"/>
            </w:r>
            <w:r w:rsidR="00BB6DA1">
              <w:rPr>
                <w:noProof/>
                <w:webHidden/>
              </w:rPr>
              <w:t>14</w:t>
            </w:r>
            <w:r w:rsidR="00BB6DA1">
              <w:rPr>
                <w:noProof/>
                <w:webHidden/>
              </w:rPr>
              <w:fldChar w:fldCharType="end"/>
            </w:r>
          </w:hyperlink>
        </w:p>
        <w:p w14:paraId="771202DD" w14:textId="66F0F73A" w:rsidR="00C31F7E" w:rsidRDefault="00C31F7E">
          <w:r>
            <w:rPr>
              <w:b/>
              <w:bCs/>
              <w:noProof/>
            </w:rPr>
            <w:fldChar w:fldCharType="end"/>
          </w:r>
        </w:p>
      </w:sdtContent>
    </w:sdt>
    <w:p w14:paraId="22A7179A" w14:textId="77777777" w:rsidR="009A5C2F" w:rsidRDefault="009A5C2F"/>
    <w:p w14:paraId="06168CA4" w14:textId="2A1E35A3" w:rsidR="009A5C2F" w:rsidRDefault="009A5C2F">
      <w:r>
        <w:br w:type="page"/>
      </w:r>
    </w:p>
    <w:p w14:paraId="2A891899" w14:textId="77777777" w:rsidR="00C31F7E" w:rsidRDefault="00C31F7E">
      <w:pPr>
        <w:rPr>
          <w:b/>
          <w:bCs/>
        </w:rPr>
      </w:pPr>
      <w:r>
        <w:rPr>
          <w:b/>
          <w:bCs/>
        </w:rPr>
        <w:lastRenderedPageBreak/>
        <w:t>Table of Figures</w:t>
      </w:r>
    </w:p>
    <w:p w14:paraId="3C181FE4" w14:textId="0DFD4D80" w:rsidR="00C31F7E" w:rsidRDefault="00C31F7E">
      <w:pPr>
        <w:pStyle w:val="TableofFigures"/>
        <w:tabs>
          <w:tab w:val="right" w:leader="dot" w:pos="9350"/>
        </w:tabs>
        <w:rPr>
          <w:noProof/>
        </w:rPr>
      </w:pPr>
      <w:r>
        <w:fldChar w:fldCharType="begin"/>
      </w:r>
      <w:r>
        <w:instrText xml:space="preserve"> TOC \h \z \c "Figure" </w:instrText>
      </w:r>
      <w:r>
        <w:fldChar w:fldCharType="separate"/>
      </w:r>
      <w:hyperlink w:anchor="_Toc150530715" w:history="1">
        <w:r w:rsidRPr="00CE306F">
          <w:rPr>
            <w:rStyle w:val="Hyperlink"/>
            <w:noProof/>
          </w:rPr>
          <w:t>Figure 1: Calculations of Part 1 (a)</w:t>
        </w:r>
        <w:r>
          <w:rPr>
            <w:noProof/>
            <w:webHidden/>
          </w:rPr>
          <w:tab/>
        </w:r>
        <w:r>
          <w:rPr>
            <w:noProof/>
            <w:webHidden/>
          </w:rPr>
          <w:fldChar w:fldCharType="begin"/>
        </w:r>
        <w:r>
          <w:rPr>
            <w:noProof/>
            <w:webHidden/>
          </w:rPr>
          <w:instrText xml:space="preserve"> PAGEREF _Toc150530715 \h </w:instrText>
        </w:r>
        <w:r>
          <w:rPr>
            <w:noProof/>
            <w:webHidden/>
          </w:rPr>
        </w:r>
        <w:r>
          <w:rPr>
            <w:noProof/>
            <w:webHidden/>
          </w:rPr>
          <w:fldChar w:fldCharType="separate"/>
        </w:r>
        <w:r>
          <w:rPr>
            <w:noProof/>
            <w:webHidden/>
          </w:rPr>
          <w:t>6</w:t>
        </w:r>
        <w:r>
          <w:rPr>
            <w:noProof/>
            <w:webHidden/>
          </w:rPr>
          <w:fldChar w:fldCharType="end"/>
        </w:r>
      </w:hyperlink>
    </w:p>
    <w:p w14:paraId="048C5037" w14:textId="23373719" w:rsidR="00C31F7E" w:rsidRDefault="00000000">
      <w:pPr>
        <w:pStyle w:val="TableofFigures"/>
        <w:tabs>
          <w:tab w:val="right" w:leader="dot" w:pos="9350"/>
        </w:tabs>
        <w:rPr>
          <w:noProof/>
        </w:rPr>
      </w:pPr>
      <w:hyperlink w:anchor="_Toc150530716" w:history="1">
        <w:r w:rsidR="00C31F7E" w:rsidRPr="00CE306F">
          <w:rPr>
            <w:rStyle w:val="Hyperlink"/>
            <w:noProof/>
          </w:rPr>
          <w:t>Figure 2: Trend of processing times for each tool</w:t>
        </w:r>
        <w:r w:rsidR="00C31F7E">
          <w:rPr>
            <w:noProof/>
            <w:webHidden/>
          </w:rPr>
          <w:tab/>
        </w:r>
        <w:r w:rsidR="00C31F7E">
          <w:rPr>
            <w:noProof/>
            <w:webHidden/>
          </w:rPr>
          <w:fldChar w:fldCharType="begin"/>
        </w:r>
        <w:r w:rsidR="00C31F7E">
          <w:rPr>
            <w:noProof/>
            <w:webHidden/>
          </w:rPr>
          <w:instrText xml:space="preserve"> PAGEREF _Toc150530716 \h </w:instrText>
        </w:r>
        <w:r w:rsidR="00C31F7E">
          <w:rPr>
            <w:noProof/>
            <w:webHidden/>
          </w:rPr>
        </w:r>
        <w:r w:rsidR="00C31F7E">
          <w:rPr>
            <w:noProof/>
            <w:webHidden/>
          </w:rPr>
          <w:fldChar w:fldCharType="separate"/>
        </w:r>
        <w:r w:rsidR="00C31F7E">
          <w:rPr>
            <w:noProof/>
            <w:webHidden/>
          </w:rPr>
          <w:t>7</w:t>
        </w:r>
        <w:r w:rsidR="00C31F7E">
          <w:rPr>
            <w:noProof/>
            <w:webHidden/>
          </w:rPr>
          <w:fldChar w:fldCharType="end"/>
        </w:r>
      </w:hyperlink>
    </w:p>
    <w:p w14:paraId="15EDEE0D" w14:textId="418969CB" w:rsidR="00C31F7E" w:rsidRDefault="00000000">
      <w:pPr>
        <w:pStyle w:val="TableofFigures"/>
        <w:tabs>
          <w:tab w:val="right" w:leader="dot" w:pos="9350"/>
        </w:tabs>
        <w:rPr>
          <w:noProof/>
        </w:rPr>
      </w:pPr>
      <w:hyperlink w:anchor="_Toc150530717" w:history="1">
        <w:r w:rsidR="00C31F7E" w:rsidRPr="00CE306F">
          <w:rPr>
            <w:rStyle w:val="Hyperlink"/>
            <w:noProof/>
          </w:rPr>
          <w:t>Figure 3: Frequency of Hadoop processing time</w:t>
        </w:r>
        <w:r w:rsidR="00C31F7E">
          <w:rPr>
            <w:noProof/>
            <w:webHidden/>
          </w:rPr>
          <w:tab/>
        </w:r>
        <w:r w:rsidR="00C31F7E">
          <w:rPr>
            <w:noProof/>
            <w:webHidden/>
          </w:rPr>
          <w:fldChar w:fldCharType="begin"/>
        </w:r>
        <w:r w:rsidR="00C31F7E">
          <w:rPr>
            <w:noProof/>
            <w:webHidden/>
          </w:rPr>
          <w:instrText xml:space="preserve"> PAGEREF _Toc150530717 \h </w:instrText>
        </w:r>
        <w:r w:rsidR="00C31F7E">
          <w:rPr>
            <w:noProof/>
            <w:webHidden/>
          </w:rPr>
        </w:r>
        <w:r w:rsidR="00C31F7E">
          <w:rPr>
            <w:noProof/>
            <w:webHidden/>
          </w:rPr>
          <w:fldChar w:fldCharType="separate"/>
        </w:r>
        <w:r w:rsidR="00C31F7E">
          <w:rPr>
            <w:noProof/>
            <w:webHidden/>
          </w:rPr>
          <w:t>7</w:t>
        </w:r>
        <w:r w:rsidR="00C31F7E">
          <w:rPr>
            <w:noProof/>
            <w:webHidden/>
          </w:rPr>
          <w:fldChar w:fldCharType="end"/>
        </w:r>
      </w:hyperlink>
    </w:p>
    <w:p w14:paraId="63D238AB" w14:textId="679034CE" w:rsidR="00C31F7E" w:rsidRDefault="00000000">
      <w:pPr>
        <w:pStyle w:val="TableofFigures"/>
        <w:tabs>
          <w:tab w:val="right" w:leader="dot" w:pos="9350"/>
        </w:tabs>
        <w:rPr>
          <w:noProof/>
        </w:rPr>
      </w:pPr>
      <w:hyperlink w:anchor="_Toc150530718" w:history="1">
        <w:r w:rsidR="00C31F7E" w:rsidRPr="00CE306F">
          <w:rPr>
            <w:rStyle w:val="Hyperlink"/>
            <w:noProof/>
          </w:rPr>
          <w:t>Figure 4: Pivot table of Average Processing time</w:t>
        </w:r>
        <w:r w:rsidR="00C31F7E">
          <w:rPr>
            <w:noProof/>
            <w:webHidden/>
          </w:rPr>
          <w:tab/>
        </w:r>
        <w:r w:rsidR="00C31F7E">
          <w:rPr>
            <w:noProof/>
            <w:webHidden/>
          </w:rPr>
          <w:fldChar w:fldCharType="begin"/>
        </w:r>
        <w:r w:rsidR="00C31F7E">
          <w:rPr>
            <w:noProof/>
            <w:webHidden/>
          </w:rPr>
          <w:instrText xml:space="preserve"> PAGEREF _Toc150530718 \h </w:instrText>
        </w:r>
        <w:r w:rsidR="00C31F7E">
          <w:rPr>
            <w:noProof/>
            <w:webHidden/>
          </w:rPr>
        </w:r>
        <w:r w:rsidR="00C31F7E">
          <w:rPr>
            <w:noProof/>
            <w:webHidden/>
          </w:rPr>
          <w:fldChar w:fldCharType="separate"/>
        </w:r>
        <w:r w:rsidR="00C31F7E">
          <w:rPr>
            <w:noProof/>
            <w:webHidden/>
          </w:rPr>
          <w:t>8</w:t>
        </w:r>
        <w:r w:rsidR="00C31F7E">
          <w:rPr>
            <w:noProof/>
            <w:webHidden/>
          </w:rPr>
          <w:fldChar w:fldCharType="end"/>
        </w:r>
      </w:hyperlink>
    </w:p>
    <w:p w14:paraId="12D4F10F" w14:textId="3A284F74" w:rsidR="00C31F7E" w:rsidRDefault="00000000">
      <w:pPr>
        <w:pStyle w:val="TableofFigures"/>
        <w:tabs>
          <w:tab w:val="right" w:leader="dot" w:pos="9350"/>
        </w:tabs>
        <w:rPr>
          <w:noProof/>
        </w:rPr>
      </w:pPr>
      <w:hyperlink w:anchor="_Toc150530719" w:history="1">
        <w:r w:rsidR="00C31F7E" w:rsidRPr="00CE306F">
          <w:rPr>
            <w:rStyle w:val="Hyperlink"/>
            <w:noProof/>
          </w:rPr>
          <w:t>Figure 5: Correlations between Hadoop and Tableau Processing time</w:t>
        </w:r>
        <w:r w:rsidR="00C31F7E">
          <w:rPr>
            <w:noProof/>
            <w:webHidden/>
          </w:rPr>
          <w:tab/>
        </w:r>
        <w:r w:rsidR="00C31F7E">
          <w:rPr>
            <w:noProof/>
            <w:webHidden/>
          </w:rPr>
          <w:fldChar w:fldCharType="begin"/>
        </w:r>
        <w:r w:rsidR="00C31F7E">
          <w:rPr>
            <w:noProof/>
            <w:webHidden/>
          </w:rPr>
          <w:instrText xml:space="preserve"> PAGEREF _Toc150530719 \h </w:instrText>
        </w:r>
        <w:r w:rsidR="00C31F7E">
          <w:rPr>
            <w:noProof/>
            <w:webHidden/>
          </w:rPr>
        </w:r>
        <w:r w:rsidR="00C31F7E">
          <w:rPr>
            <w:noProof/>
            <w:webHidden/>
          </w:rPr>
          <w:fldChar w:fldCharType="separate"/>
        </w:r>
        <w:r w:rsidR="00C31F7E">
          <w:rPr>
            <w:noProof/>
            <w:webHidden/>
          </w:rPr>
          <w:t>8</w:t>
        </w:r>
        <w:r w:rsidR="00C31F7E">
          <w:rPr>
            <w:noProof/>
            <w:webHidden/>
          </w:rPr>
          <w:fldChar w:fldCharType="end"/>
        </w:r>
      </w:hyperlink>
    </w:p>
    <w:p w14:paraId="0E30865F" w14:textId="4C372690" w:rsidR="00C31F7E" w:rsidRDefault="00000000">
      <w:pPr>
        <w:pStyle w:val="TableofFigures"/>
        <w:tabs>
          <w:tab w:val="right" w:leader="dot" w:pos="9350"/>
        </w:tabs>
        <w:rPr>
          <w:noProof/>
        </w:rPr>
      </w:pPr>
      <w:hyperlink w:anchor="_Toc150530720" w:history="1">
        <w:r w:rsidR="00C31F7E" w:rsidRPr="00CE306F">
          <w:rPr>
            <w:rStyle w:val="Hyperlink"/>
            <w:noProof/>
          </w:rPr>
          <w:t>Figure 6: Scatter plot of Tableau Processing time by Hadoop Processing time</w:t>
        </w:r>
        <w:r w:rsidR="00C31F7E">
          <w:rPr>
            <w:noProof/>
            <w:webHidden/>
          </w:rPr>
          <w:tab/>
        </w:r>
        <w:r w:rsidR="00C31F7E">
          <w:rPr>
            <w:noProof/>
            <w:webHidden/>
          </w:rPr>
          <w:fldChar w:fldCharType="begin"/>
        </w:r>
        <w:r w:rsidR="00C31F7E">
          <w:rPr>
            <w:noProof/>
            <w:webHidden/>
          </w:rPr>
          <w:instrText xml:space="preserve"> PAGEREF _Toc150530720 \h </w:instrText>
        </w:r>
        <w:r w:rsidR="00C31F7E">
          <w:rPr>
            <w:noProof/>
            <w:webHidden/>
          </w:rPr>
        </w:r>
        <w:r w:rsidR="00C31F7E">
          <w:rPr>
            <w:noProof/>
            <w:webHidden/>
          </w:rPr>
          <w:fldChar w:fldCharType="separate"/>
        </w:r>
        <w:r w:rsidR="00C31F7E">
          <w:rPr>
            <w:noProof/>
            <w:webHidden/>
          </w:rPr>
          <w:t>10</w:t>
        </w:r>
        <w:r w:rsidR="00C31F7E">
          <w:rPr>
            <w:noProof/>
            <w:webHidden/>
          </w:rPr>
          <w:fldChar w:fldCharType="end"/>
        </w:r>
      </w:hyperlink>
    </w:p>
    <w:p w14:paraId="63FC81AF" w14:textId="769FADA5" w:rsidR="009A5C2F" w:rsidRDefault="00C31F7E">
      <w:r>
        <w:fldChar w:fldCharType="end"/>
      </w:r>
      <w:r w:rsidR="009A5C2F">
        <w:br w:type="page"/>
      </w:r>
    </w:p>
    <w:p w14:paraId="729E8D28" w14:textId="1FDA6564" w:rsidR="009A5C2F" w:rsidRDefault="009A5C2F" w:rsidP="009A5C2F">
      <w:pPr>
        <w:pStyle w:val="Heading1"/>
      </w:pPr>
      <w:bookmarkStart w:id="0" w:name="_Toc150532009"/>
      <w:r>
        <w:lastRenderedPageBreak/>
        <w:t>Introduction</w:t>
      </w:r>
      <w:bookmarkEnd w:id="0"/>
    </w:p>
    <w:p w14:paraId="2B49E47B" w14:textId="11C8B0EC" w:rsidR="009A5C2F" w:rsidRDefault="009A5C2F" w:rsidP="009A5C2F">
      <w:r w:rsidRPr="009A5C2F">
        <w:t xml:space="preserve">The "GreenMed_Healthcare_2023" dataset offers a thorough examination of the processing times provided by several reputable big data platforms and technologies. Leader in healthcare analytics </w:t>
      </w:r>
      <w:proofErr w:type="spellStart"/>
      <w:r w:rsidRPr="009A5C2F">
        <w:t>GreenMed</w:t>
      </w:r>
      <w:proofErr w:type="spellEnd"/>
      <w:r w:rsidRPr="009A5C2F">
        <w:t xml:space="preserve"> Innovations conducted this study to evaluate Hadoop, Spark, R, Python, and Tableau's capacity to manage large datasets. The organization's commitment to using big data in patient care solutions necessitated this extensive investigation. The extensive statistical tools of Excel and SPSS were used in its execution. </w:t>
      </w:r>
      <w:proofErr w:type="spellStart"/>
      <w:r w:rsidRPr="009A5C2F">
        <w:t>GreenMed</w:t>
      </w:r>
      <w:proofErr w:type="spellEnd"/>
      <w:r w:rsidRPr="009A5C2F">
        <w:t xml:space="preserve"> Innovations seeks to enhance its data processing methods by carefully analyzing key performance factors. Improving patient outcomes is the project's ultimate goal, demonstrating the vital role that efficient data analysis plays in the growth of the healthcare industry.</w:t>
      </w:r>
    </w:p>
    <w:p w14:paraId="0F2E7F4F" w14:textId="2367ED95" w:rsidR="009A5C2F" w:rsidRDefault="009A5C2F" w:rsidP="009A5C2F">
      <w:pPr>
        <w:pStyle w:val="Heading1"/>
      </w:pPr>
      <w:bookmarkStart w:id="1" w:name="_Toc150532010"/>
      <w:r>
        <w:t>Dataset</w:t>
      </w:r>
      <w:bookmarkEnd w:id="1"/>
    </w:p>
    <w:p w14:paraId="087312B1" w14:textId="411CEC0E" w:rsidR="009A5C2F" w:rsidRDefault="009A5C2F" w:rsidP="009A5C2F">
      <w:r w:rsidRPr="009A5C2F">
        <w:t xml:space="preserve">The data being offered gives daily processing speeds for five distinct big data tools: Hadoop, Spark, R, Python, and Tableau. It spans the months of January through February of 2023. The meticulously arranged data illustrates the variations in performance that each instrument experiences over the course of a day, proving the operational effectiveness and dependability of each device. </w:t>
      </w:r>
      <w:proofErr w:type="spellStart"/>
      <w:r w:rsidRPr="009A5C2F">
        <w:t>Hadoop_ProcessingTime</w:t>
      </w:r>
      <w:proofErr w:type="spellEnd"/>
      <w:r w:rsidRPr="009A5C2F">
        <w:t xml:space="preserve">, </w:t>
      </w:r>
      <w:proofErr w:type="spellStart"/>
      <w:r w:rsidRPr="009A5C2F">
        <w:t>Spark_ProcessingTime</w:t>
      </w:r>
      <w:proofErr w:type="spellEnd"/>
      <w:r w:rsidRPr="009A5C2F">
        <w:t xml:space="preserve">, </w:t>
      </w:r>
      <w:proofErr w:type="spellStart"/>
      <w:r w:rsidRPr="009A5C2F">
        <w:t>R_ProcessingTime</w:t>
      </w:r>
      <w:proofErr w:type="spellEnd"/>
      <w:r w:rsidRPr="009A5C2F">
        <w:t xml:space="preserve">, </w:t>
      </w:r>
      <w:proofErr w:type="spellStart"/>
      <w:r w:rsidRPr="009A5C2F">
        <w:t>Python_ProcessingTime</w:t>
      </w:r>
      <w:proofErr w:type="spellEnd"/>
      <w:r w:rsidRPr="009A5C2F">
        <w:t xml:space="preserve">, and </w:t>
      </w:r>
      <w:proofErr w:type="spellStart"/>
      <w:r w:rsidRPr="009A5C2F">
        <w:t>Tableau_ProcessingTime</w:t>
      </w:r>
      <w:proofErr w:type="spellEnd"/>
      <w:r w:rsidRPr="009A5C2F">
        <w:t xml:space="preserve"> are important indicators that provide a comprehensive view of how long each technology takes to process data. This temporal picture is important to </w:t>
      </w:r>
      <w:proofErr w:type="spellStart"/>
      <w:r w:rsidRPr="009A5C2F">
        <w:t>GreenMed</w:t>
      </w:r>
      <w:proofErr w:type="spellEnd"/>
      <w:r w:rsidRPr="009A5C2F">
        <w:t xml:space="preserve"> Innovations because it could help them make strategic decisions about how to best maximize their big data analytics to improve patient outcomes.</w:t>
      </w:r>
    </w:p>
    <w:p w14:paraId="36981EF8" w14:textId="5E111D8F" w:rsidR="009A5C2F" w:rsidRDefault="00675439" w:rsidP="00675439">
      <w:pPr>
        <w:pStyle w:val="Heading1"/>
      </w:pPr>
      <w:bookmarkStart w:id="2" w:name="_Toc150532011"/>
      <w:r>
        <w:t>Part 1</w:t>
      </w:r>
      <w:bookmarkEnd w:id="2"/>
    </w:p>
    <w:p w14:paraId="4DD8D583" w14:textId="29CF1619" w:rsidR="00675439" w:rsidRDefault="00675439" w:rsidP="00675439">
      <w:pPr>
        <w:pStyle w:val="ListParagraph"/>
        <w:numPr>
          <w:ilvl w:val="0"/>
          <w:numId w:val="1"/>
        </w:numPr>
      </w:pPr>
      <w:r>
        <w:t xml:space="preserve">Analyzing the GreenMed_Healthcare_2023 dataset will provide a comprehensive picture of how well the various data analytics tools used by </w:t>
      </w:r>
      <w:proofErr w:type="spellStart"/>
      <w:r>
        <w:t>GreenMed</w:t>
      </w:r>
      <w:proofErr w:type="spellEnd"/>
      <w:r>
        <w:t xml:space="preserve"> Innovations perform. The goal of this research is to shed light on Hadoop, Spark, R, Python, and Tableau processing times, all of which are essential for maximizing the effectiveness of the business's data-driven healthcare offerings</w:t>
      </w:r>
      <w:r w:rsidR="001B738F">
        <w:t xml:space="preserve"> </w:t>
      </w:r>
      <w:r w:rsidR="001B738F" w:rsidRPr="001B738F">
        <w:t>(</w:t>
      </w:r>
      <w:proofErr w:type="spellStart"/>
      <w:r w:rsidR="001B738F" w:rsidRPr="001B738F">
        <w:t>Hendrian</w:t>
      </w:r>
      <w:proofErr w:type="spellEnd"/>
      <w:r w:rsidR="001B738F" w:rsidRPr="001B738F">
        <w:t xml:space="preserve">, </w:t>
      </w:r>
      <w:proofErr w:type="spellStart"/>
      <w:r w:rsidR="001B738F" w:rsidRPr="001B738F">
        <w:t>Julaeha</w:t>
      </w:r>
      <w:proofErr w:type="spellEnd"/>
      <w:r w:rsidR="001B738F" w:rsidRPr="001B738F">
        <w:t xml:space="preserve">, &amp; </w:t>
      </w:r>
      <w:proofErr w:type="spellStart"/>
      <w:r w:rsidR="001B738F" w:rsidRPr="001B738F">
        <w:t>Ardiansyah</w:t>
      </w:r>
      <w:proofErr w:type="spellEnd"/>
      <w:r w:rsidR="001B738F" w:rsidRPr="001B738F">
        <w:t>, 2023)</w:t>
      </w:r>
      <w:r>
        <w:t>. It is expected that the insights gleaned from this analysis will improve patient outcomes and efficacy.</w:t>
      </w:r>
    </w:p>
    <w:p w14:paraId="277B8610" w14:textId="4883652F" w:rsidR="00675439" w:rsidRPr="00675439" w:rsidRDefault="00675439" w:rsidP="00675439">
      <w:pPr>
        <w:pStyle w:val="ListParagraph"/>
        <w:numPr>
          <w:ilvl w:val="0"/>
          <w:numId w:val="2"/>
        </w:numPr>
        <w:rPr>
          <w:b/>
          <w:bCs/>
        </w:rPr>
      </w:pPr>
      <w:r w:rsidRPr="00675439">
        <w:rPr>
          <w:b/>
          <w:bCs/>
        </w:rPr>
        <w:t>Mean Processing Time for Hadoop</w:t>
      </w:r>
    </w:p>
    <w:p w14:paraId="48D2E4BC" w14:textId="77777777" w:rsidR="00675439" w:rsidRDefault="00675439" w:rsidP="00675439">
      <w:pPr>
        <w:pStyle w:val="ListParagraph"/>
      </w:pPr>
      <w:r>
        <w:lastRenderedPageBreak/>
        <w:t>The Hadoop processing time average for the sample is 2.777 seconds. This metric, which indicates the average time that Hadoop spends processing data in a given day, is essential to understanding the tool's overall efficacy. As seen in the graphic, Hadoop is suitable for tasks that do not require real-time analytics because to its modest processing time.</w:t>
      </w:r>
    </w:p>
    <w:p w14:paraId="5D9DE0BA" w14:textId="347A3787" w:rsidR="00675439" w:rsidRPr="00675439" w:rsidRDefault="00675439" w:rsidP="00675439">
      <w:pPr>
        <w:pStyle w:val="ListParagraph"/>
        <w:numPr>
          <w:ilvl w:val="0"/>
          <w:numId w:val="2"/>
        </w:numPr>
        <w:rPr>
          <w:b/>
          <w:bCs/>
        </w:rPr>
      </w:pPr>
      <w:r w:rsidRPr="00675439">
        <w:rPr>
          <w:b/>
          <w:bCs/>
        </w:rPr>
        <w:t>Median Processing Time for Spark</w:t>
      </w:r>
    </w:p>
    <w:p w14:paraId="38220FBC" w14:textId="0BFC7C3E" w:rsidR="00675439" w:rsidRDefault="00675439" w:rsidP="00675439">
      <w:pPr>
        <w:pStyle w:val="ListParagraph"/>
      </w:pPr>
      <w:r>
        <w:t>The average response time for Spark is 2.747 seconds. A list of numbers' middle value, or median, lessens the impact of outliers and provides a more trustworthy measure of central tendency. Given that over half of the processing durations are below this cutoff, Spark appears to function rather consistently.</w:t>
      </w:r>
    </w:p>
    <w:p w14:paraId="762182BE" w14:textId="71A68E2F" w:rsidR="00675439" w:rsidRPr="00675439" w:rsidRDefault="00675439" w:rsidP="00675439">
      <w:pPr>
        <w:pStyle w:val="ListParagraph"/>
        <w:numPr>
          <w:ilvl w:val="0"/>
          <w:numId w:val="2"/>
        </w:numPr>
        <w:rPr>
          <w:b/>
          <w:bCs/>
        </w:rPr>
      </w:pPr>
      <w:r w:rsidRPr="00675439">
        <w:rPr>
          <w:b/>
          <w:bCs/>
        </w:rPr>
        <w:t>Highest Processing Time for R</w:t>
      </w:r>
    </w:p>
    <w:p w14:paraId="18CAD369" w14:textId="1B610376" w:rsidR="00675439" w:rsidRDefault="00675439" w:rsidP="00675439">
      <w:pPr>
        <w:pStyle w:val="ListParagraph"/>
      </w:pPr>
      <w:r>
        <w:t>R showed a maximum processing time of roughly 4.867 seconds on January 16, 2023. This peak may indicate a computationally taxing task that day or a potential bottleneck. These anomalies require investigation since they may point to underlying issues or specific scenarios in which R isn't the most appropriate tool.</w:t>
      </w:r>
    </w:p>
    <w:p w14:paraId="22B88207" w14:textId="77777777" w:rsidR="00675439" w:rsidRPr="00675439" w:rsidRDefault="00675439" w:rsidP="00675439">
      <w:pPr>
        <w:pStyle w:val="ListParagraph"/>
        <w:numPr>
          <w:ilvl w:val="0"/>
          <w:numId w:val="2"/>
        </w:numPr>
        <w:rPr>
          <w:b/>
          <w:bCs/>
        </w:rPr>
      </w:pPr>
      <w:r w:rsidRPr="00675439">
        <w:rPr>
          <w:b/>
          <w:bCs/>
        </w:rPr>
        <w:t>Standard Deviation for Python Processing Time</w:t>
      </w:r>
    </w:p>
    <w:p w14:paraId="50FC451A" w14:textId="5D47B35B" w:rsidR="00675439" w:rsidRDefault="00675439" w:rsidP="00675439">
      <w:pPr>
        <w:pStyle w:val="ListParagraph"/>
      </w:pPr>
      <w:r>
        <w:t>For Python, the standard deviation of processing time is approximately 1.297 seconds. This number indicates the degree of variation from the mean. When the standard deviation is lower, Python's processing speeds seem less unpredictable, suggesting a more consistent performance.</w:t>
      </w:r>
    </w:p>
    <w:p w14:paraId="3C3A3B3D" w14:textId="77777777" w:rsidR="00675439" w:rsidRPr="00675439" w:rsidRDefault="00675439" w:rsidP="00675439">
      <w:pPr>
        <w:pStyle w:val="ListParagraph"/>
        <w:numPr>
          <w:ilvl w:val="0"/>
          <w:numId w:val="2"/>
        </w:numPr>
        <w:rPr>
          <w:b/>
          <w:bCs/>
        </w:rPr>
      </w:pPr>
      <w:r w:rsidRPr="00675439">
        <w:rPr>
          <w:b/>
          <w:bCs/>
        </w:rPr>
        <w:t>Tool with the Lowest Average Processing Time</w:t>
      </w:r>
    </w:p>
    <w:p w14:paraId="13A972EA" w14:textId="363B1FF6" w:rsidR="00675439" w:rsidRDefault="00675439" w:rsidP="00675439">
      <w:pPr>
        <w:pStyle w:val="ListParagraph"/>
      </w:pPr>
      <w:r>
        <w:t xml:space="preserve">Python is the tool with the lowest average processing time, clocking in at 2.573 seconds. Because of its efficiency, Python may be chosen for data processing in </w:t>
      </w:r>
      <w:proofErr w:type="spellStart"/>
      <w:r>
        <w:t>GreenMed</w:t>
      </w:r>
      <w:proofErr w:type="spellEnd"/>
      <w:r>
        <w:t xml:space="preserve"> over other options, especially for tasks where time is of the essence. However, other performance criteria, such as the complexity of the tasks that each tool can execute, must also be considered.</w:t>
      </w:r>
    </w:p>
    <w:p w14:paraId="3FBCBB68" w14:textId="77777777" w:rsidR="00675439" w:rsidRDefault="00675439" w:rsidP="00675439">
      <w:pPr>
        <w:pStyle w:val="ListParagraph"/>
        <w:numPr>
          <w:ilvl w:val="0"/>
          <w:numId w:val="2"/>
        </w:numPr>
        <w:rPr>
          <w:b/>
          <w:bCs/>
        </w:rPr>
      </w:pPr>
      <w:r w:rsidRPr="00675439">
        <w:rPr>
          <w:b/>
          <w:bCs/>
        </w:rPr>
        <w:t>Interpretation of Processing Time Differences</w:t>
      </w:r>
    </w:p>
    <w:p w14:paraId="01AF8CF7" w14:textId="40E22BF2" w:rsidR="00675439" w:rsidRPr="00675439" w:rsidRDefault="00675439" w:rsidP="00675439">
      <w:pPr>
        <w:pStyle w:val="ListParagraph"/>
        <w:rPr>
          <w:b/>
          <w:bCs/>
        </w:rPr>
      </w:pPr>
      <w:r>
        <w:t xml:space="preserve">The differences in processing times between these tools can be attributed to a number of factors, including the type of data analytics tasks for which they are designed, the complexity of the datasets, the computational efficiency of the algorithms each tool uses, and the hardware infrastructure on which they are operating. Python's easier management of some data processing tasks and well-suited libraries, for instance, may account for the </w:t>
      </w:r>
      <w:r>
        <w:lastRenderedPageBreak/>
        <w:t>language's lower average processing time. Conversely, distributed computing platforms such as Hadoop and Spark may exhibit longer processing times due to data transmission across a network.</w:t>
      </w:r>
    </w:p>
    <w:p w14:paraId="46BFA052" w14:textId="77777777" w:rsidR="00675439" w:rsidRDefault="00675439" w:rsidP="00675439">
      <w:pPr>
        <w:pStyle w:val="ListParagraph"/>
      </w:pPr>
      <w:r>
        <w:t>The analysis highlights how crucial it is to consider the particular data processing requirements of each project and assists in selecting the best tool for the job. For example, while having longer processing times, Spark or Hadoop may be chosen for distributed computing workloads due to their reliable handling of large datasets. However, because of its large ecosystem of data science packages and higher processing rates, Python might be a better option for applications requiring quick, iterative data processing procedures.</w:t>
      </w:r>
    </w:p>
    <w:p w14:paraId="3AEA0306" w14:textId="77777777" w:rsidR="00675439" w:rsidRDefault="00675439" w:rsidP="00675439">
      <w:pPr>
        <w:keepNext/>
        <w:jc w:val="center"/>
      </w:pPr>
      <w:r>
        <w:rPr>
          <w:noProof/>
          <w:lang w:bidi="hi-IN"/>
        </w:rPr>
        <w:drawing>
          <wp:inline distT="0" distB="0" distL="0" distR="0" wp14:anchorId="4AE04562" wp14:editId="038A683E">
            <wp:extent cx="5943600" cy="1358900"/>
            <wp:effectExtent l="0" t="0" r="0" b="0"/>
            <wp:docPr id="107385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50160" name=""/>
                    <pic:cNvPicPr/>
                  </pic:nvPicPr>
                  <pic:blipFill>
                    <a:blip r:embed="rId9"/>
                    <a:stretch>
                      <a:fillRect/>
                    </a:stretch>
                  </pic:blipFill>
                  <pic:spPr>
                    <a:xfrm>
                      <a:off x="0" y="0"/>
                      <a:ext cx="5943600" cy="1358900"/>
                    </a:xfrm>
                    <a:prstGeom prst="rect">
                      <a:avLst/>
                    </a:prstGeom>
                  </pic:spPr>
                </pic:pic>
              </a:graphicData>
            </a:graphic>
          </wp:inline>
        </w:drawing>
      </w:r>
    </w:p>
    <w:p w14:paraId="6CCC4C49" w14:textId="03D84EFF" w:rsidR="00675439" w:rsidRDefault="00675439" w:rsidP="00675439">
      <w:pPr>
        <w:pStyle w:val="Caption"/>
        <w:jc w:val="center"/>
      </w:pPr>
      <w:bookmarkStart w:id="3" w:name="_Toc150530715"/>
      <w:r>
        <w:t xml:space="preserve">Figure </w:t>
      </w:r>
      <w:fldSimple w:instr=" SEQ Figure \* ARABIC ">
        <w:r w:rsidR="00150775">
          <w:rPr>
            <w:noProof/>
          </w:rPr>
          <w:t>1</w:t>
        </w:r>
      </w:fldSimple>
      <w:r>
        <w:t>: Calculations of Part 1 (a)</w:t>
      </w:r>
      <w:bookmarkEnd w:id="3"/>
    </w:p>
    <w:p w14:paraId="6935D13C" w14:textId="4AF30CD1" w:rsidR="00677529" w:rsidRDefault="00677529" w:rsidP="00677529">
      <w:pPr>
        <w:pStyle w:val="ListParagraph"/>
        <w:numPr>
          <w:ilvl w:val="0"/>
          <w:numId w:val="1"/>
        </w:numPr>
      </w:pPr>
      <w:r>
        <w:t xml:space="preserve">The </w:t>
      </w:r>
      <w:proofErr w:type="spellStart"/>
      <w:r>
        <w:t>GreenMed</w:t>
      </w:r>
      <w:proofErr w:type="spellEnd"/>
      <w:r>
        <w:t xml:space="preserve"> dataset analysis shows how to elegantly report the data processing times for various analytical tools by expertly utilizing Microsoft Excel's features</w:t>
      </w:r>
      <w:r w:rsidR="001B738F">
        <w:t xml:space="preserve"> </w:t>
      </w:r>
      <w:r w:rsidR="001B738F" w:rsidRPr="001B738F">
        <w:t>(</w:t>
      </w:r>
      <w:proofErr w:type="spellStart"/>
      <w:r w:rsidR="001B738F" w:rsidRPr="001B738F">
        <w:t>Setiyanto</w:t>
      </w:r>
      <w:proofErr w:type="spellEnd"/>
      <w:r w:rsidR="001B738F" w:rsidRPr="001B738F">
        <w:t xml:space="preserve"> &amp; Setiawan, 2022)</w:t>
      </w:r>
      <w:r>
        <w:t>. The processing times for each tool over time on different days are displayed using line charts in the report. This graphic representation draws attention to the differences and patterns, facilitating a speedy cross-temporal performance comparison. The line chart is an easy method to track the rise and fall of processing times, finding days that have odd highs or lows that may require more investigation. It has clearly color-coded lines for Hadoop, Spark, R, Python, and Tableau.</w:t>
      </w:r>
    </w:p>
    <w:p w14:paraId="134D4FCE" w14:textId="77777777" w:rsidR="003C3AB4" w:rsidRDefault="00D63982" w:rsidP="003C3AB4">
      <w:pPr>
        <w:pStyle w:val="ListParagraph"/>
        <w:keepNext/>
        <w:jc w:val="center"/>
      </w:pPr>
      <w:r>
        <w:rPr>
          <w:noProof/>
          <w:lang w:bidi="hi-IN"/>
        </w:rPr>
        <w:lastRenderedPageBreak/>
        <w:drawing>
          <wp:inline distT="0" distB="0" distL="0" distR="0" wp14:anchorId="0C7FC303" wp14:editId="5CF626F6">
            <wp:extent cx="5279390" cy="2938780"/>
            <wp:effectExtent l="0" t="0" r="0" b="0"/>
            <wp:docPr id="44801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9390" cy="2938780"/>
                    </a:xfrm>
                    <a:prstGeom prst="rect">
                      <a:avLst/>
                    </a:prstGeom>
                    <a:noFill/>
                  </pic:spPr>
                </pic:pic>
              </a:graphicData>
            </a:graphic>
          </wp:inline>
        </w:drawing>
      </w:r>
    </w:p>
    <w:p w14:paraId="77CCD4FA" w14:textId="2A56D00A" w:rsidR="00D63982" w:rsidRDefault="003C3AB4" w:rsidP="003C3AB4">
      <w:pPr>
        <w:pStyle w:val="Caption"/>
        <w:jc w:val="center"/>
      </w:pPr>
      <w:bookmarkStart w:id="4" w:name="_Toc150530716"/>
      <w:r>
        <w:t xml:space="preserve">Figure </w:t>
      </w:r>
      <w:fldSimple w:instr=" SEQ Figure \* ARABIC ">
        <w:r w:rsidR="00150775">
          <w:rPr>
            <w:noProof/>
          </w:rPr>
          <w:t>2</w:t>
        </w:r>
      </w:fldSimple>
      <w:r>
        <w:t>: Trend of processing times for each tool</w:t>
      </w:r>
      <w:bookmarkEnd w:id="4"/>
    </w:p>
    <w:p w14:paraId="50A8E30E" w14:textId="77777777" w:rsidR="00677529" w:rsidRDefault="00677529" w:rsidP="00677529">
      <w:pPr>
        <w:pStyle w:val="ListParagraph"/>
      </w:pPr>
      <w:r>
        <w:t>Furthermore, a well-designed histogram explores the processing time frequency distribution of Hadoop. This visualization provides a clear perspective of the most common processing time intervals while highlighting the central tendency and distribution of the data by binning the range of processing times. This type of histogram is a crucial tool for figuring out the average operating range and identifying any anomalies or outliers in Hadoop's performance.</w:t>
      </w:r>
    </w:p>
    <w:p w14:paraId="49EFF8B8" w14:textId="77777777" w:rsidR="003C3AB4" w:rsidRDefault="003C3AB4" w:rsidP="003C3AB4">
      <w:pPr>
        <w:pStyle w:val="ListParagraph"/>
        <w:keepNext/>
        <w:jc w:val="center"/>
      </w:pPr>
      <w:r>
        <w:rPr>
          <w:noProof/>
          <w:lang w:bidi="hi-IN"/>
        </w:rPr>
        <w:drawing>
          <wp:inline distT="0" distB="0" distL="0" distR="0" wp14:anchorId="4F9AEE45" wp14:editId="29310772">
            <wp:extent cx="5053965" cy="2688590"/>
            <wp:effectExtent l="0" t="0" r="0" b="0"/>
            <wp:docPr id="246795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3965" cy="2688590"/>
                    </a:xfrm>
                    <a:prstGeom prst="rect">
                      <a:avLst/>
                    </a:prstGeom>
                    <a:noFill/>
                  </pic:spPr>
                </pic:pic>
              </a:graphicData>
            </a:graphic>
          </wp:inline>
        </w:drawing>
      </w:r>
    </w:p>
    <w:p w14:paraId="5FDECC62" w14:textId="6590218B" w:rsidR="00D63982" w:rsidRDefault="003C3AB4" w:rsidP="003C3AB4">
      <w:pPr>
        <w:pStyle w:val="Caption"/>
        <w:jc w:val="center"/>
      </w:pPr>
      <w:bookmarkStart w:id="5" w:name="_Toc150530717"/>
      <w:r>
        <w:t xml:space="preserve">Figure </w:t>
      </w:r>
      <w:fldSimple w:instr=" SEQ Figure \* ARABIC ">
        <w:r w:rsidR="00150775">
          <w:rPr>
            <w:noProof/>
          </w:rPr>
          <w:t>3</w:t>
        </w:r>
      </w:fldSimple>
      <w:r>
        <w:t>: Frequency of Hadoop processing time</w:t>
      </w:r>
      <w:bookmarkEnd w:id="5"/>
    </w:p>
    <w:p w14:paraId="1232DC75" w14:textId="77777777" w:rsidR="00677529" w:rsidRDefault="00677529" w:rsidP="00677529">
      <w:pPr>
        <w:pStyle w:val="ListParagraph"/>
      </w:pPr>
      <w:r>
        <w:lastRenderedPageBreak/>
        <w:t>Additionally, pivot tables are used to provide monthly and overall averages of processing times for each instrument, condensing the huge numbers into a clear perspective. This tabular aggregate, facilitated by Excel's pivot table function, enables a thorough understanding of tool efficiency and lays the groundwork for an orderly analysis by comparing the month-over-month differences.</w:t>
      </w:r>
    </w:p>
    <w:p w14:paraId="6C9788E2" w14:textId="77777777" w:rsidR="003C3AB4" w:rsidRDefault="003C3AB4" w:rsidP="003C3AB4">
      <w:pPr>
        <w:pStyle w:val="ListParagraph"/>
        <w:keepNext/>
        <w:jc w:val="center"/>
      </w:pPr>
      <w:r>
        <w:rPr>
          <w:noProof/>
          <w:lang w:bidi="hi-IN"/>
        </w:rPr>
        <w:drawing>
          <wp:inline distT="0" distB="0" distL="0" distR="0" wp14:anchorId="0A965A4C" wp14:editId="4DAA8DF0">
            <wp:extent cx="5943600" cy="596265"/>
            <wp:effectExtent l="0" t="0" r="0" b="0"/>
            <wp:docPr id="97460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06360" name=""/>
                    <pic:cNvPicPr/>
                  </pic:nvPicPr>
                  <pic:blipFill>
                    <a:blip r:embed="rId12"/>
                    <a:stretch>
                      <a:fillRect/>
                    </a:stretch>
                  </pic:blipFill>
                  <pic:spPr>
                    <a:xfrm>
                      <a:off x="0" y="0"/>
                      <a:ext cx="5943600" cy="596265"/>
                    </a:xfrm>
                    <a:prstGeom prst="rect">
                      <a:avLst/>
                    </a:prstGeom>
                  </pic:spPr>
                </pic:pic>
              </a:graphicData>
            </a:graphic>
          </wp:inline>
        </w:drawing>
      </w:r>
    </w:p>
    <w:p w14:paraId="406740B2" w14:textId="3FE4F0DF" w:rsidR="003C3AB4" w:rsidRDefault="003C3AB4" w:rsidP="003C3AB4">
      <w:pPr>
        <w:pStyle w:val="Caption"/>
        <w:jc w:val="center"/>
      </w:pPr>
      <w:bookmarkStart w:id="6" w:name="_Toc150530718"/>
      <w:r>
        <w:t xml:space="preserve">Figure </w:t>
      </w:r>
      <w:fldSimple w:instr=" SEQ Figure \* ARABIC ">
        <w:r w:rsidR="00150775">
          <w:rPr>
            <w:noProof/>
          </w:rPr>
          <w:t>4</w:t>
        </w:r>
      </w:fldSimple>
      <w:r>
        <w:t>: Pivot table of Average Processing time</w:t>
      </w:r>
      <w:bookmarkEnd w:id="6"/>
    </w:p>
    <w:p w14:paraId="325ADC29" w14:textId="3508D2D8" w:rsidR="00DD2697" w:rsidRDefault="00677529" w:rsidP="00677529">
      <w:pPr>
        <w:pStyle w:val="ListParagraph"/>
      </w:pPr>
      <w:r>
        <w:t xml:space="preserve">By combining pivot tables for data aggregation and charts for graphical data presentation, the report goes beyond basic data reporting. It is a comprehensive story that quantitatively and humanizes the dataset, turning numbers into stories that are relevant to </w:t>
      </w:r>
      <w:proofErr w:type="spellStart"/>
      <w:r>
        <w:t>GreenMed</w:t>
      </w:r>
      <w:proofErr w:type="spellEnd"/>
      <w:r>
        <w:t xml:space="preserve"> Innovations' daily activities. When combined, the tabular and visual syntheses provide light on the intricate dynamics of processing time performance and enable data-driven decision-making for better patient care.</w:t>
      </w:r>
    </w:p>
    <w:p w14:paraId="074DA4C2" w14:textId="1529A23C" w:rsidR="00631B2E" w:rsidRDefault="006B684D" w:rsidP="001B1F3E">
      <w:pPr>
        <w:pStyle w:val="ListParagraph"/>
        <w:numPr>
          <w:ilvl w:val="0"/>
          <w:numId w:val="1"/>
        </w:numPr>
      </w:pPr>
      <w:r>
        <w:t>Part 1:</w:t>
      </w:r>
    </w:p>
    <w:p w14:paraId="165AB850" w14:textId="77777777" w:rsidR="00F03427" w:rsidRDefault="001B1F3E" w:rsidP="00F03427">
      <w:r>
        <w:t xml:space="preserve">In the intricate realm of data analysis, it is critical to comprehend the synchronization between numerous factors. </w:t>
      </w:r>
      <w:proofErr w:type="spellStart"/>
      <w:r>
        <w:t>GreenMed</w:t>
      </w:r>
      <w:proofErr w:type="spellEnd"/>
      <w:r>
        <w:t xml:space="preserve"> Innovations' study of Hadoop and Tableau processing speeds produced a correlation analysis, the results of which are instructive and entertaining.</w:t>
      </w:r>
    </w:p>
    <w:p w14:paraId="3BF0C274" w14:textId="77777777" w:rsidR="00CC3CC3" w:rsidRDefault="00CC3CC3" w:rsidP="00CC3CC3">
      <w:pPr>
        <w:keepNext/>
        <w:jc w:val="center"/>
      </w:pPr>
      <w:r>
        <w:rPr>
          <w:noProof/>
          <w:lang w:bidi="hi-IN"/>
        </w:rPr>
        <w:drawing>
          <wp:inline distT="0" distB="0" distL="0" distR="0" wp14:anchorId="469E04A0" wp14:editId="4D6ACF58">
            <wp:extent cx="4867275" cy="2257425"/>
            <wp:effectExtent l="0" t="0" r="0" b="0"/>
            <wp:docPr id="34619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97401" name=""/>
                    <pic:cNvPicPr/>
                  </pic:nvPicPr>
                  <pic:blipFill>
                    <a:blip r:embed="rId13"/>
                    <a:stretch>
                      <a:fillRect/>
                    </a:stretch>
                  </pic:blipFill>
                  <pic:spPr>
                    <a:xfrm>
                      <a:off x="0" y="0"/>
                      <a:ext cx="4867275" cy="2257425"/>
                    </a:xfrm>
                    <a:prstGeom prst="rect">
                      <a:avLst/>
                    </a:prstGeom>
                  </pic:spPr>
                </pic:pic>
              </a:graphicData>
            </a:graphic>
          </wp:inline>
        </w:drawing>
      </w:r>
    </w:p>
    <w:p w14:paraId="3B964EE3" w14:textId="359F039E" w:rsidR="00CC3CC3" w:rsidRDefault="00CC3CC3" w:rsidP="00CC3CC3">
      <w:pPr>
        <w:pStyle w:val="Caption"/>
        <w:jc w:val="center"/>
      </w:pPr>
      <w:bookmarkStart w:id="7" w:name="_Toc150530719"/>
      <w:r>
        <w:t xml:space="preserve">Figure </w:t>
      </w:r>
      <w:fldSimple w:instr=" SEQ Figure \* ARABIC ">
        <w:r w:rsidR="00150775">
          <w:rPr>
            <w:noProof/>
          </w:rPr>
          <w:t>5</w:t>
        </w:r>
      </w:fldSimple>
      <w:r>
        <w:t>: Correlations between Hadoop and Tableau Processing time</w:t>
      </w:r>
      <w:bookmarkEnd w:id="7"/>
    </w:p>
    <w:p w14:paraId="1CA1821C" w14:textId="33CE8F42" w:rsidR="001B1F3E" w:rsidRDefault="001B1F3E" w:rsidP="00F03427">
      <w:r>
        <w:lastRenderedPageBreak/>
        <w:t>The Pearson association Coefficient, a method that measures the linear association between two variables, is used to assess the link between Hadoop and Tableau's processing times. These two instruments seem to have a weak but positive linear link, with a correlation coefficient of 0.178. This weak correlation indicates that there may be a slight tendency for Tableau's processing time to increase slightly in parallel with Hadoop's processing time.</w:t>
      </w:r>
    </w:p>
    <w:p w14:paraId="447C0DDB" w14:textId="77777777" w:rsidR="001B1F3E" w:rsidRDefault="001B1F3E" w:rsidP="00F03427">
      <w:r>
        <w:t>In addition, the observed connection is statistically not significant because the two-tailed significance value of 0.217 is higher than the conventional alpha criteria of 0.05. This implies that there isn't enough information to declare with confidence that there is a relationship between Hadoop and Tableau's processing rates, given the context of the data reviewed.</w:t>
      </w:r>
    </w:p>
    <w:p w14:paraId="378B1916" w14:textId="31DA93E3" w:rsidR="001B1F3E" w:rsidRDefault="001B1F3E" w:rsidP="00F03427">
      <w:r>
        <w:t>Beyond data analysis, contemplation is sparked by the human interpretation of these statistical findings</w:t>
      </w:r>
      <w:r w:rsidR="00E367AD">
        <w:t xml:space="preserve"> </w:t>
      </w:r>
      <w:r w:rsidR="00E367AD" w:rsidRPr="00E367AD">
        <w:t>(Guerrero, Guerrero, &amp; Rauscher, 2019)</w:t>
      </w:r>
      <w:r>
        <w:t>. It suggests a tale in which the two heavyweights of the big data processing sector, Hadoop and Tableau, dance to the rhythm of their own drums, occasionally moving in unison but primarily apart. This autonomy could stem from the different functional spaces that each tool occupies; Tableau, with its expertise in data visualization, and Hadoop, with its robust data processing infrastructure, are appropriate for different stages of the data analytics process.</w:t>
      </w:r>
    </w:p>
    <w:p w14:paraId="4A1FAFF5" w14:textId="03DB4F09" w:rsidR="001B1F3E" w:rsidRDefault="001B1F3E" w:rsidP="00F03427">
      <w:proofErr w:type="spellStart"/>
      <w:r>
        <w:t>GreenMed</w:t>
      </w:r>
      <w:proofErr w:type="spellEnd"/>
      <w:r>
        <w:t xml:space="preserve"> Innovations might discover that the low correlation indicates that choosing Tableau or Hadoop for a particular data processing task won't have a significant effect on the performance of one tool. Understanding that simultaneous operations using both tools are unlikely to significantly impact one another's processing durations should help the company better plan and allocate its resources.</w:t>
      </w:r>
    </w:p>
    <w:p w14:paraId="3CAE19F4" w14:textId="77777777" w:rsidR="001B1F3E" w:rsidRDefault="001B1F3E" w:rsidP="00F03427">
      <w:r>
        <w:t xml:space="preserve">In the broad picture of data analytics, where each tool must be properly chosen for its intended use, such insights are essential. They assist </w:t>
      </w:r>
      <w:proofErr w:type="spellStart"/>
      <w:r>
        <w:t>GreenMed</w:t>
      </w:r>
      <w:proofErr w:type="spellEnd"/>
      <w:r>
        <w:t xml:space="preserve"> Innovations in creating an efficient workflow where each tool can be utilized to its fullest potential without needing to be concerned about performance deterioration caused by inter-tool processing time dependencies. As a result, </w:t>
      </w:r>
      <w:proofErr w:type="spellStart"/>
      <w:r>
        <w:t>GreenMed</w:t>
      </w:r>
      <w:proofErr w:type="spellEnd"/>
      <w:r>
        <w:t xml:space="preserve"> is equipped to meet the demands of big data analytics, ensuring that patient care is supported by efficient and timely data processing.</w:t>
      </w:r>
    </w:p>
    <w:p w14:paraId="1CB214FD" w14:textId="35E7B6DE" w:rsidR="00056C52" w:rsidRDefault="006B684D" w:rsidP="006B684D">
      <w:pPr>
        <w:jc w:val="left"/>
      </w:pPr>
      <w:r>
        <w:lastRenderedPageBreak/>
        <w:t>Part 2:</w:t>
      </w:r>
      <w:r w:rsidR="00056C52">
        <w:br/>
        <w:t>To explore the relationship between the processing rates of the two programs, a scatterplot was constructed, where the horizontal axis represents Hadoop's processing time and the vertical axis represents Tableau's</w:t>
      </w:r>
      <w:r w:rsidR="00DC188A">
        <w:t xml:space="preserve"> </w:t>
      </w:r>
      <w:r w:rsidR="007F6F01" w:rsidRPr="007F6F01">
        <w:t>(Kafle, 2019)</w:t>
      </w:r>
      <w:r w:rsidR="00056C52">
        <w:t>. The scatterplot is a statistical visual narrative that shows the distribution of dots on a canvas, each of which denotes a different intersection of the processing periods of the two tools on a given day.</w:t>
      </w:r>
    </w:p>
    <w:p w14:paraId="7A298BB8" w14:textId="77777777" w:rsidR="00150775" w:rsidRDefault="00150775" w:rsidP="00150775">
      <w:pPr>
        <w:keepNext/>
        <w:jc w:val="center"/>
      </w:pPr>
      <w:r>
        <w:rPr>
          <w:noProof/>
          <w:lang w:bidi="hi-IN"/>
        </w:rPr>
        <w:drawing>
          <wp:inline distT="0" distB="0" distL="0" distR="0" wp14:anchorId="43656389" wp14:editId="7208B16E">
            <wp:extent cx="5943600" cy="3479800"/>
            <wp:effectExtent l="0" t="0" r="0" b="0"/>
            <wp:docPr id="1537189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89037" name=""/>
                    <pic:cNvPicPr/>
                  </pic:nvPicPr>
                  <pic:blipFill>
                    <a:blip r:embed="rId14"/>
                    <a:stretch>
                      <a:fillRect/>
                    </a:stretch>
                  </pic:blipFill>
                  <pic:spPr>
                    <a:xfrm>
                      <a:off x="0" y="0"/>
                      <a:ext cx="5943600" cy="3479800"/>
                    </a:xfrm>
                    <a:prstGeom prst="rect">
                      <a:avLst/>
                    </a:prstGeom>
                  </pic:spPr>
                </pic:pic>
              </a:graphicData>
            </a:graphic>
          </wp:inline>
        </w:drawing>
      </w:r>
    </w:p>
    <w:p w14:paraId="64A3EE82" w14:textId="58AD803B" w:rsidR="00CC3CC3" w:rsidRDefault="00150775" w:rsidP="00150775">
      <w:pPr>
        <w:pStyle w:val="Caption"/>
        <w:jc w:val="center"/>
      </w:pPr>
      <w:bookmarkStart w:id="8" w:name="_Toc150530720"/>
      <w:r>
        <w:t xml:space="preserve">Figure </w:t>
      </w:r>
      <w:fldSimple w:instr=" SEQ Figure \* ARABIC ">
        <w:r>
          <w:rPr>
            <w:noProof/>
          </w:rPr>
          <w:t>6</w:t>
        </w:r>
      </w:fldSimple>
      <w:r>
        <w:t>: Scatter plot</w:t>
      </w:r>
      <w:r w:rsidR="00C31F7E">
        <w:t xml:space="preserve"> of Tableau Processing time by Hadoop Processing time</w:t>
      </w:r>
      <w:bookmarkEnd w:id="8"/>
    </w:p>
    <w:p w14:paraId="4F262B80" w14:textId="77777777" w:rsidR="00056C52" w:rsidRDefault="00056C52" w:rsidP="00056C52">
      <w:r>
        <w:t>The scenario we are witnessing narrates a tale of indirect correlation rather than a robust relationship between the two variables. Scattered across the plot, each dot acts as a lone sentinel, with just a slight rising trajectory discernible as we walk from left to right along the Hadoop axis. The previously mentioned positive association is supported by this slight increase in Tableau's processing times in comparison to Hadoop's growth, however it's more of a murmur than a loud chorus.</w:t>
      </w:r>
    </w:p>
    <w:p w14:paraId="31DFDEA1" w14:textId="12D6A289" w:rsidR="00056C52" w:rsidRDefault="00056C52" w:rsidP="00056C52">
      <w:r>
        <w:t xml:space="preserve">The area occupied by each point on the graph, which is unconstrained by a tight linear structure, is its most striking feature. This graphic representation also supports the statistical results: A correlation between two variables that might accurately predict changes in one might not be </w:t>
      </w:r>
      <w:r>
        <w:lastRenderedPageBreak/>
        <w:t>implied by a Pearson Correlation Coefficient of 0.178. Instead of a dense cluster of dots around a line of best fit, which would suggest a high correlation, the scatterplot displays a constellation of data points that suggest independence with the potential for a weak association.</w:t>
      </w:r>
    </w:p>
    <w:p w14:paraId="041381ED" w14:textId="3294B156" w:rsidR="00056C52" w:rsidRDefault="00056C52" w:rsidP="00056C52">
      <w:r>
        <w:t xml:space="preserve">This scatterplot has straightforward yet important implications for </w:t>
      </w:r>
      <w:proofErr w:type="spellStart"/>
      <w:r>
        <w:t>GreenMed</w:t>
      </w:r>
      <w:proofErr w:type="spellEnd"/>
      <w:r>
        <w:t xml:space="preserve"> Innovations. It suggests that Tableau's operational efficiencies and Hadoop's are not highly correlated. This independence is a boon since it allows the healthcare innovator to fully utilize any technology without being constrained by the interdependent demands of efficiency. Hadoop's data processing capacity may affect Tableau's visualization timings without continual consideration, and vice versa.</w:t>
      </w:r>
    </w:p>
    <w:p w14:paraId="7B6C22A8" w14:textId="77777777" w:rsidR="00056C52" w:rsidRDefault="00056C52" w:rsidP="00056C52">
      <w:r>
        <w:t xml:space="preserve">The scatterplot is more than simply a list of points; it narrates a story of independence and shows that the two tools are free to play their different data symphonies on their own, even in the face of sporadic beat similarities. In the symphony of </w:t>
      </w:r>
      <w:proofErr w:type="spellStart"/>
      <w:r>
        <w:t>GreenMed's</w:t>
      </w:r>
      <w:proofErr w:type="spellEnd"/>
      <w:r>
        <w:t xml:space="preserve"> data analytics operations, this translates to freedom and flexibility in tool selection, which can lead to improved performance tailored to each distinct assignment. Such insights are critical because they guarantee that data processing and visualization may work together without unnecessary dependencies. This is important since the results of patient care depend on the timely and effective interpretation of data.</w:t>
      </w:r>
    </w:p>
    <w:p w14:paraId="2A87C1EB" w14:textId="52C2C20D" w:rsidR="006B3A7E" w:rsidRDefault="00BB6DA1" w:rsidP="00AD3A85">
      <w:pPr>
        <w:pStyle w:val="Heading1"/>
      </w:pPr>
      <w:bookmarkStart w:id="9" w:name="_Toc150532012"/>
      <w:r>
        <w:t>Part</w:t>
      </w:r>
      <w:r w:rsidR="00AD3A85">
        <w:t xml:space="preserve"> 2</w:t>
      </w:r>
      <w:bookmarkEnd w:id="9"/>
    </w:p>
    <w:p w14:paraId="4ECADC20" w14:textId="77777777" w:rsidR="00AD3A85" w:rsidRDefault="00AD3A85" w:rsidP="00AD3A85">
      <w:pPr>
        <w:pStyle w:val="ListParagraph"/>
        <w:numPr>
          <w:ilvl w:val="0"/>
          <w:numId w:val="3"/>
        </w:numPr>
      </w:pPr>
      <w:r>
        <w:t>In the tapestry of data analysis, three popular tools—SPSS, Excel, and Tableau—stand out for their unique characteristics. Each has advantages and disadvantages of its own, and choosing between them often comes down to the specific needs of the project at hand.</w:t>
      </w:r>
    </w:p>
    <w:p w14:paraId="0F408B48" w14:textId="20EEF940" w:rsidR="00AD3A85" w:rsidRDefault="00E81B1E" w:rsidP="00E81B1E">
      <w:pPr>
        <w:pStyle w:val="ListParagraph"/>
      </w:pPr>
      <w:r w:rsidRPr="00E81B1E">
        <w:rPr>
          <w:b/>
          <w:bCs/>
        </w:rPr>
        <w:t>SPSS: The Statistical Sage</w:t>
      </w:r>
    </w:p>
    <w:p w14:paraId="43683175" w14:textId="31D95955" w:rsidR="00AD3A85" w:rsidRDefault="00AD3A85" w:rsidP="003242AE">
      <w:pPr>
        <w:pStyle w:val="ListParagraph"/>
      </w:pPr>
      <w:r>
        <w:t xml:space="preserve">SPSS is an excellent tool for statistical analysis because of its advanced data processing tools and strong statistical testing. Academics and researchers, who frequently perform intricate studies like ANOVA, regression, and factor analysis, are the ones who profit most from it. SPSS offers accuracy and robustness with a wide range of tests for </w:t>
      </w:r>
      <w:proofErr w:type="spellStart"/>
      <w:r>
        <w:t>GreenMed</w:t>
      </w:r>
      <w:proofErr w:type="spellEnd"/>
      <w:r>
        <w:t xml:space="preserve"> Innovations, which may run complex statistical models as part of its sophisticated medical research</w:t>
      </w:r>
      <w:r w:rsidR="00DC188A">
        <w:t xml:space="preserve"> </w:t>
      </w:r>
      <w:r w:rsidR="00DC188A" w:rsidRPr="00DC188A">
        <w:t>(Xu &amp; Garfield, 2023)</w:t>
      </w:r>
      <w:r>
        <w:t>.</w:t>
      </w:r>
    </w:p>
    <w:p w14:paraId="15C5AC57" w14:textId="6ADB1744" w:rsidR="00AD3A85" w:rsidRDefault="00AD3A85" w:rsidP="003242AE">
      <w:pPr>
        <w:pStyle w:val="ListParagraph"/>
      </w:pPr>
      <w:r>
        <w:t xml:space="preserve">However, SPSS can be less intuitive for beginners and has a steep learning curve. With the licensing fees and staff training required to use it effectively, the application might also be </w:t>
      </w:r>
      <w:r>
        <w:lastRenderedPageBreak/>
        <w:t xml:space="preserve">seen as an expensive investment for a business such as </w:t>
      </w:r>
      <w:proofErr w:type="spellStart"/>
      <w:r>
        <w:t>GreenMed</w:t>
      </w:r>
      <w:proofErr w:type="spellEnd"/>
      <w:r>
        <w:t>, which would not necessarily need complex statistical techniques for every data analysis task.</w:t>
      </w:r>
    </w:p>
    <w:p w14:paraId="31A82172" w14:textId="684BA353" w:rsidR="003242AE" w:rsidRDefault="003242AE" w:rsidP="003242AE">
      <w:pPr>
        <w:pStyle w:val="ListParagraph"/>
      </w:pPr>
      <w:r w:rsidRPr="003242AE">
        <w:rPr>
          <w:b/>
          <w:bCs/>
        </w:rPr>
        <w:t>Excel: The Versatile Veteran</w:t>
      </w:r>
    </w:p>
    <w:p w14:paraId="5B71449E" w14:textId="77777777" w:rsidR="00AD3A85" w:rsidRDefault="00AD3A85" w:rsidP="00501558">
      <w:pPr>
        <w:pStyle w:val="ListParagraph"/>
      </w:pPr>
      <w:r>
        <w:t xml:space="preserve">Excel is highly appreciated for its versatility and is used extensively in the commercial sector. Because of its numerous features, which span from basic spreadsheet management to more complex data analysis tools like pivot tables, charts, and conditional formatting, the majority of professionals are familiar with it. Excel's versatility and user-friendliness made it ideal for scheduling, budgeting, and organizing patient data for </w:t>
      </w:r>
      <w:proofErr w:type="spellStart"/>
      <w:r>
        <w:t>GreenMed's</w:t>
      </w:r>
      <w:proofErr w:type="spellEnd"/>
      <w:r>
        <w:t xml:space="preserve"> administrative staff.</w:t>
      </w:r>
    </w:p>
    <w:p w14:paraId="0EE59287" w14:textId="77777777" w:rsidR="00AD3A85" w:rsidRDefault="00AD3A85" w:rsidP="00501558">
      <w:pPr>
        <w:pStyle w:val="ListParagraph"/>
      </w:pPr>
      <w:r>
        <w:t xml:space="preserve">However, Excel's accessibility is not without its limitations. Although it is not meant for huge data sets, it works well with intermediate datasets. It can only handle a certain number of rows and level of complexity before performance begins to suffer. Furthermore, Excel's statistical capabilities are not as complete or sophisticated as those of SPSS, which may limit its use in more serious, scientific research with substantial data sets at </w:t>
      </w:r>
      <w:proofErr w:type="spellStart"/>
      <w:r>
        <w:t>GreenMed</w:t>
      </w:r>
      <w:proofErr w:type="spellEnd"/>
      <w:r>
        <w:t>.</w:t>
      </w:r>
    </w:p>
    <w:p w14:paraId="7D3277F9" w14:textId="792661D6" w:rsidR="00501558" w:rsidRDefault="00501558" w:rsidP="00501558">
      <w:pPr>
        <w:pStyle w:val="ListParagraph"/>
      </w:pPr>
      <w:r w:rsidRPr="00501558">
        <w:rPr>
          <w:b/>
          <w:bCs/>
        </w:rPr>
        <w:t>Tableau: The Visual Virtuoso</w:t>
      </w:r>
    </w:p>
    <w:p w14:paraId="06A74316" w14:textId="715ED2D4" w:rsidR="00AD3A85" w:rsidRDefault="00AD3A85" w:rsidP="00501558">
      <w:pPr>
        <w:pStyle w:val="ListParagraph"/>
      </w:pPr>
      <w:r>
        <w:t>Tableau is the guru of data visualization, offering a platform that turns complex information into visually engaging stories with ease</w:t>
      </w:r>
      <w:r w:rsidR="002C7DA3">
        <w:t xml:space="preserve"> </w:t>
      </w:r>
      <w:r w:rsidR="002C7DA3" w:rsidRPr="002C7DA3">
        <w:t>(Booker et al., 2023)</w:t>
      </w:r>
      <w:r>
        <w:t xml:space="preserve">. For instance, </w:t>
      </w:r>
      <w:proofErr w:type="spellStart"/>
      <w:r>
        <w:t>GreenMed</w:t>
      </w:r>
      <w:proofErr w:type="spellEnd"/>
      <w:r>
        <w:t xml:space="preserve"> might use Tableau to create interactive dashboards with patient outcome information that, at a glance, provide insights that can be put into practice. This would be highly beneficial for team presentations or presentations to stakeholders when data-driven decision-making is crucial.</w:t>
      </w:r>
    </w:p>
    <w:p w14:paraId="58E3C462" w14:textId="4015FBE4" w:rsidR="00AD3A85" w:rsidRDefault="00AD3A85" w:rsidP="00AD3A85">
      <w:pPr>
        <w:pStyle w:val="ListParagraph"/>
      </w:pPr>
      <w:r>
        <w:t>However, because Tableau focuses primarily on visualization, it does not offer the depth of statistical analysis that SPSS offers. Although it might not be as capable as Excel in terms of thorough data cleansing and preparation, it is more adept at handling bigger datasets. In addition, a small company or team with limited resources can view Tableau's cost and the need for employees to undergo specialized training as drawbacks.</w:t>
      </w:r>
    </w:p>
    <w:p w14:paraId="46A05614" w14:textId="01F137BB" w:rsidR="00AD3A85" w:rsidRPr="00AD3A85" w:rsidRDefault="00AD3A85" w:rsidP="00AD3A85">
      <w:pPr>
        <w:pStyle w:val="ListParagraph"/>
        <w:rPr>
          <w:b/>
          <w:bCs/>
        </w:rPr>
      </w:pPr>
      <w:r w:rsidRPr="00AD3A85">
        <w:rPr>
          <w:b/>
          <w:bCs/>
        </w:rPr>
        <w:t>Conclusion</w:t>
      </w:r>
    </w:p>
    <w:p w14:paraId="2D011A56" w14:textId="31064723" w:rsidR="00AD3A85" w:rsidRDefault="00AD3A85" w:rsidP="00AD3A85">
      <w:pPr>
        <w:pStyle w:val="ListParagraph"/>
      </w:pPr>
      <w:r>
        <w:t xml:space="preserve">When deciding between SPSS, Excel, and Tableau, the tool that is most appropriate for a particular task takes precedence over the tool that is best in general. Excel provides a broad range of applications and familiarity for </w:t>
      </w:r>
      <w:proofErr w:type="spellStart"/>
      <w:r>
        <w:t>GreenMed</w:t>
      </w:r>
      <w:proofErr w:type="spellEnd"/>
      <w:r>
        <w:t xml:space="preserve"> Innovations, while Tableau offers unmatched visualization capabilities and statistical depth. Matching the tool's capabilities </w:t>
      </w:r>
      <w:r>
        <w:lastRenderedPageBreak/>
        <w:t>to the needs of the business is crucial, regardless of whether it is being used for regular data administration, in-depth statistical analysis, or eye-catching visual data presentations. The ability to choose the right tool can enhance patient outcomes by decreasing costs, optimizing workflows, and finally raising the bar for healthcare data analysis.</w:t>
      </w:r>
    </w:p>
    <w:p w14:paraId="3697BCBB" w14:textId="388E9E50" w:rsidR="002B1655" w:rsidRDefault="002B1655" w:rsidP="000A69EA">
      <w:pPr>
        <w:pStyle w:val="ListParagraph"/>
        <w:numPr>
          <w:ilvl w:val="0"/>
          <w:numId w:val="3"/>
        </w:numPr>
      </w:pPr>
      <w:r>
        <w:t>In the complex realm of data management, data governance is often the unsung hero, working in the background to ensure data accuracy, safety, and usability. Data governance refers to the set of rules, procedures, and guidelines that define how information is collected, stored, managed, and used inside an organization. Data is a precious asset in this day and age, but it is also a crucial component of operational, strategic, and decision-making processes.</w:t>
      </w:r>
    </w:p>
    <w:p w14:paraId="76302E2B" w14:textId="77777777" w:rsidR="002B1655" w:rsidRDefault="002B1655" w:rsidP="000A69EA">
      <w:pPr>
        <w:pStyle w:val="ListParagraph"/>
      </w:pPr>
      <w:r>
        <w:t xml:space="preserve">Think of a provider of healthcare supplies like </w:t>
      </w:r>
      <w:proofErr w:type="spellStart"/>
      <w:r>
        <w:t>GreenMed</w:t>
      </w:r>
      <w:proofErr w:type="spellEnd"/>
      <w:r>
        <w:t xml:space="preserve"> Innovations. The organization deals with sensitive patient data on a daily basis, such as treatment plans, medical histories, and personally identifiable information. Data governance is the cornerstone of patient information protection in this instance. </w:t>
      </w:r>
      <w:proofErr w:type="spellStart"/>
      <w:r>
        <w:t>GreenMed</w:t>
      </w:r>
      <w:proofErr w:type="spellEnd"/>
      <w:r>
        <w:t xml:space="preserve"> has strict data handling policies in place to ensure compliance with regulations like HIPAA, safeguarding patient confidentiality and confidence—two things that are vital to the healthcare sector.</w:t>
      </w:r>
    </w:p>
    <w:p w14:paraId="5A7CEC1B" w14:textId="4E4E86B7" w:rsidR="000A69EA" w:rsidRDefault="002B1655" w:rsidP="000A69EA">
      <w:pPr>
        <w:pStyle w:val="ListParagraph"/>
      </w:pPr>
      <w:r>
        <w:t xml:space="preserve">Additionally, data governance ensures that the information gathered for research projects—in which </w:t>
      </w:r>
      <w:proofErr w:type="spellStart"/>
      <w:r>
        <w:t>GreenMed</w:t>
      </w:r>
      <w:proofErr w:type="spellEnd"/>
      <w:r>
        <w:t xml:space="preserve"> might be involved in several—is accurate, dependable, and verifiable. Imagine a clinical trial where patients' responses to a new medication are recorded. Data governance regulations would outline how these responses are to be recorded, who is allowed access to this information, and how discrepancies are to be resolved in order to preserve the </w:t>
      </w:r>
      <w:proofErr w:type="spellStart"/>
      <w:r>
        <w:t>calibre</w:t>
      </w:r>
      <w:proofErr w:type="spellEnd"/>
      <w:r>
        <w:t xml:space="preserve"> and reliability of the research findings</w:t>
      </w:r>
      <w:r w:rsidR="00AC27C8">
        <w:t xml:space="preserve"> </w:t>
      </w:r>
      <w:r w:rsidR="00AC27C8" w:rsidRPr="00AC27C8">
        <w:t xml:space="preserve">(Abraham, Schneider, &amp; </w:t>
      </w:r>
      <w:proofErr w:type="spellStart"/>
      <w:r w:rsidR="00AC27C8" w:rsidRPr="00AC27C8">
        <w:t>Vom</w:t>
      </w:r>
      <w:proofErr w:type="spellEnd"/>
      <w:r w:rsidR="00AC27C8" w:rsidRPr="00AC27C8">
        <w:t xml:space="preserve"> </w:t>
      </w:r>
      <w:proofErr w:type="spellStart"/>
      <w:r w:rsidR="00AC27C8" w:rsidRPr="00AC27C8">
        <w:t>Brocke</w:t>
      </w:r>
      <w:proofErr w:type="spellEnd"/>
      <w:r w:rsidR="00AC27C8" w:rsidRPr="00AC27C8">
        <w:t>, 2019)</w:t>
      </w:r>
      <w:r>
        <w:t>.</w:t>
      </w:r>
    </w:p>
    <w:p w14:paraId="1BAC74F0" w14:textId="764BF181" w:rsidR="002B1655" w:rsidRDefault="002B1655" w:rsidP="000A69EA">
      <w:pPr>
        <w:pStyle w:val="ListParagraph"/>
      </w:pPr>
      <w:r>
        <w:t xml:space="preserve">Data protection and quality assurance alone are not enough, though; data governance is more. It encompasses the concept of data democratization as well, which holds that non-technical people need to have access to data without compromising its integrity. For example, accessing patient demographic data and customizing health programs shouldn't require a high level of IT expertise for a marketing analyst at </w:t>
      </w:r>
      <w:proofErr w:type="spellStart"/>
      <w:r>
        <w:t>GreenMed</w:t>
      </w:r>
      <w:proofErr w:type="spellEnd"/>
      <w:r>
        <w:t>. Data governance frameworks facilitate this process by providing clear guidelines for data access, usage authorization, and the creation of user-friendly data repositories.</w:t>
      </w:r>
    </w:p>
    <w:p w14:paraId="51891E69" w14:textId="77777777" w:rsidR="002B1655" w:rsidRDefault="002B1655" w:rsidP="002B1655">
      <w:pPr>
        <w:pStyle w:val="ListParagraph"/>
      </w:pPr>
      <w:r>
        <w:lastRenderedPageBreak/>
        <w:t xml:space="preserve">The importance of data governance is further highlighted in the context of data analytics. Similar to numerous other data-driven enterprises, </w:t>
      </w:r>
      <w:proofErr w:type="spellStart"/>
      <w:r>
        <w:t>GreenMed</w:t>
      </w:r>
      <w:proofErr w:type="spellEnd"/>
      <w:r>
        <w:t xml:space="preserve"> Innovations makes strategic decisions based on insights obtained from data. Data governance helps prevent the well-known issue of "garbage in, garbage out," which can lead to misguided strategies and resource waste, by guaranteeing that the data supplying these analytics tools is of the greatest quality.</w:t>
      </w:r>
    </w:p>
    <w:p w14:paraId="55251CD9" w14:textId="77777777" w:rsidR="002B1655" w:rsidRDefault="002B1655" w:rsidP="002B1655">
      <w:pPr>
        <w:pStyle w:val="ListParagraph"/>
      </w:pPr>
      <w:r>
        <w:t xml:space="preserve">It's important to remember that data governance fosters creativity. When their data is secure and well-managed, </w:t>
      </w:r>
      <w:proofErr w:type="spellStart"/>
      <w:r>
        <w:t>GreenMed</w:t>
      </w:r>
      <w:proofErr w:type="spellEnd"/>
      <w:r>
        <w:t xml:space="preserve"> may engage in joint research, build partnerships, and communicate with stakeholders with confidence, knowing that their data governance policies will protect their interests and comply with ethical and legal obligations.</w:t>
      </w:r>
    </w:p>
    <w:p w14:paraId="209FDC3E" w14:textId="4EA8EE18" w:rsidR="00C31F7E" w:rsidRDefault="002B1655" w:rsidP="00C31F7E">
      <w:pPr>
        <w:pStyle w:val="ListParagraph"/>
      </w:pPr>
      <w:r>
        <w:t>However, data governance is not without its challenges. It demands that accessibility and security, as well as control and flexibility, be carefully balanced</w:t>
      </w:r>
      <w:r w:rsidR="003107D2">
        <w:t xml:space="preserve"> </w:t>
      </w:r>
      <w:r w:rsidR="003107D2" w:rsidRPr="003107D2">
        <w:t>(Janssen et al., 2020)</w:t>
      </w:r>
      <w:r>
        <w:t>. A company's entire hierarchy, from the C-suite to the data entry specialists, needs to be dedicated to it. The field of good data governance is dynamic and always changing, needing to adapt to the changing needs of companies, regulations, and technology. This is a continuous workout.</w:t>
      </w:r>
    </w:p>
    <w:p w14:paraId="61A63DA4" w14:textId="023088F9" w:rsidR="00C31F7E" w:rsidRDefault="00C31F7E" w:rsidP="00C31F7E">
      <w:pPr>
        <w:pStyle w:val="Heading1"/>
      </w:pPr>
      <w:bookmarkStart w:id="10" w:name="_Toc150532013"/>
      <w:r>
        <w:t>Conclusion</w:t>
      </w:r>
      <w:bookmarkEnd w:id="10"/>
    </w:p>
    <w:p w14:paraId="1947BDD9" w14:textId="4162DF3E" w:rsidR="00E817F2" w:rsidRPr="007A2A07" w:rsidRDefault="007A2A07">
      <w:proofErr w:type="spellStart"/>
      <w:r>
        <w:t>GreenMed</w:t>
      </w:r>
      <w:proofErr w:type="spellEnd"/>
      <w:r>
        <w:t xml:space="preserve"> Innovations used the "GreenMed_Healthcare_2023" dataset to examine a number of data processing methods. The analysis shows how Hadoop, Spark, R, Python, and Tableau are different from one another when it comes to managing large datasets. The analysis emphasizes the benefits and drawbacks of each tool in terms of processing capabilities and speeds, and it also demonstrates how important it is to match the right tool to the specific needs of a data-driven healthcare project. The meticulous manner in which </w:t>
      </w:r>
      <w:proofErr w:type="spellStart"/>
      <w:r>
        <w:t>GreenMed</w:t>
      </w:r>
      <w:proofErr w:type="spellEnd"/>
      <w:r>
        <w:t xml:space="preserve"> has employed these tools to enhance patient care and propel healthcare analytics underscores the need of carrying out efficient and tailored data analysis.</w:t>
      </w:r>
    </w:p>
    <w:p w14:paraId="6E8CB345" w14:textId="48A52960" w:rsidR="00C31F7E" w:rsidRDefault="00C31F7E" w:rsidP="00C31F7E">
      <w:pPr>
        <w:pStyle w:val="Heading1"/>
      </w:pPr>
      <w:bookmarkStart w:id="11" w:name="_Toc150532014"/>
      <w:r>
        <w:t>References</w:t>
      </w:r>
      <w:bookmarkEnd w:id="11"/>
    </w:p>
    <w:p w14:paraId="0C8A34EC"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 xml:space="preserve">Abraham, R., Schneider, J. and </w:t>
      </w:r>
      <w:proofErr w:type="spellStart"/>
      <w:r w:rsidRPr="00E817F2">
        <w:rPr>
          <w:rFonts w:cs="Times New Roman"/>
          <w:color w:val="222222"/>
          <w:szCs w:val="24"/>
          <w:shd w:val="clear" w:color="auto" w:fill="FFFFFF"/>
        </w:rPr>
        <w:t>Vom</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Brocke</w:t>
      </w:r>
      <w:proofErr w:type="spellEnd"/>
      <w:r w:rsidRPr="00E817F2">
        <w:rPr>
          <w:rFonts w:cs="Times New Roman"/>
          <w:color w:val="222222"/>
          <w:szCs w:val="24"/>
          <w:shd w:val="clear" w:color="auto" w:fill="FFFFFF"/>
        </w:rPr>
        <w:t>, J., 2019. Data governance: A conceptual framework, structured review, and research agenda. </w:t>
      </w:r>
      <w:r w:rsidRPr="00E817F2">
        <w:rPr>
          <w:rFonts w:cs="Times New Roman"/>
          <w:i/>
          <w:iCs/>
          <w:color w:val="222222"/>
          <w:szCs w:val="24"/>
          <w:shd w:val="clear" w:color="auto" w:fill="FFFFFF"/>
        </w:rPr>
        <w:t>International journal of information management</w:t>
      </w:r>
      <w:r w:rsidRPr="00E817F2">
        <w:rPr>
          <w:rFonts w:cs="Times New Roman"/>
          <w:color w:val="222222"/>
          <w:szCs w:val="24"/>
          <w:shd w:val="clear" w:color="auto" w:fill="FFFFFF"/>
        </w:rPr>
        <w:t>, </w:t>
      </w:r>
      <w:r w:rsidRPr="00E817F2">
        <w:rPr>
          <w:rFonts w:cs="Times New Roman"/>
          <w:i/>
          <w:iCs/>
          <w:color w:val="222222"/>
          <w:szCs w:val="24"/>
          <w:shd w:val="clear" w:color="auto" w:fill="FFFFFF"/>
        </w:rPr>
        <w:t>49</w:t>
      </w:r>
      <w:r w:rsidRPr="00E817F2">
        <w:rPr>
          <w:rFonts w:cs="Times New Roman"/>
          <w:color w:val="222222"/>
          <w:szCs w:val="24"/>
          <w:shd w:val="clear" w:color="auto" w:fill="FFFFFF"/>
        </w:rPr>
        <w:t>, pp.424-438.</w:t>
      </w:r>
    </w:p>
    <w:p w14:paraId="2D1D05FF"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lastRenderedPageBreak/>
        <w:t xml:space="preserve">Booker, Q.E., Rebman Jr, C.M., Powell, L., Wimmer, H., Breese, J. and </w:t>
      </w:r>
      <w:proofErr w:type="spellStart"/>
      <w:r w:rsidRPr="00E817F2">
        <w:rPr>
          <w:rFonts w:cs="Times New Roman"/>
          <w:color w:val="222222"/>
          <w:szCs w:val="24"/>
          <w:shd w:val="clear" w:color="auto" w:fill="FFFFFF"/>
        </w:rPr>
        <w:t>Levkoff</w:t>
      </w:r>
      <w:proofErr w:type="spellEnd"/>
      <w:r w:rsidRPr="00E817F2">
        <w:rPr>
          <w:rFonts w:cs="Times New Roman"/>
          <w:color w:val="222222"/>
          <w:szCs w:val="24"/>
          <w:shd w:val="clear" w:color="auto" w:fill="FFFFFF"/>
        </w:rPr>
        <w:t>, S., 2023. Data Analytics Position Description Analysis: Skills Review and Implications for Data Analytics Curricula. In </w:t>
      </w:r>
      <w:r w:rsidRPr="00E817F2">
        <w:rPr>
          <w:rFonts w:cs="Times New Roman"/>
          <w:i/>
          <w:iCs/>
          <w:color w:val="222222"/>
          <w:szCs w:val="24"/>
          <w:shd w:val="clear" w:color="auto" w:fill="FFFFFF"/>
        </w:rPr>
        <w:t>Proceedings of the ISCAP Conference ISSN</w:t>
      </w:r>
      <w:r w:rsidRPr="00E817F2">
        <w:rPr>
          <w:rFonts w:cs="Times New Roman"/>
          <w:color w:val="222222"/>
          <w:szCs w:val="24"/>
          <w:shd w:val="clear" w:color="auto" w:fill="FFFFFF"/>
        </w:rPr>
        <w:t> (Vol. 2473, p. 4901).</w:t>
      </w:r>
    </w:p>
    <w:p w14:paraId="4D7BCD52"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Guerrero, H., Guerrero, R. and Rauscher, 2019. </w:t>
      </w:r>
      <w:r w:rsidRPr="00E817F2">
        <w:rPr>
          <w:rFonts w:cs="Times New Roman"/>
          <w:i/>
          <w:iCs/>
          <w:color w:val="222222"/>
          <w:szCs w:val="24"/>
          <w:shd w:val="clear" w:color="auto" w:fill="FFFFFF"/>
        </w:rPr>
        <w:t>Excel data analysis</w:t>
      </w:r>
      <w:r w:rsidRPr="00E817F2">
        <w:rPr>
          <w:rFonts w:cs="Times New Roman"/>
          <w:color w:val="222222"/>
          <w:szCs w:val="24"/>
          <w:shd w:val="clear" w:color="auto" w:fill="FFFFFF"/>
        </w:rPr>
        <w:t>. Springer International Publishing.</w:t>
      </w:r>
    </w:p>
    <w:p w14:paraId="218099C8"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 xml:space="preserve">Hendrian, S., </w:t>
      </w:r>
      <w:proofErr w:type="spellStart"/>
      <w:r w:rsidRPr="00E817F2">
        <w:rPr>
          <w:rFonts w:cs="Times New Roman"/>
          <w:color w:val="222222"/>
          <w:szCs w:val="24"/>
          <w:shd w:val="clear" w:color="auto" w:fill="FFFFFF"/>
        </w:rPr>
        <w:t>Julaeha</w:t>
      </w:r>
      <w:proofErr w:type="spellEnd"/>
      <w:r w:rsidRPr="00E817F2">
        <w:rPr>
          <w:rFonts w:cs="Times New Roman"/>
          <w:color w:val="222222"/>
          <w:szCs w:val="24"/>
          <w:shd w:val="clear" w:color="auto" w:fill="FFFFFF"/>
        </w:rPr>
        <w:t xml:space="preserve">, S. and </w:t>
      </w:r>
      <w:proofErr w:type="spellStart"/>
      <w:r w:rsidRPr="00E817F2">
        <w:rPr>
          <w:rFonts w:cs="Times New Roman"/>
          <w:color w:val="222222"/>
          <w:szCs w:val="24"/>
          <w:shd w:val="clear" w:color="auto" w:fill="FFFFFF"/>
        </w:rPr>
        <w:t>Ardiansyah</w:t>
      </w:r>
      <w:proofErr w:type="spellEnd"/>
      <w:r w:rsidRPr="00E817F2">
        <w:rPr>
          <w:rFonts w:cs="Times New Roman"/>
          <w:color w:val="222222"/>
          <w:szCs w:val="24"/>
          <w:shd w:val="clear" w:color="auto" w:fill="FFFFFF"/>
        </w:rPr>
        <w:t xml:space="preserve">, M., 2023. </w:t>
      </w:r>
      <w:proofErr w:type="spellStart"/>
      <w:r w:rsidRPr="00E817F2">
        <w:rPr>
          <w:rFonts w:cs="Times New Roman"/>
          <w:color w:val="222222"/>
          <w:szCs w:val="24"/>
          <w:shd w:val="clear" w:color="auto" w:fill="FFFFFF"/>
        </w:rPr>
        <w:t>Pengaruh</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Penerapan</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Teknologi</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Informasi</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Pembuatan</w:t>
      </w:r>
      <w:proofErr w:type="spellEnd"/>
      <w:r w:rsidRPr="00E817F2">
        <w:rPr>
          <w:rFonts w:cs="Times New Roman"/>
          <w:color w:val="222222"/>
          <w:szCs w:val="24"/>
          <w:shd w:val="clear" w:color="auto" w:fill="FFFFFF"/>
        </w:rPr>
        <w:t xml:space="preserve"> Ap-</w:t>
      </w:r>
      <w:proofErr w:type="spellStart"/>
      <w:r w:rsidRPr="00E817F2">
        <w:rPr>
          <w:rFonts w:cs="Times New Roman"/>
          <w:color w:val="222222"/>
          <w:szCs w:val="24"/>
          <w:shd w:val="clear" w:color="auto" w:fill="FFFFFF"/>
        </w:rPr>
        <w:t>likasi</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Raport</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Berbasis</w:t>
      </w:r>
      <w:proofErr w:type="spellEnd"/>
      <w:r w:rsidRPr="00E817F2">
        <w:rPr>
          <w:rFonts w:cs="Times New Roman"/>
          <w:color w:val="222222"/>
          <w:szCs w:val="24"/>
          <w:shd w:val="clear" w:color="auto" w:fill="FFFFFF"/>
        </w:rPr>
        <w:t xml:space="preserve"> Microsoft Excel </w:t>
      </w:r>
      <w:proofErr w:type="spellStart"/>
      <w:r w:rsidRPr="00E817F2">
        <w:rPr>
          <w:rFonts w:cs="Times New Roman"/>
          <w:color w:val="222222"/>
          <w:szCs w:val="24"/>
          <w:shd w:val="clear" w:color="auto" w:fill="FFFFFF"/>
        </w:rPr>
        <w:t>Terhadap</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Kemampu</w:t>
      </w:r>
      <w:proofErr w:type="spellEnd"/>
      <w:r w:rsidRPr="00E817F2">
        <w:rPr>
          <w:rFonts w:cs="Times New Roman"/>
          <w:color w:val="222222"/>
          <w:szCs w:val="24"/>
          <w:shd w:val="clear" w:color="auto" w:fill="FFFFFF"/>
        </w:rPr>
        <w:t>-</w:t>
      </w:r>
      <w:proofErr w:type="gramStart"/>
      <w:r w:rsidRPr="00E817F2">
        <w:rPr>
          <w:rFonts w:cs="Times New Roman"/>
          <w:color w:val="222222"/>
          <w:szCs w:val="24"/>
          <w:shd w:val="clear" w:color="auto" w:fill="FFFFFF"/>
        </w:rPr>
        <w:t>an</w:t>
      </w:r>
      <w:proofErr w:type="gramEnd"/>
      <w:r w:rsidRPr="00E817F2">
        <w:rPr>
          <w:rFonts w:cs="Times New Roman"/>
          <w:color w:val="222222"/>
          <w:szCs w:val="24"/>
          <w:shd w:val="clear" w:color="auto" w:fill="FFFFFF"/>
        </w:rPr>
        <w:t xml:space="preserve"> Tenaga </w:t>
      </w:r>
      <w:proofErr w:type="spellStart"/>
      <w:r w:rsidRPr="00E817F2">
        <w:rPr>
          <w:rFonts w:cs="Times New Roman"/>
          <w:color w:val="222222"/>
          <w:szCs w:val="24"/>
          <w:shd w:val="clear" w:color="auto" w:fill="FFFFFF"/>
        </w:rPr>
        <w:t>Pengajar</w:t>
      </w:r>
      <w:proofErr w:type="spellEnd"/>
      <w:r w:rsidRPr="00E817F2">
        <w:rPr>
          <w:rFonts w:cs="Times New Roman"/>
          <w:color w:val="222222"/>
          <w:szCs w:val="24"/>
          <w:shd w:val="clear" w:color="auto" w:fill="FFFFFF"/>
        </w:rPr>
        <w:t xml:space="preserve"> SMP Bina </w:t>
      </w:r>
      <w:proofErr w:type="spellStart"/>
      <w:r w:rsidRPr="00E817F2">
        <w:rPr>
          <w:rFonts w:cs="Times New Roman"/>
          <w:color w:val="222222"/>
          <w:szCs w:val="24"/>
          <w:shd w:val="clear" w:color="auto" w:fill="FFFFFF"/>
        </w:rPr>
        <w:t>Bangsa</w:t>
      </w:r>
      <w:proofErr w:type="spellEnd"/>
      <w:r w:rsidRPr="00E817F2">
        <w:rPr>
          <w:rFonts w:cs="Times New Roman"/>
          <w:color w:val="222222"/>
          <w:szCs w:val="24"/>
          <w:shd w:val="clear" w:color="auto" w:fill="FFFFFF"/>
        </w:rPr>
        <w:t xml:space="preserve"> </w:t>
      </w:r>
      <w:proofErr w:type="spellStart"/>
      <w:r w:rsidRPr="00E817F2">
        <w:rPr>
          <w:rFonts w:cs="Times New Roman"/>
          <w:color w:val="222222"/>
          <w:szCs w:val="24"/>
          <w:shd w:val="clear" w:color="auto" w:fill="FFFFFF"/>
        </w:rPr>
        <w:t>Mandiri</w:t>
      </w:r>
      <w:proofErr w:type="spellEnd"/>
      <w:r w:rsidRPr="00E817F2">
        <w:rPr>
          <w:rFonts w:cs="Times New Roman"/>
          <w:color w:val="222222"/>
          <w:szCs w:val="24"/>
          <w:shd w:val="clear" w:color="auto" w:fill="FFFFFF"/>
        </w:rPr>
        <w:t xml:space="preserve"> Di </w:t>
      </w:r>
      <w:proofErr w:type="spellStart"/>
      <w:r w:rsidRPr="00E817F2">
        <w:rPr>
          <w:rFonts w:cs="Times New Roman"/>
          <w:color w:val="222222"/>
          <w:szCs w:val="24"/>
          <w:shd w:val="clear" w:color="auto" w:fill="FFFFFF"/>
        </w:rPr>
        <w:t>Gunung</w:t>
      </w:r>
      <w:proofErr w:type="spellEnd"/>
      <w:r w:rsidRPr="00E817F2">
        <w:rPr>
          <w:rFonts w:cs="Times New Roman"/>
          <w:color w:val="222222"/>
          <w:szCs w:val="24"/>
          <w:shd w:val="clear" w:color="auto" w:fill="FFFFFF"/>
        </w:rPr>
        <w:t xml:space="preserve"> Putri Bogor. </w:t>
      </w:r>
      <w:r w:rsidRPr="00E817F2">
        <w:rPr>
          <w:rFonts w:cs="Times New Roman"/>
          <w:i/>
          <w:iCs/>
          <w:color w:val="222222"/>
          <w:szCs w:val="24"/>
          <w:shd w:val="clear" w:color="auto" w:fill="FFFFFF"/>
        </w:rPr>
        <w:t xml:space="preserve">JPT: </w:t>
      </w:r>
      <w:proofErr w:type="spellStart"/>
      <w:r w:rsidRPr="00E817F2">
        <w:rPr>
          <w:rFonts w:cs="Times New Roman"/>
          <w:i/>
          <w:iCs/>
          <w:color w:val="222222"/>
          <w:szCs w:val="24"/>
          <w:shd w:val="clear" w:color="auto" w:fill="FFFFFF"/>
        </w:rPr>
        <w:t>Jurnal</w:t>
      </w:r>
      <w:proofErr w:type="spellEnd"/>
      <w:r w:rsidRPr="00E817F2">
        <w:rPr>
          <w:rFonts w:cs="Times New Roman"/>
          <w:i/>
          <w:iCs/>
          <w:color w:val="222222"/>
          <w:szCs w:val="24"/>
          <w:shd w:val="clear" w:color="auto" w:fill="FFFFFF"/>
        </w:rPr>
        <w:t xml:space="preserve"> Pendidikan </w:t>
      </w:r>
      <w:proofErr w:type="spellStart"/>
      <w:r w:rsidRPr="00E817F2">
        <w:rPr>
          <w:rFonts w:cs="Times New Roman"/>
          <w:i/>
          <w:iCs/>
          <w:color w:val="222222"/>
          <w:szCs w:val="24"/>
          <w:shd w:val="clear" w:color="auto" w:fill="FFFFFF"/>
        </w:rPr>
        <w:t>Tematik</w:t>
      </w:r>
      <w:proofErr w:type="spellEnd"/>
      <w:r w:rsidRPr="00E817F2">
        <w:rPr>
          <w:rFonts w:cs="Times New Roman"/>
          <w:color w:val="222222"/>
          <w:szCs w:val="24"/>
          <w:shd w:val="clear" w:color="auto" w:fill="FFFFFF"/>
        </w:rPr>
        <w:t>, </w:t>
      </w:r>
      <w:r w:rsidRPr="00E817F2">
        <w:rPr>
          <w:rFonts w:cs="Times New Roman"/>
          <w:i/>
          <w:iCs/>
          <w:color w:val="222222"/>
          <w:szCs w:val="24"/>
          <w:shd w:val="clear" w:color="auto" w:fill="FFFFFF"/>
        </w:rPr>
        <w:t>4</w:t>
      </w:r>
      <w:r w:rsidRPr="00E817F2">
        <w:rPr>
          <w:rFonts w:cs="Times New Roman"/>
          <w:color w:val="222222"/>
          <w:szCs w:val="24"/>
          <w:shd w:val="clear" w:color="auto" w:fill="FFFFFF"/>
        </w:rPr>
        <w:t>(1), pp.171-176.</w:t>
      </w:r>
    </w:p>
    <w:p w14:paraId="5D986313"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Janssen, M., Brous, P., Estevez, E., Barbosa, L.S. and Janowski, T., 2020. Data governance: Organizing data for trustworthy Artificial Intelligence. </w:t>
      </w:r>
      <w:r w:rsidRPr="00E817F2">
        <w:rPr>
          <w:rFonts w:cs="Times New Roman"/>
          <w:i/>
          <w:iCs/>
          <w:color w:val="222222"/>
          <w:szCs w:val="24"/>
          <w:shd w:val="clear" w:color="auto" w:fill="FFFFFF"/>
        </w:rPr>
        <w:t>Government Information Quarterly</w:t>
      </w:r>
      <w:r w:rsidRPr="00E817F2">
        <w:rPr>
          <w:rFonts w:cs="Times New Roman"/>
          <w:color w:val="222222"/>
          <w:szCs w:val="24"/>
          <w:shd w:val="clear" w:color="auto" w:fill="FFFFFF"/>
        </w:rPr>
        <w:t>, </w:t>
      </w:r>
      <w:r w:rsidRPr="00E817F2">
        <w:rPr>
          <w:rFonts w:cs="Times New Roman"/>
          <w:i/>
          <w:iCs/>
          <w:color w:val="222222"/>
          <w:szCs w:val="24"/>
          <w:shd w:val="clear" w:color="auto" w:fill="FFFFFF"/>
        </w:rPr>
        <w:t>37</w:t>
      </w:r>
      <w:r w:rsidRPr="00E817F2">
        <w:rPr>
          <w:rFonts w:cs="Times New Roman"/>
          <w:color w:val="222222"/>
          <w:szCs w:val="24"/>
          <w:shd w:val="clear" w:color="auto" w:fill="FFFFFF"/>
        </w:rPr>
        <w:t>(3), p.101493.</w:t>
      </w:r>
    </w:p>
    <w:p w14:paraId="3A1DAC71"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Kafle, S.C., 2019. Correlation and regression analysis using SPSS. </w:t>
      </w:r>
      <w:r w:rsidRPr="00E817F2">
        <w:rPr>
          <w:rFonts w:cs="Times New Roman"/>
          <w:i/>
          <w:iCs/>
          <w:color w:val="222222"/>
          <w:szCs w:val="24"/>
          <w:shd w:val="clear" w:color="auto" w:fill="FFFFFF"/>
        </w:rPr>
        <w:t>Management, Technology &amp; Social Sciences</w:t>
      </w:r>
      <w:r w:rsidRPr="00E817F2">
        <w:rPr>
          <w:rFonts w:cs="Times New Roman"/>
          <w:color w:val="222222"/>
          <w:szCs w:val="24"/>
          <w:shd w:val="clear" w:color="auto" w:fill="FFFFFF"/>
        </w:rPr>
        <w:t>, </w:t>
      </w:r>
      <w:r w:rsidRPr="00E817F2">
        <w:rPr>
          <w:rFonts w:cs="Times New Roman"/>
          <w:i/>
          <w:iCs/>
          <w:color w:val="222222"/>
          <w:szCs w:val="24"/>
          <w:shd w:val="clear" w:color="auto" w:fill="FFFFFF"/>
        </w:rPr>
        <w:t>126</w:t>
      </w:r>
      <w:r w:rsidRPr="00E817F2">
        <w:rPr>
          <w:rFonts w:cs="Times New Roman"/>
          <w:color w:val="222222"/>
          <w:szCs w:val="24"/>
          <w:shd w:val="clear" w:color="auto" w:fill="FFFFFF"/>
        </w:rPr>
        <w:t>.</w:t>
      </w:r>
    </w:p>
    <w:p w14:paraId="1F6D2B0B" w14:textId="77777777" w:rsidR="00E817F2" w:rsidRPr="00E817F2" w:rsidRDefault="00E817F2" w:rsidP="00C31F7E">
      <w:pPr>
        <w:rPr>
          <w:rFonts w:cs="Times New Roman"/>
          <w:color w:val="222222"/>
          <w:szCs w:val="24"/>
          <w:shd w:val="clear" w:color="auto" w:fill="FFFFFF"/>
        </w:rPr>
      </w:pPr>
      <w:proofErr w:type="spellStart"/>
      <w:r w:rsidRPr="00E817F2">
        <w:rPr>
          <w:rFonts w:cs="Times New Roman"/>
          <w:color w:val="222222"/>
          <w:szCs w:val="24"/>
          <w:shd w:val="clear" w:color="auto" w:fill="FFFFFF"/>
        </w:rPr>
        <w:t>Setiyanto</w:t>
      </w:r>
      <w:proofErr w:type="spellEnd"/>
      <w:r w:rsidRPr="00E817F2">
        <w:rPr>
          <w:rFonts w:cs="Times New Roman"/>
          <w:color w:val="222222"/>
          <w:szCs w:val="24"/>
          <w:shd w:val="clear" w:color="auto" w:fill="FFFFFF"/>
        </w:rPr>
        <w:t>, S. and Setiawan, I., 2022. Data science with excel. </w:t>
      </w:r>
      <w:r w:rsidRPr="00E817F2">
        <w:rPr>
          <w:rFonts w:cs="Times New Roman"/>
          <w:i/>
          <w:iCs/>
          <w:color w:val="222222"/>
          <w:szCs w:val="24"/>
          <w:shd w:val="clear" w:color="auto" w:fill="FFFFFF"/>
        </w:rPr>
        <w:t>International Journal of Computer and Information System (IJCIS)</w:t>
      </w:r>
      <w:r w:rsidRPr="00E817F2">
        <w:rPr>
          <w:rFonts w:cs="Times New Roman"/>
          <w:color w:val="222222"/>
          <w:szCs w:val="24"/>
          <w:shd w:val="clear" w:color="auto" w:fill="FFFFFF"/>
        </w:rPr>
        <w:t>, </w:t>
      </w:r>
      <w:r w:rsidRPr="00E817F2">
        <w:rPr>
          <w:rFonts w:cs="Times New Roman"/>
          <w:i/>
          <w:iCs/>
          <w:color w:val="222222"/>
          <w:szCs w:val="24"/>
          <w:shd w:val="clear" w:color="auto" w:fill="FFFFFF"/>
        </w:rPr>
        <w:t>3</w:t>
      </w:r>
      <w:r w:rsidRPr="00E817F2">
        <w:rPr>
          <w:rFonts w:cs="Times New Roman"/>
          <w:color w:val="222222"/>
          <w:szCs w:val="24"/>
          <w:shd w:val="clear" w:color="auto" w:fill="FFFFFF"/>
        </w:rPr>
        <w:t>(3), pp.104-110.</w:t>
      </w:r>
    </w:p>
    <w:p w14:paraId="3A18FD1E" w14:textId="77777777" w:rsidR="00E817F2" w:rsidRPr="00E817F2" w:rsidRDefault="00E817F2" w:rsidP="00C31F7E">
      <w:pPr>
        <w:rPr>
          <w:rFonts w:cs="Times New Roman"/>
          <w:color w:val="222222"/>
          <w:szCs w:val="24"/>
          <w:shd w:val="clear" w:color="auto" w:fill="FFFFFF"/>
        </w:rPr>
      </w:pPr>
      <w:r w:rsidRPr="00E817F2">
        <w:rPr>
          <w:rFonts w:cs="Times New Roman"/>
          <w:color w:val="222222"/>
          <w:szCs w:val="24"/>
          <w:shd w:val="clear" w:color="auto" w:fill="FFFFFF"/>
        </w:rPr>
        <w:t>Xu, J. and Garfield, M., 2023. Analytics for an Audience of Healthcare Professionals: Curriculum Design and Student Perceptions. In </w:t>
      </w:r>
      <w:r w:rsidRPr="00E817F2">
        <w:rPr>
          <w:rFonts w:cs="Times New Roman"/>
          <w:i/>
          <w:iCs/>
          <w:color w:val="222222"/>
          <w:szCs w:val="24"/>
          <w:shd w:val="clear" w:color="auto" w:fill="FFFFFF"/>
        </w:rPr>
        <w:t>Proceedings of the ISCAP Conference ISSN</w:t>
      </w:r>
      <w:r w:rsidRPr="00E817F2">
        <w:rPr>
          <w:rFonts w:cs="Times New Roman"/>
          <w:color w:val="222222"/>
          <w:szCs w:val="24"/>
          <w:shd w:val="clear" w:color="auto" w:fill="FFFFFF"/>
        </w:rPr>
        <w:t> (Vol. 2473, p. 4901).</w:t>
      </w:r>
    </w:p>
    <w:p w14:paraId="293620FD" w14:textId="77777777" w:rsidR="00062B97" w:rsidRPr="00B12AFD" w:rsidRDefault="00062B97" w:rsidP="00C31F7E">
      <w:pPr>
        <w:rPr>
          <w:rFonts w:cs="Times New Roman"/>
          <w:color w:val="222222"/>
          <w:szCs w:val="24"/>
          <w:shd w:val="clear" w:color="auto" w:fill="FFFFFF"/>
        </w:rPr>
      </w:pPr>
    </w:p>
    <w:p w14:paraId="229E65CA" w14:textId="77777777" w:rsidR="00B12AFD" w:rsidRDefault="00B12AFD" w:rsidP="00C31F7E">
      <w:pPr>
        <w:rPr>
          <w:rFonts w:ascii="Arial" w:hAnsi="Arial" w:cs="Arial"/>
          <w:color w:val="222222"/>
          <w:sz w:val="20"/>
          <w:szCs w:val="20"/>
          <w:shd w:val="clear" w:color="auto" w:fill="FFFFFF"/>
        </w:rPr>
      </w:pPr>
    </w:p>
    <w:p w14:paraId="051965EB" w14:textId="77777777" w:rsidR="0065514F" w:rsidRPr="00C31F7E" w:rsidRDefault="0065514F" w:rsidP="00C31F7E"/>
    <w:p w14:paraId="66835F78" w14:textId="7B269179" w:rsidR="00E81B1E" w:rsidRPr="00AD3A85" w:rsidRDefault="00E81B1E" w:rsidP="002B1655">
      <w:pPr>
        <w:ind w:left="360"/>
      </w:pPr>
    </w:p>
    <w:p w14:paraId="44182E4F" w14:textId="00EAB8AF" w:rsidR="00D95213" w:rsidRPr="00DD2697" w:rsidRDefault="00D95213" w:rsidP="001B1F3E">
      <w:pPr>
        <w:pStyle w:val="ListParagraph"/>
      </w:pPr>
    </w:p>
    <w:p w14:paraId="6A1CDF00" w14:textId="77777777" w:rsidR="00675439" w:rsidRPr="00675439" w:rsidRDefault="00675439" w:rsidP="00675439"/>
    <w:p w14:paraId="373824F7" w14:textId="77777777" w:rsidR="00675439" w:rsidRDefault="00675439" w:rsidP="00675439">
      <w:pPr>
        <w:pStyle w:val="ListParagraph"/>
      </w:pPr>
    </w:p>
    <w:p w14:paraId="66992421" w14:textId="77777777" w:rsidR="00675439" w:rsidRPr="009A5C2F" w:rsidRDefault="00675439" w:rsidP="009A5C2F"/>
    <w:sectPr w:rsidR="00675439" w:rsidRPr="009A5C2F" w:rsidSect="009A5C2F">
      <w:headerReference w:type="default" r:id="rId15"/>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EC208" w14:textId="77777777" w:rsidR="007573A6" w:rsidRDefault="007573A6" w:rsidP="009A5C2F">
      <w:pPr>
        <w:spacing w:after="0" w:line="240" w:lineRule="auto"/>
      </w:pPr>
      <w:r>
        <w:separator/>
      </w:r>
    </w:p>
  </w:endnote>
  <w:endnote w:type="continuationSeparator" w:id="0">
    <w:p w14:paraId="431ED992" w14:textId="77777777" w:rsidR="007573A6" w:rsidRDefault="007573A6" w:rsidP="009A5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8E629" w14:textId="77777777" w:rsidR="007573A6" w:rsidRDefault="007573A6" w:rsidP="009A5C2F">
      <w:pPr>
        <w:spacing w:after="0" w:line="240" w:lineRule="auto"/>
      </w:pPr>
      <w:r>
        <w:separator/>
      </w:r>
    </w:p>
  </w:footnote>
  <w:footnote w:type="continuationSeparator" w:id="0">
    <w:p w14:paraId="45B25ED0" w14:textId="77777777" w:rsidR="007573A6" w:rsidRDefault="007573A6" w:rsidP="009A5C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7618648"/>
      <w:docPartObj>
        <w:docPartGallery w:val="Page Numbers (Top of Page)"/>
        <w:docPartUnique/>
      </w:docPartObj>
    </w:sdtPr>
    <w:sdtEndPr>
      <w:rPr>
        <w:noProof/>
      </w:rPr>
    </w:sdtEndPr>
    <w:sdtContent>
      <w:p w14:paraId="5A3C8E6C" w14:textId="46C8F140" w:rsidR="009A5C2F" w:rsidRDefault="009A5C2F">
        <w:pPr>
          <w:pStyle w:val="Header"/>
          <w:jc w:val="right"/>
        </w:pPr>
        <w:r>
          <w:fldChar w:fldCharType="begin"/>
        </w:r>
        <w:r>
          <w:instrText xml:space="preserve"> PAGE   \* MERGEFORMAT </w:instrText>
        </w:r>
        <w:r>
          <w:fldChar w:fldCharType="separate"/>
        </w:r>
        <w:r w:rsidR="004854FB">
          <w:rPr>
            <w:noProof/>
          </w:rPr>
          <w:t>5</w:t>
        </w:r>
        <w:r>
          <w:rPr>
            <w:noProof/>
          </w:rPr>
          <w:fldChar w:fldCharType="end"/>
        </w:r>
      </w:p>
    </w:sdtContent>
  </w:sdt>
  <w:p w14:paraId="7E570B65" w14:textId="77777777" w:rsidR="009A5C2F" w:rsidRDefault="009A5C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41E21"/>
    <w:multiLevelType w:val="hybridMultilevel"/>
    <w:tmpl w:val="3836C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E3759C"/>
    <w:multiLevelType w:val="hybridMultilevel"/>
    <w:tmpl w:val="4BA426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635CF8"/>
    <w:multiLevelType w:val="hybridMultilevel"/>
    <w:tmpl w:val="A23AFB6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0578545">
    <w:abstractNumId w:val="2"/>
  </w:num>
  <w:num w:numId="2" w16cid:durableId="1554926831">
    <w:abstractNumId w:val="0"/>
  </w:num>
  <w:num w:numId="3" w16cid:durableId="2101221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C2F"/>
    <w:rsid w:val="00056C52"/>
    <w:rsid w:val="00062B97"/>
    <w:rsid w:val="000A69EA"/>
    <w:rsid w:val="000C0570"/>
    <w:rsid w:val="00150775"/>
    <w:rsid w:val="00156015"/>
    <w:rsid w:val="001761B1"/>
    <w:rsid w:val="00183697"/>
    <w:rsid w:val="00190D88"/>
    <w:rsid w:val="001B0DD5"/>
    <w:rsid w:val="001B1B8D"/>
    <w:rsid w:val="001B1F3E"/>
    <w:rsid w:val="001B6A46"/>
    <w:rsid w:val="001B738F"/>
    <w:rsid w:val="00262CF2"/>
    <w:rsid w:val="002B1655"/>
    <w:rsid w:val="002C7DA3"/>
    <w:rsid w:val="003107D2"/>
    <w:rsid w:val="003242AE"/>
    <w:rsid w:val="00365415"/>
    <w:rsid w:val="00372C0E"/>
    <w:rsid w:val="003C3AB4"/>
    <w:rsid w:val="004854FB"/>
    <w:rsid w:val="004A199F"/>
    <w:rsid w:val="004C39B4"/>
    <w:rsid w:val="00501558"/>
    <w:rsid w:val="00537BC6"/>
    <w:rsid w:val="00555461"/>
    <w:rsid w:val="00631B2E"/>
    <w:rsid w:val="006354B1"/>
    <w:rsid w:val="00635DD9"/>
    <w:rsid w:val="00637DB5"/>
    <w:rsid w:val="0065514F"/>
    <w:rsid w:val="00675439"/>
    <w:rsid w:val="00677529"/>
    <w:rsid w:val="006929E8"/>
    <w:rsid w:val="006B3A7E"/>
    <w:rsid w:val="006B684D"/>
    <w:rsid w:val="006C571C"/>
    <w:rsid w:val="00746051"/>
    <w:rsid w:val="007573A6"/>
    <w:rsid w:val="007A2A07"/>
    <w:rsid w:val="007D154D"/>
    <w:rsid w:val="007F6F01"/>
    <w:rsid w:val="00945A9A"/>
    <w:rsid w:val="00997201"/>
    <w:rsid w:val="009A5C2F"/>
    <w:rsid w:val="00AC27C8"/>
    <w:rsid w:val="00AD3A85"/>
    <w:rsid w:val="00B12AFD"/>
    <w:rsid w:val="00B21592"/>
    <w:rsid w:val="00B24900"/>
    <w:rsid w:val="00BB6DA1"/>
    <w:rsid w:val="00C31F7E"/>
    <w:rsid w:val="00C47D51"/>
    <w:rsid w:val="00CC3CC3"/>
    <w:rsid w:val="00D63982"/>
    <w:rsid w:val="00D95213"/>
    <w:rsid w:val="00DC188A"/>
    <w:rsid w:val="00DD2697"/>
    <w:rsid w:val="00E367AD"/>
    <w:rsid w:val="00E573F2"/>
    <w:rsid w:val="00E71DB5"/>
    <w:rsid w:val="00E817F2"/>
    <w:rsid w:val="00E81B1E"/>
    <w:rsid w:val="00F03427"/>
    <w:rsid w:val="00F16531"/>
    <w:rsid w:val="00FF06A8"/>
    <w:rsid w:val="00FF2828"/>
    <w:rsid w:val="00FF664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9762EC"/>
  <w15:docId w15:val="{ADBF57BE-4856-4696-86AA-F11106250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71C"/>
    <w:rPr>
      <w:rFonts w:ascii="Times New Roman" w:hAnsi="Times New Roman"/>
      <w:sz w:val="24"/>
    </w:rPr>
  </w:style>
  <w:style w:type="paragraph" w:styleId="Heading1">
    <w:name w:val="heading 1"/>
    <w:basedOn w:val="Normal"/>
    <w:next w:val="Normal"/>
    <w:link w:val="Heading1Char"/>
    <w:autoRedefine/>
    <w:uiPriority w:val="9"/>
    <w:qFormat/>
    <w:rsid w:val="00FF06A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B24900"/>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6A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B24900"/>
    <w:rPr>
      <w:rFonts w:ascii="Times New Roman" w:eastAsiaTheme="majorEastAsia" w:hAnsi="Times New Roman" w:cstheme="majorBidi"/>
      <w:color w:val="000000" w:themeColor="text1"/>
      <w:sz w:val="24"/>
      <w:szCs w:val="26"/>
      <w:u w:val="single"/>
    </w:rPr>
  </w:style>
  <w:style w:type="paragraph" w:styleId="Header">
    <w:name w:val="header"/>
    <w:basedOn w:val="Normal"/>
    <w:link w:val="HeaderChar"/>
    <w:uiPriority w:val="99"/>
    <w:unhideWhenUsed/>
    <w:rsid w:val="009A5C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5C2F"/>
    <w:rPr>
      <w:rFonts w:ascii="Times New Roman" w:hAnsi="Times New Roman"/>
      <w:sz w:val="24"/>
    </w:rPr>
  </w:style>
  <w:style w:type="paragraph" w:styleId="Footer">
    <w:name w:val="footer"/>
    <w:basedOn w:val="Normal"/>
    <w:link w:val="FooterChar"/>
    <w:uiPriority w:val="99"/>
    <w:unhideWhenUsed/>
    <w:rsid w:val="009A5C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5C2F"/>
    <w:rPr>
      <w:rFonts w:ascii="Times New Roman" w:hAnsi="Times New Roman"/>
      <w:sz w:val="24"/>
    </w:rPr>
  </w:style>
  <w:style w:type="paragraph" w:styleId="Subtitle">
    <w:name w:val="Subtitle"/>
    <w:basedOn w:val="Normal"/>
    <w:next w:val="Normal"/>
    <w:link w:val="SubtitleChar"/>
    <w:uiPriority w:val="11"/>
    <w:qFormat/>
    <w:rsid w:val="009A5C2F"/>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9A5C2F"/>
    <w:rPr>
      <w:rFonts w:eastAsiaTheme="minorEastAsia"/>
      <w:color w:val="5A5A5A" w:themeColor="text1" w:themeTint="A5"/>
      <w:spacing w:val="15"/>
    </w:rPr>
  </w:style>
  <w:style w:type="paragraph" w:styleId="ListParagraph">
    <w:name w:val="List Paragraph"/>
    <w:basedOn w:val="Normal"/>
    <w:uiPriority w:val="34"/>
    <w:qFormat/>
    <w:rsid w:val="00675439"/>
    <w:pPr>
      <w:ind w:left="720"/>
      <w:contextualSpacing/>
    </w:pPr>
  </w:style>
  <w:style w:type="paragraph" w:styleId="Caption">
    <w:name w:val="caption"/>
    <w:basedOn w:val="Normal"/>
    <w:next w:val="Normal"/>
    <w:uiPriority w:val="35"/>
    <w:unhideWhenUsed/>
    <w:qFormat/>
    <w:rsid w:val="00675439"/>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C31F7E"/>
    <w:pPr>
      <w:spacing w:line="259" w:lineRule="auto"/>
      <w:jc w:val="left"/>
      <w:outlineLvl w:val="9"/>
    </w:pPr>
    <w:rPr>
      <w:rFonts w:asciiTheme="majorHAnsi" w:hAnsiTheme="majorHAnsi"/>
      <w:b w:val="0"/>
      <w:color w:val="365F91" w:themeColor="accent1" w:themeShade="BF"/>
      <w:kern w:val="0"/>
      <w:sz w:val="32"/>
    </w:rPr>
  </w:style>
  <w:style w:type="paragraph" w:styleId="TOC1">
    <w:name w:val="toc 1"/>
    <w:basedOn w:val="Normal"/>
    <w:next w:val="Normal"/>
    <w:autoRedefine/>
    <w:uiPriority w:val="39"/>
    <w:unhideWhenUsed/>
    <w:rsid w:val="00C31F7E"/>
    <w:pPr>
      <w:spacing w:after="100"/>
    </w:pPr>
  </w:style>
  <w:style w:type="character" w:styleId="Hyperlink">
    <w:name w:val="Hyperlink"/>
    <w:basedOn w:val="DefaultParagraphFont"/>
    <w:uiPriority w:val="99"/>
    <w:unhideWhenUsed/>
    <w:rsid w:val="00C31F7E"/>
    <w:rPr>
      <w:color w:val="0000FF" w:themeColor="hyperlink"/>
      <w:u w:val="single"/>
    </w:rPr>
  </w:style>
  <w:style w:type="paragraph" w:styleId="TableofFigures">
    <w:name w:val="table of figures"/>
    <w:basedOn w:val="Normal"/>
    <w:next w:val="Normal"/>
    <w:uiPriority w:val="99"/>
    <w:unhideWhenUsed/>
    <w:rsid w:val="00C31F7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1EC6C-29DA-482F-B079-431A55DE8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3520</Words>
  <Characters>20064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Tushtee gupta</dc:creator>
  <cp:keywords/>
  <dc:description/>
  <cp:lastModifiedBy>Microsoft Office User</cp:lastModifiedBy>
  <cp:revision>5</cp:revision>
  <dcterms:created xsi:type="dcterms:W3CDTF">2023-11-10T12:35:00Z</dcterms:created>
  <dcterms:modified xsi:type="dcterms:W3CDTF">2023-11-16T18:46:00Z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81204a10-72d8-4d62-bad3-35baa0cdbddf</vt:lpwstr>
  </property>
</Properties>
</file>